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>
      <w:pPr>
        <w:rPr>
          <w:rFonts w:ascii="Arial" w:hAnsi="Arial" w:cs="Arial"/>
          <w:b/>
          <w:sz w:val="24"/>
          <w:szCs w:val="24"/>
        </w:rPr>
      </w:pPr>
    </w:p>
    <w:p>
      <w:pPr>
        <w:shd w:val="clear" w:color="auto" w:fill="CCCCFF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NORMATIVA APLICABLE</w:t>
      </w:r>
    </w:p>
    <w:p>
      <w:pPr>
        <w:pStyle w:val="Prrafodelista"/>
        <w:ind w:left="862"/>
        <w:rPr>
          <w:rFonts w:ascii="Arial" w:hAnsi="Arial" w:cs="Arial"/>
          <w:b/>
          <w:sz w:val="24"/>
          <w:szCs w:val="24"/>
        </w:rPr>
      </w:pPr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jc w:val="both"/>
        <w:rPr>
          <w:color w:val="000000"/>
          <w:sz w:val="24"/>
          <w:szCs w:val="24"/>
        </w:rPr>
      </w:pPr>
      <w:hyperlink r:id="rId7">
        <w:r>
          <w:rPr>
            <w:rFonts w:cs="Calibri"/>
            <w:color w:val="1155CC"/>
            <w:sz w:val="24"/>
            <w:szCs w:val="24"/>
            <w:u w:val="single"/>
          </w:rPr>
          <w:t>Acuerdo entre el Estado Español y la Santa Sede sobre asuntos jurídicos del 3 de enero de 1979. Real Decreto 594/2015, de 3 de julio, por el que se regula el Registro de Entidades Religiosas. - Código de Derecho Canónico del 25 de enero de 1983.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8">
        <w:r>
          <w:rPr>
            <w:rFonts w:cs="Calibri"/>
            <w:color w:val="1155CC"/>
            <w:sz w:val="24"/>
            <w:szCs w:val="24"/>
            <w:u w:val="single"/>
          </w:rPr>
          <w:t>Ley Orgánica 7/1980, de 5 de julio, de Libertad Religiosa.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9">
        <w:r>
          <w:rPr>
            <w:rFonts w:cs="Calibri"/>
            <w:color w:val="1155CC"/>
            <w:sz w:val="24"/>
            <w:szCs w:val="24"/>
            <w:u w:val="single"/>
          </w:rPr>
          <w:t>Ley 49/2002, de 23 de diciembre, de Régimen Fiscal de las Entidades sin fines Lucrativos y de los Incentivos Fiscales al Mecenazgo.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10">
        <w:r>
          <w:rPr>
            <w:rFonts w:cs="Calibri"/>
            <w:color w:val="1155CC"/>
            <w:sz w:val="24"/>
            <w:szCs w:val="24"/>
            <w:u w:val="single"/>
          </w:rPr>
          <w:t>Real Decreto 1270/2003, de 10 de octubre, por el que se aprueba el Reglamento para la aplicación del régimen fiscal de las entidades sin fines lucrativos y de los incentivos fiscales al mecenazgo.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11">
        <w:r>
          <w:rPr>
            <w:rFonts w:cs="Calibri"/>
            <w:color w:val="1155CC"/>
            <w:sz w:val="24"/>
            <w:szCs w:val="24"/>
            <w:u w:val="single"/>
          </w:rPr>
          <w:t>Real Decreto Legislativo 2/2004, de 5 de marzo, por el que se aprueba el texto refundido de la Ley reguladora de las haciendas locales.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12">
        <w:r>
          <w:rPr>
            <w:rFonts w:cs="Calibri"/>
            <w:color w:val="1155CC"/>
            <w:sz w:val="24"/>
            <w:szCs w:val="24"/>
            <w:u w:val="single"/>
          </w:rPr>
          <w:t>Real Decreto 1491/2011 de 24 de octubre por el que se aprueban las normas de adaptación del Plan General de Contabilidad a las entidades sin fines lucrativos y el modelo de plan de actuación de las entidades sin fines lucrativos.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13">
        <w:r>
          <w:rPr>
            <w:rFonts w:cs="Calibri"/>
            <w:color w:val="1155CC"/>
            <w:sz w:val="24"/>
            <w:szCs w:val="24"/>
            <w:u w:val="single"/>
          </w:rPr>
          <w:t>Ley 38/2003, de 17 de noviembre, General de Subvenciones.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14">
        <w:r>
          <w:rPr>
            <w:rFonts w:cs="Calibri"/>
            <w:color w:val="1155CC"/>
            <w:sz w:val="24"/>
            <w:szCs w:val="24"/>
            <w:u w:val="single"/>
          </w:rPr>
          <w:t>Real Decreto 887/2006, de 21 de julio, por el que se aprueba el Reglamento de la Ley 38/2003, de 17 de noviembre, general de subvenciones.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15">
        <w:r>
          <w:rPr>
            <w:rFonts w:cs="Calibri"/>
            <w:color w:val="1155CC"/>
            <w:sz w:val="24"/>
            <w:szCs w:val="24"/>
            <w:u w:val="single"/>
          </w:rPr>
          <w:t>Decreto 76/1993 de 26 de agosto, por el que se aprueba el Reglamento del Procedimiento para la Concesión de ayudas y subvenciones públicas.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16">
        <w:r>
          <w:rPr>
            <w:rFonts w:cs="Calibri"/>
            <w:color w:val="1155CC"/>
            <w:sz w:val="24"/>
            <w:szCs w:val="24"/>
            <w:u w:val="single"/>
          </w:rPr>
          <w:t>Ley 19/2013, de 9 de diciembre, de Transparencia, acceso a la información pública y buen gobierno.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17">
        <w:r>
          <w:rPr>
            <w:rFonts w:cs="Calibri"/>
            <w:color w:val="1155CC"/>
            <w:sz w:val="24"/>
            <w:szCs w:val="24"/>
            <w:u w:val="single"/>
          </w:rPr>
          <w:t>Ley 10/2010, de 28 de abril, de Prevención del Blanqueo de Capitales y de la Financiación del Terrorismo.</w:t>
        </w:r>
      </w:hyperlink>
    </w:p>
    <w:p>
      <w:pPr>
        <w:spacing w:before="120" w:after="0" w:line="360" w:lineRule="auto"/>
        <w:jc w:val="both"/>
        <w:rPr>
          <w:sz w:val="24"/>
          <w:szCs w:val="24"/>
        </w:rPr>
      </w:pPr>
    </w:p>
    <w:p>
      <w:pPr>
        <w:spacing w:before="120" w:after="0" w:line="360" w:lineRule="auto"/>
        <w:jc w:val="both"/>
        <w:rPr>
          <w:sz w:val="24"/>
          <w:szCs w:val="24"/>
        </w:rPr>
      </w:pPr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jc w:val="both"/>
        <w:rPr>
          <w:color w:val="000000"/>
          <w:sz w:val="24"/>
          <w:szCs w:val="24"/>
        </w:rPr>
      </w:pPr>
      <w:hyperlink r:id="rId18">
        <w:r>
          <w:rPr>
            <w:rFonts w:cs="Calibri"/>
            <w:color w:val="1155CC"/>
            <w:sz w:val="24"/>
            <w:szCs w:val="24"/>
            <w:u w:val="single"/>
          </w:rPr>
          <w:t>Real Decreto 304/2014, de 5 de mayo, por el que se aprueba el Reglamento de la Ley 10/2010, de 28 de abril, de prevención del blanqueo de capitales y de la financiación del terrorismo.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19">
        <w:r>
          <w:rPr>
            <w:rFonts w:cs="Calibri"/>
            <w:color w:val="1155CC"/>
            <w:sz w:val="24"/>
            <w:szCs w:val="24"/>
            <w:u w:val="single"/>
          </w:rPr>
          <w:t>Ley 58/2003, de 17 de diciembre, General Tributaria.</w:t>
        </w:r>
      </w:hyperlink>
    </w:p>
    <w:bookmarkStart w:id="1" w:name="_heading=h.a8cib2yvpo1r" w:colFirst="0" w:colLast="0"/>
    <w:bookmarkEnd w:id="1"/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1155CC"/>
          <w:sz w:val="24"/>
          <w:szCs w:val="24"/>
          <w:u w:val="single"/>
        </w:rPr>
        <w:fldChar w:fldCharType="begin"/>
      </w:r>
      <w:r>
        <w:rPr>
          <w:color w:val="1155CC"/>
          <w:sz w:val="24"/>
          <w:szCs w:val="24"/>
          <w:u w:val="single"/>
        </w:rPr>
        <w:instrText xml:space="preserve"> HYPERLINK "https://www.boe.es/buscar/act.php?id=BOE-A-1992-28740" \h </w:instrText>
      </w:r>
      <w:r>
        <w:rPr>
          <w:color w:val="1155CC"/>
          <w:sz w:val="24"/>
          <w:szCs w:val="24"/>
          <w:u w:val="single"/>
        </w:rPr>
        <w:fldChar w:fldCharType="separate"/>
      </w:r>
      <w:r>
        <w:rPr>
          <w:rFonts w:cs="Calibri"/>
          <w:color w:val="1155CC"/>
          <w:sz w:val="24"/>
          <w:szCs w:val="24"/>
          <w:u w:val="single"/>
        </w:rPr>
        <w:t>Ley 37/1992, de 28 de diciembre, del Impuesto sobre el Valor Añadido.</w:t>
      </w:r>
      <w:r>
        <w:rPr>
          <w:color w:val="1155CC"/>
          <w:sz w:val="24"/>
          <w:szCs w:val="24"/>
          <w:u w:val="single"/>
        </w:rPr>
        <w:fldChar w:fldCharType="end"/>
      </w:r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20">
        <w:r>
          <w:rPr>
            <w:rFonts w:cs="Calibri"/>
            <w:color w:val="1155CC"/>
            <w:sz w:val="24"/>
            <w:szCs w:val="24"/>
            <w:u w:val="single"/>
          </w:rPr>
          <w:t>Ley 27/2014, de 27 de noviembre, del Impuesto sobre Sociedades.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21">
        <w:r>
          <w:rPr>
            <w:rFonts w:cs="Calibri"/>
            <w:color w:val="1155CC"/>
            <w:sz w:val="24"/>
            <w:szCs w:val="24"/>
            <w:u w:val="single"/>
          </w:rPr>
          <w:t>Ley 39/2006, de 14 de diciembre, de Promoción de la autonomía personal y atención a las personas en situación de Dependencia.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22">
        <w:r>
          <w:rPr>
            <w:rFonts w:cs="Calibri"/>
            <w:color w:val="1155CC"/>
            <w:sz w:val="24"/>
            <w:szCs w:val="24"/>
            <w:u w:val="single"/>
          </w:rPr>
          <w:t>Ley 5/2011, de 29 de marzo, de Economía Social.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23">
        <w:r>
          <w:rPr>
            <w:rFonts w:cs="Calibri"/>
            <w:color w:val="1155CC"/>
            <w:sz w:val="24"/>
            <w:szCs w:val="24"/>
            <w:u w:val="single"/>
          </w:rPr>
          <w:t>Ley Orgánica 15/1999, de 13 de diciembre, de Protección de Datos de Carácter Personal.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24">
        <w:r>
          <w:rPr>
            <w:rFonts w:cs="Calibri"/>
            <w:color w:val="1155CC"/>
            <w:sz w:val="24"/>
            <w:szCs w:val="24"/>
            <w:u w:val="single"/>
          </w:rPr>
          <w:t>Real Decreto 1720/2007, de 21 de diciembre, por el que se aprueba el Reglamento de desarrollo de la Ley Orgánica 15/1999, de 13 de diciembre, de protección de datos de carácter personal.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25">
        <w:r>
          <w:rPr>
            <w:rFonts w:cs="Calibri"/>
            <w:color w:val="1155CC"/>
            <w:sz w:val="24"/>
            <w:szCs w:val="24"/>
            <w:u w:val="single"/>
          </w:rPr>
          <w:t>Decreto 337/1997, de19 de diciembre, por el que se establece el régimen general de ayudas y subvenciones de la Administración Pública de la Comunidad Autónoma de Canarias. BOC nº 170, de 31 de diciembre de 1997.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hyperlink r:id="rId26">
        <w:r>
          <w:rPr>
            <w:rFonts w:cs="Calibri"/>
            <w:color w:val="1155CC"/>
            <w:sz w:val="24"/>
            <w:szCs w:val="24"/>
            <w:u w:val="single"/>
          </w:rPr>
          <w:t>Decreto 174/1998 de 8de octubre, por el que se modifica el Decreto 337/1997 de 19 de diciembre, por el que se establece el régimen general de ayudas y subvenciones de la Administración Pública de la Comunidad Autónoma de Canarias. BOC nº 132, de 19 de octubre de 1998.</w:t>
        </w:r>
      </w:hyperlink>
    </w:p>
    <w:p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  <w:tab w:val="left" w:pos="2853"/>
        </w:tabs>
        <w:spacing w:after="120" w:line="360" w:lineRule="auto"/>
        <w:jc w:val="both"/>
      </w:pPr>
      <w:hyperlink r:id="rId27">
        <w:r>
          <w:rPr>
            <w:rFonts w:cs="Calibri"/>
            <w:color w:val="1155CC"/>
            <w:sz w:val="24"/>
            <w:szCs w:val="24"/>
            <w:u w:val="single"/>
          </w:rPr>
          <w:t>Decreto 103/2000 de 12 de junio, por el que se modifica parcialmente el Decreto 337/1997, de 19 de diciembre, por el que se establece el régimen general de ayudas y subvenciones de la Administración Pública de la Comunidad Autónoma de Canarias. BOC nº 77, de 23 de junio de 2000.</w:t>
        </w:r>
      </w:hyperlink>
    </w:p>
    <w:p>
      <w:pPr>
        <w:spacing w:line="360" w:lineRule="auto"/>
        <w:jc w:val="both"/>
        <w:rPr>
          <w:rFonts w:ascii="docs-Roboto" w:hAnsi="docs-Roboto"/>
          <w:i/>
          <w:color w:val="202124"/>
          <w:shd w:val="clear" w:color="auto" w:fill="FFFFFF"/>
        </w:rPr>
      </w:pPr>
    </w:p>
    <w:sectPr>
      <w:headerReference w:type="default" r:id="rId28"/>
      <w:footerReference w:type="default" r:id="rId2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Piedepgina"/>
      <w:ind w:left="1440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-636905</wp:posOffset>
              </wp:positionH>
              <wp:positionV relativeFrom="paragraph">
                <wp:posOffset>-65405</wp:posOffset>
              </wp:positionV>
              <wp:extent cx="606425" cy="561975"/>
              <wp:effectExtent l="1270" t="1270" r="1905" b="0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6425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>
                          <w:r>
                            <w:rPr>
                              <w:b/>
                              <w:noProof/>
                              <w:sz w:val="18"/>
                              <w:lang w:eastAsia="es-ES"/>
                            </w:rPr>
                            <w:drawing>
                              <wp:inline distT="0" distB="0" distL="0" distR="0">
                                <wp:extent cx="531495" cy="531495"/>
                                <wp:effectExtent l="0" t="0" r="0" b="0"/>
                                <wp:docPr id="3" name="Imagen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1495" cy="5314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50.15pt;margin-top:-5.15pt;width:47.75pt;height:44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" stroked="f">
              <v:textbox>
                <w:txbxContent>
                  <w:p>
                    <w:r>
                      <w:rPr>
                        <w:b/>
                        <w:noProof/>
                        <w:sz w:val="18"/>
                        <w:lang w:eastAsia="es-ES"/>
                      </w:rPr>
                      <w:drawing>
                        <wp:inline distT="0" distB="0" distL="0" distR="0">
                          <wp:extent cx="531495" cy="531495"/>
                          <wp:effectExtent l="0" t="0" r="0" b="0"/>
                          <wp:docPr id="3" name="Imagen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1495" cy="5314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>
              <wp:simplePos x="0" y="0"/>
              <wp:positionH relativeFrom="margin">
                <wp:posOffset>224155</wp:posOffset>
              </wp:positionH>
              <wp:positionV relativeFrom="paragraph">
                <wp:posOffset>21590</wp:posOffset>
              </wp:positionV>
              <wp:extent cx="4418965" cy="42481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8965" cy="424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>
                          <w:pPr>
                            <w:pStyle w:val="Piedepgina"/>
                            <w:rPr>
                              <w:rFonts w:ascii="Calibri Light" w:hAnsi="Calibri Light" w:cs="Calibri Light"/>
                              <w:sz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sz w:val="14"/>
                            </w:rPr>
                            <w:t>Oblatas del Santísimo Redentor, Provincia Europa.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i/>
                              <w:sz w:val="14"/>
                            </w:rPr>
                            <w:t xml:space="preserve"> Sistema de Protección Interno (</w:t>
                          </w:r>
                          <w:proofErr w:type="spellStart"/>
                          <w:r>
                            <w:rPr>
                              <w:rFonts w:ascii="Calibri Light" w:hAnsi="Calibri Light" w:cs="Calibri Light"/>
                              <w:b/>
                              <w:i/>
                              <w:sz w:val="14"/>
                            </w:rPr>
                            <w:t>SdPI</w:t>
                          </w:r>
                          <w:proofErr w:type="spellEnd"/>
                          <w:r>
                            <w:rPr>
                              <w:rFonts w:ascii="Calibri Light" w:hAnsi="Calibri Light" w:cs="Calibri Light"/>
                              <w:b/>
                              <w:i/>
                              <w:sz w:val="14"/>
                            </w:rPr>
                            <w:t>).</w:t>
                          </w:r>
                          <w:r>
                            <w:rPr>
                              <w:rFonts w:ascii="Calibri Light" w:hAnsi="Calibri Light" w:cs="Calibri Light"/>
                              <w:sz w:val="14"/>
                            </w:rPr>
                            <w:br/>
                            <w:t>Sistema de gestión de la protección frente a la violencia en organizaciones de acción social, educación, deporte, ocio o tiempo libre que trabajan con personas menores de edad o personas en situación de vulnerabilidad.</w:t>
                          </w:r>
                          <w:r>
                            <w:rPr>
                              <w:rFonts w:ascii="Calibri Light" w:hAnsi="Calibri Light" w:cs="Calibri Light"/>
                              <w:sz w:val="14"/>
                            </w:rPr>
                            <w:br/>
                          </w:r>
                          <w:r>
                            <w:rPr>
                              <w:rFonts w:ascii="Calibri Light" w:hAnsi="Calibri Light" w:cs="Calibri Light"/>
                              <w:i/>
                              <w:sz w:val="14"/>
                            </w:rPr>
                            <w:t>Especificación UNE 0070.</w:t>
                          </w:r>
                          <w:r>
                            <w:rPr>
                              <w:sz w:val="20"/>
                            </w:rPr>
                            <w:t xml:space="preserve"> </w:t>
                          </w:r>
                        </w:p>
                        <w:p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left:0;text-align:left;margin-left:17.65pt;margin-top:1.7pt;width:347.95pt;height:33.4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" stroked="f">
              <v:textbox>
                <w:txbxContent>
                  <w:p>
                    <w:pPr>
                      <w:pStyle w:val="Piedepgina"/>
                      <w:rPr>
                        <w:rFonts w:ascii="Calibri Light" w:hAnsi="Calibri Light" w:cs="Calibri Light"/>
                        <w:sz w:val="14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sz w:val="14"/>
                      </w:rPr>
                      <w:t>Oblatas del Santísimo Redentor, Provincia Europa.</w:t>
                    </w:r>
                    <w:r>
                      <w:rPr>
                        <w:rFonts w:ascii="Calibri Light" w:hAnsi="Calibri Light" w:cs="Calibri Light"/>
                        <w:b/>
                        <w:i/>
                        <w:sz w:val="14"/>
                      </w:rPr>
                      <w:t xml:space="preserve"> Sistema de Protección Interno (</w:t>
                    </w:r>
                    <w:proofErr w:type="spellStart"/>
                    <w:r>
                      <w:rPr>
                        <w:rFonts w:ascii="Calibri Light" w:hAnsi="Calibri Light" w:cs="Calibri Light"/>
                        <w:b/>
                        <w:i/>
                        <w:sz w:val="14"/>
                      </w:rPr>
                      <w:t>SdPI</w:t>
                    </w:r>
                    <w:proofErr w:type="spellEnd"/>
                    <w:r>
                      <w:rPr>
                        <w:rFonts w:ascii="Calibri Light" w:hAnsi="Calibri Light" w:cs="Calibri Light"/>
                        <w:b/>
                        <w:i/>
                        <w:sz w:val="14"/>
                      </w:rPr>
                      <w:t>).</w:t>
                    </w:r>
                    <w:r>
                      <w:rPr>
                        <w:rFonts w:ascii="Calibri Light" w:hAnsi="Calibri Light" w:cs="Calibri Light"/>
                        <w:sz w:val="14"/>
                      </w:rPr>
                      <w:br/>
                      <w:t>Sistema de gestión de la protección frente a la violencia en organizaciones de acción social, educación, deporte, ocio o tiempo libre que trabajan con personas menores de edad o personas en situación de vulnerabilidad.</w:t>
                    </w:r>
                    <w:r>
                      <w:rPr>
                        <w:rFonts w:ascii="Calibri Light" w:hAnsi="Calibri Light" w:cs="Calibri Light"/>
                        <w:sz w:val="14"/>
                      </w:rPr>
                      <w:br/>
                    </w:r>
                    <w:r>
                      <w:rPr>
                        <w:rFonts w:ascii="Calibri Light" w:hAnsi="Calibri Light" w:cs="Calibri Light"/>
                        <w:i/>
                        <w:sz w:val="14"/>
                      </w:rPr>
                      <w:t>Especificación UNE 0070.</w:t>
                    </w:r>
                    <w:r>
                      <w:rPr>
                        <w:sz w:val="20"/>
                      </w:rPr>
                      <w:t xml:space="preserve"> </w:t>
                    </w:r>
                  </w:p>
                  <w:p>
                    <w:pPr>
                      <w:jc w:val="both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Calibri Light" w:hAnsi="Calibri Light" w:cs="Calibri Light"/>
        <w:b/>
        <w:sz w:val="16"/>
      </w:rPr>
      <w:t xml:space="preserve"> </w:t>
    </w:r>
  </w:p>
  <w:p>
    <w:pPr>
      <w:pStyle w:val="Piedepgina"/>
      <w:rPr>
        <w:b/>
        <w:sz w:val="18"/>
      </w:rPr>
    </w:pPr>
  </w:p>
  <w:p>
    <w:pPr>
      <w:pStyle w:val="Piedepgina"/>
      <w:ind w:left="1416"/>
      <w:jc w:val="right"/>
      <w:rPr>
        <w:b/>
        <w:bCs/>
        <w:sz w:val="18"/>
        <w:szCs w:val="24"/>
      </w:rPr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240030</wp:posOffset>
          </wp:positionV>
          <wp:extent cx="7590155" cy="225425"/>
          <wp:effectExtent l="0" t="0" r="0" b="0"/>
          <wp:wrapNone/>
          <wp:docPr id="1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225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</w:rPr>
      <w:t xml:space="preserve">Página </w:t>
    </w:r>
    <w:r>
      <w:rPr>
        <w:b/>
        <w:bCs/>
        <w:sz w:val="18"/>
        <w:szCs w:val="24"/>
      </w:rPr>
      <w:fldChar w:fldCharType="begin"/>
    </w:r>
    <w:r>
      <w:rPr>
        <w:b/>
        <w:bCs/>
        <w:sz w:val="16"/>
      </w:rPr>
      <w:instrText>PAGE</w:instrText>
    </w:r>
    <w:r>
      <w:rPr>
        <w:b/>
        <w:bCs/>
        <w:sz w:val="18"/>
        <w:szCs w:val="24"/>
      </w:rPr>
      <w:fldChar w:fldCharType="separate"/>
    </w:r>
    <w:r>
      <w:rPr>
        <w:b/>
        <w:bCs/>
        <w:noProof/>
        <w:sz w:val="16"/>
      </w:rPr>
      <w:t>2</w:t>
    </w:r>
    <w:r>
      <w:rPr>
        <w:b/>
        <w:bCs/>
        <w:sz w:val="18"/>
        <w:szCs w:val="24"/>
      </w:rPr>
      <w:fldChar w:fldCharType="end"/>
    </w:r>
    <w:r>
      <w:rPr>
        <w:sz w:val="16"/>
      </w:rPr>
      <w:t xml:space="preserve"> de </w:t>
    </w:r>
    <w:r>
      <w:rPr>
        <w:b/>
        <w:bCs/>
        <w:sz w:val="18"/>
        <w:szCs w:val="24"/>
      </w:rPr>
      <w:fldChar w:fldCharType="begin"/>
    </w:r>
    <w:r>
      <w:rPr>
        <w:b/>
        <w:bCs/>
        <w:sz w:val="16"/>
      </w:rPr>
      <w:instrText>NUMPAGES</w:instrText>
    </w:r>
    <w:r>
      <w:rPr>
        <w:b/>
        <w:bCs/>
        <w:sz w:val="18"/>
        <w:szCs w:val="24"/>
      </w:rPr>
      <w:fldChar w:fldCharType="separate"/>
    </w:r>
    <w:r>
      <w:rPr>
        <w:b/>
        <w:bCs/>
        <w:noProof/>
        <w:sz w:val="16"/>
      </w:rPr>
      <w:t>2</w:t>
    </w:r>
    <w:r>
      <w:rPr>
        <w:b/>
        <w:bCs/>
        <w:sz w:val="18"/>
        <w:szCs w:val="24"/>
      </w:rPr>
      <w:fldChar w:fldCharType="end"/>
    </w:r>
  </w:p>
  <w:p>
    <w:pPr>
      <w:pStyle w:val="Piedepgina"/>
      <w:ind w:left="1416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224155</wp:posOffset>
          </wp:positionH>
          <wp:positionV relativeFrom="paragraph">
            <wp:posOffset>20955</wp:posOffset>
          </wp:positionV>
          <wp:extent cx="1569720" cy="831850"/>
          <wp:effectExtent l="0" t="0" r="0" b="0"/>
          <wp:wrapNone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>
    <w:pPr>
      <w:pStyle w:val="Encabezado"/>
      <w:jc w:val="right"/>
      <w:rPr>
        <w:sz w:val="20"/>
      </w:rPr>
    </w:pPr>
  </w:p>
  <w:p>
    <w:pPr>
      <w:pStyle w:val="Encabezado"/>
    </w:pPr>
  </w:p>
  <w:p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ED9"/>
    <w:multiLevelType w:val="hybridMultilevel"/>
    <w:tmpl w:val="74788B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06CF3"/>
    <w:multiLevelType w:val="hybridMultilevel"/>
    <w:tmpl w:val="4D74BAFC"/>
    <w:lvl w:ilvl="0" w:tplc="588C872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C6763948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61DED"/>
    <w:multiLevelType w:val="hybridMultilevel"/>
    <w:tmpl w:val="5B3210E2"/>
    <w:lvl w:ilvl="0" w:tplc="D472ABE8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983749"/>
    <w:multiLevelType w:val="hybridMultilevel"/>
    <w:tmpl w:val="F81043DA"/>
    <w:lvl w:ilvl="0" w:tplc="6B4A5A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2932EA"/>
    <w:multiLevelType w:val="multilevel"/>
    <w:tmpl w:val="19288F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36246F"/>
    <w:multiLevelType w:val="hybridMultilevel"/>
    <w:tmpl w:val="C4A0C51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472582"/>
    <w:multiLevelType w:val="hybridMultilevel"/>
    <w:tmpl w:val="1DFEDC1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86F50"/>
    <w:multiLevelType w:val="hybridMultilevel"/>
    <w:tmpl w:val="51A6C7D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F212D"/>
    <w:multiLevelType w:val="hybridMultilevel"/>
    <w:tmpl w:val="B2F846EE"/>
    <w:lvl w:ilvl="0" w:tplc="8F563D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F1683B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C0A001B">
      <w:start w:val="1"/>
      <w:numFmt w:val="lowerRoman"/>
      <w:lvlText w:val="%3."/>
      <w:lvlJc w:val="right"/>
      <w:pPr>
        <w:ind w:left="748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3734F"/>
    <w:multiLevelType w:val="hybridMultilevel"/>
    <w:tmpl w:val="06149BC8"/>
    <w:lvl w:ilvl="0" w:tplc="BB925FE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144FE"/>
    <w:multiLevelType w:val="hybridMultilevel"/>
    <w:tmpl w:val="8A2ADDF8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AF166E"/>
    <w:multiLevelType w:val="hybridMultilevel"/>
    <w:tmpl w:val="76A895A0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ED54F22"/>
    <w:multiLevelType w:val="hybridMultilevel"/>
    <w:tmpl w:val="B99A0300"/>
    <w:lvl w:ilvl="0" w:tplc="5FC205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385B94"/>
    <w:multiLevelType w:val="multilevel"/>
    <w:tmpl w:val="015445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9"/>
  </w:num>
  <w:num w:numId="7">
    <w:abstractNumId w:val="2"/>
  </w:num>
  <w:num w:numId="8">
    <w:abstractNumId w:val="6"/>
  </w:num>
  <w:num w:numId="9">
    <w:abstractNumId w:val="10"/>
  </w:num>
  <w:num w:numId="10">
    <w:abstractNumId w:val="5"/>
  </w:num>
  <w:num w:numId="11">
    <w:abstractNumId w:val="7"/>
  </w:num>
  <w:num w:numId="12">
    <w:abstractNumId w:val="1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5618ECB-A5E3-4B79-9A2D-789251E9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Pr>
      <w:sz w:val="20"/>
      <w:szCs w:val="20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</w:style>
  <w:style w:type="character" w:styleId="Hipervnculo">
    <w:name w:val="Hyperlink"/>
    <w:uiPriority w:val="99"/>
    <w:unhideWhenUsed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spacing w:after="0" w:line="240" w:lineRule="auto"/>
      <w:ind w:left="101"/>
    </w:pPr>
    <w:rPr>
      <w:rFonts w:ascii="Arial" w:eastAsia="Arial" w:hAnsi="Arial"/>
      <w:lang w:val="en-US"/>
    </w:rPr>
  </w:style>
  <w:style w:type="character" w:customStyle="1" w:styleId="TextoindependienteCar">
    <w:name w:val="Texto independiente Car"/>
    <w:link w:val="Textoindependiente"/>
    <w:uiPriority w:val="1"/>
    <w:rPr>
      <w:rFonts w:ascii="Arial" w:eastAsia="Arial" w:hAnsi="Arial" w:cs="Times New Roman"/>
      <w:lang w:val="en-US"/>
    </w:rPr>
  </w:style>
  <w:style w:type="character" w:styleId="Hipervnculovisitado">
    <w:name w:val="FollowedHyperlink"/>
    <w:uiPriority w:val="99"/>
    <w:semiHidden/>
    <w:unhideWhenUsed/>
    <w:rPr>
      <w:color w:val="954F72"/>
      <w:u w:val="single"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buscar/act.php?id=BOE-A-1980-15955" TargetMode="External"/><Relationship Id="rId13" Type="http://schemas.openxmlformats.org/officeDocument/2006/relationships/hyperlink" Target="https://www.boe.es/buscar/act.php?id=BOE-A-2003-20977" TargetMode="External"/><Relationship Id="rId18" Type="http://schemas.openxmlformats.org/officeDocument/2006/relationships/hyperlink" Target="https://www.boe.es/buscar/act.php?id=BOE-A-2014-4742" TargetMode="External"/><Relationship Id="rId26" Type="http://schemas.openxmlformats.org/officeDocument/2006/relationships/hyperlink" Target="https://www.gobiernodecanarias.org/boc/1998/132/001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boe.es/buscar/act.php?id=BOE-A-2006-21990" TargetMode="External"/><Relationship Id="rId7" Type="http://schemas.openxmlformats.org/officeDocument/2006/relationships/hyperlink" Target="https://www.boe.es/buscar/act.php?id=BOE-A-2015-8643" TargetMode="External"/><Relationship Id="rId12" Type="http://schemas.openxmlformats.org/officeDocument/2006/relationships/hyperlink" Target="https://www.boe.es/buscar/doc.php?id=BOE-A-2011-18458" TargetMode="External"/><Relationship Id="rId17" Type="http://schemas.openxmlformats.org/officeDocument/2006/relationships/hyperlink" Target="https://www.boe.es/buscar/act.php?id=BOE-A-2010-6737" TargetMode="External"/><Relationship Id="rId25" Type="http://schemas.openxmlformats.org/officeDocument/2006/relationships/hyperlink" Target="https://www3.gobiernodecanarias.org/juriscan/ficha.jsp?id=917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oe.es/buscar/act.php?id=BOE-A-2013-12887" TargetMode="External"/><Relationship Id="rId20" Type="http://schemas.openxmlformats.org/officeDocument/2006/relationships/hyperlink" Target="https://www.boe.es/buscar/act.php?id=BOE-A-2014-12328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oe.es/buscar/act.php?id=BOE-A-2004-4214" TargetMode="External"/><Relationship Id="rId24" Type="http://schemas.openxmlformats.org/officeDocument/2006/relationships/hyperlink" Target="https://www.boe.es/buscar/act.php?id=BOE-A-2008-97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boe.es/buscar/doc.php?id=BOE-A-1993-25504" TargetMode="External"/><Relationship Id="rId23" Type="http://schemas.openxmlformats.org/officeDocument/2006/relationships/hyperlink" Target="https://www.boe.es/buscar/act.php?id=BOE-A-1999-23750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boe.es/buscar/doc.php?id=BOE-A-2003-19571" TargetMode="External"/><Relationship Id="rId19" Type="http://schemas.openxmlformats.org/officeDocument/2006/relationships/hyperlink" Target="https://www.boe.es/buscar/act.php?id=BOE-A-2003-23186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oe.es/buscar/act.php?id=BOE-A-2002-25039" TargetMode="External"/><Relationship Id="rId14" Type="http://schemas.openxmlformats.org/officeDocument/2006/relationships/hyperlink" Target="https://www.boe.es/buscar/act.php?id=BOE-A-2006-13371" TargetMode="External"/><Relationship Id="rId22" Type="http://schemas.openxmlformats.org/officeDocument/2006/relationships/hyperlink" Target="https://www.boe.es/buscar/act.php?id=BOE-A-2011-5708" TargetMode="External"/><Relationship Id="rId27" Type="http://schemas.openxmlformats.org/officeDocument/2006/relationships/hyperlink" Target="https://www.gobiernodecanarias.org/boc/2000/077/001.html" TargetMode="Externa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732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Usuario19</dc:creator>
  <cp:keywords/>
  <dc:description/>
  <cp:lastModifiedBy>Usuario02</cp:lastModifiedBy>
  <cp:revision>6</cp:revision>
  <cp:lastPrinted>2026-09-22T13:32:00Z</cp:lastPrinted>
  <dcterms:created xsi:type="dcterms:W3CDTF">2026-09-22T13:25:00Z</dcterms:created>
  <dcterms:modified xsi:type="dcterms:W3CDTF">2026-10-09T07:53:00Z</dcterms:modified>
</cp:coreProperties>
</file>