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  <w:b/>
          <w:bCs/>
          <w:sz w:val="24"/>
          <w:szCs w:val="24"/>
        </w:rPr>
      </w:pPr>
    </w:p>
    <w:p>
      <w:pPr>
        <w:rPr>
          <w:rFonts w:ascii="Arial" w:hAnsi="Arial" w:cs="Arial"/>
          <w:b/>
          <w:sz w:val="24"/>
          <w:szCs w:val="24"/>
        </w:rPr>
      </w:pPr>
    </w:p>
    <w:p>
      <w:pPr>
        <w:shd w:val="clear" w:color="auto" w:fill="CCCCFF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INSTITUTO DE RELIGIOSAS OBLATAS DEL SANTÍSIMO REDENTOR</w:t>
      </w:r>
    </w:p>
    <w:p>
      <w:pPr>
        <w:shd w:val="clear" w:color="auto" w:fill="CCCCFF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PROGRAMA DANIELA OBLATAS </w:t>
      </w:r>
    </w:p>
    <w:p>
      <w:pPr>
        <w:pStyle w:val="Ttulo1"/>
        <w:rPr>
          <w:b/>
          <w:color w:val="7030A0"/>
          <w:sz w:val="30"/>
          <w:szCs w:val="30"/>
        </w:rPr>
      </w:pPr>
    </w:p>
    <w:p>
      <w:pPr>
        <w:pStyle w:val="Ttulo1"/>
        <w:rPr>
          <w:b/>
          <w:color w:val="7030A0"/>
          <w:sz w:val="24"/>
          <w:szCs w:val="24"/>
        </w:rPr>
      </w:pPr>
      <w:r>
        <w:rPr>
          <w:b/>
          <w:color w:val="7030A0"/>
          <w:sz w:val="24"/>
          <w:szCs w:val="24"/>
        </w:rPr>
        <w:t>PROCEDIMIENTOS:</w:t>
      </w:r>
    </w:p>
    <w:p>
      <w:pPr>
        <w:tabs>
          <w:tab w:val="left" w:pos="1560"/>
        </w:tabs>
        <w:spacing w:before="120" w:after="120"/>
        <w:jc w:val="both"/>
        <w:rPr>
          <w:rFonts w:asciiTheme="majorHAnsi" w:eastAsiaTheme="majorEastAsia" w:hAnsiTheme="majorHAnsi" w:cstheme="majorBidi"/>
          <w:b/>
          <w:color w:val="7030A0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color w:val="7030A0"/>
          <w:sz w:val="24"/>
          <w:szCs w:val="24"/>
        </w:rPr>
        <w:t>Descripción del uso del canal interno de información de la Ley 2/2023 y principios esenciales del procedimiento de gestión:</w:t>
      </w:r>
    </w:p>
    <w:p>
      <w:pPr>
        <w:tabs>
          <w:tab w:val="left" w:pos="1560"/>
        </w:tabs>
        <w:spacing w:before="120" w:after="120"/>
        <w:jc w:val="both"/>
        <w:rPr>
          <w:rFonts w:asciiTheme="majorHAnsi" w:eastAsiaTheme="majorEastAsia" w:hAnsiTheme="majorHAnsi" w:cstheme="majorBidi"/>
          <w:b/>
          <w:color w:val="7030A0"/>
          <w:sz w:val="24"/>
          <w:szCs w:val="24"/>
        </w:rPr>
      </w:pPr>
    </w:p>
    <w:p>
      <w:pPr>
        <w:tabs>
          <w:tab w:val="left" w:pos="1560"/>
        </w:tabs>
        <w:spacing w:before="120" w:after="120" w:line="36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virtud del artículo 10. Entidades obligadas del sector privado, de la Ley 2/2023 de 20 de febrero, reguladora de la protección de las personas que informen sobre infracciones normativas y de lucha contra la corrupción, la entidad no está obligada a disponer de un sistema interno de información en los términos previstos en esta ley. </w:t>
      </w:r>
    </w:p>
    <w:p/>
    <w:p>
      <w:pPr>
        <w:spacing w:line="360" w:lineRule="auto"/>
        <w:jc w:val="both"/>
        <w:rPr>
          <w:rFonts w:ascii="docs-Roboto" w:hAnsi="docs-Roboto"/>
          <w:i/>
          <w:color w:val="202124"/>
          <w:shd w:val="clear" w:color="auto" w:fill="FFFFFF"/>
        </w:rPr>
      </w:pPr>
      <w:bookmarkStart w:id="0" w:name="_GoBack"/>
      <w:bookmarkEnd w:id="0"/>
    </w:p>
    <w:sectPr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cs-Robo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Piedepgina"/>
      <w:ind w:left="1440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-636905</wp:posOffset>
              </wp:positionH>
              <wp:positionV relativeFrom="paragraph">
                <wp:posOffset>-65405</wp:posOffset>
              </wp:positionV>
              <wp:extent cx="606425" cy="561975"/>
              <wp:effectExtent l="1270" t="1270" r="1905" b="0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6425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>
                          <w:r>
                            <w:rPr>
                              <w:b/>
                              <w:noProof/>
                              <w:sz w:val="18"/>
                              <w:lang w:eastAsia="es-ES"/>
                            </w:rPr>
                            <w:drawing>
                              <wp:inline distT="0" distB="0" distL="0" distR="0">
                                <wp:extent cx="531495" cy="531495"/>
                                <wp:effectExtent l="0" t="0" r="0" b="0"/>
                                <wp:docPr id="3" name="Imagen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1495" cy="5314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-50.15pt;margin-top:-5.15pt;width:47.75pt;height:44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" stroked="f">
              <v:textbox>
                <w:txbxContent>
                  <w:p>
                    <w:r>
                      <w:rPr>
                        <w:b/>
                        <w:noProof/>
                        <w:sz w:val="18"/>
                        <w:lang w:eastAsia="es-ES"/>
                      </w:rPr>
                      <w:drawing>
                        <wp:inline distT="0" distB="0" distL="0" distR="0">
                          <wp:extent cx="531495" cy="531495"/>
                          <wp:effectExtent l="0" t="0" r="0" b="0"/>
                          <wp:docPr id="3" name="Imagen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1495" cy="5314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>
              <wp:simplePos x="0" y="0"/>
              <wp:positionH relativeFrom="margin">
                <wp:posOffset>224155</wp:posOffset>
              </wp:positionH>
              <wp:positionV relativeFrom="paragraph">
                <wp:posOffset>21590</wp:posOffset>
              </wp:positionV>
              <wp:extent cx="4418965" cy="42481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8965" cy="424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>
                          <w:pPr>
                            <w:pStyle w:val="Piedepgina"/>
                            <w:rPr>
                              <w:rFonts w:ascii="Calibri Light" w:hAnsi="Calibri Light" w:cs="Calibri Light"/>
                              <w:sz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sz w:val="14"/>
                            </w:rPr>
                            <w:t>Oblatas del Santísimo Redentor, Provincia Europa.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i/>
                              <w:sz w:val="14"/>
                            </w:rPr>
                            <w:t xml:space="preserve"> Sistema de Protección Interno (</w:t>
                          </w:r>
                          <w:proofErr w:type="spellStart"/>
                          <w:r>
                            <w:rPr>
                              <w:rFonts w:ascii="Calibri Light" w:hAnsi="Calibri Light" w:cs="Calibri Light"/>
                              <w:b/>
                              <w:i/>
                              <w:sz w:val="14"/>
                            </w:rPr>
                            <w:t>SdPI</w:t>
                          </w:r>
                          <w:proofErr w:type="spellEnd"/>
                          <w:r>
                            <w:rPr>
                              <w:rFonts w:ascii="Calibri Light" w:hAnsi="Calibri Light" w:cs="Calibri Light"/>
                              <w:b/>
                              <w:i/>
                              <w:sz w:val="14"/>
                            </w:rPr>
                            <w:t>).</w:t>
                          </w:r>
                          <w:r>
                            <w:rPr>
                              <w:rFonts w:ascii="Calibri Light" w:hAnsi="Calibri Light" w:cs="Calibri Light"/>
                              <w:sz w:val="14"/>
                            </w:rPr>
                            <w:br/>
                            <w:t>Sistema de gestión de la protección frente a la violencia en organizaciones de acción social, educación, deporte, ocio o tiempo libre que trabajan con personas menores de edad o personas en situación de vulnerabilidad.</w:t>
                          </w:r>
                          <w:r>
                            <w:rPr>
                              <w:rFonts w:ascii="Calibri Light" w:hAnsi="Calibri Light" w:cs="Calibri Light"/>
                              <w:sz w:val="14"/>
                            </w:rPr>
                            <w:br/>
                          </w:r>
                          <w:r>
                            <w:rPr>
                              <w:rFonts w:ascii="Calibri Light" w:hAnsi="Calibri Light" w:cs="Calibri Light"/>
                              <w:i/>
                              <w:sz w:val="14"/>
                            </w:rPr>
                            <w:t>Especificación UNE 0070.</w:t>
                          </w:r>
                          <w:r>
                            <w:rPr>
                              <w:sz w:val="20"/>
                            </w:rPr>
                            <w:t xml:space="preserve"> </w:t>
                          </w:r>
                        </w:p>
                        <w:p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left:0;text-align:left;margin-left:17.65pt;margin-top:1.7pt;width:347.95pt;height:33.4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" stroked="f">
              <v:textbox>
                <w:txbxContent>
                  <w:p>
                    <w:pPr>
                      <w:pStyle w:val="Piedepgina"/>
                      <w:rPr>
                        <w:rFonts w:ascii="Calibri Light" w:hAnsi="Calibri Light" w:cs="Calibri Light"/>
                        <w:sz w:val="14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sz w:val="14"/>
                      </w:rPr>
                      <w:t>Oblatas del Santísimo Redentor, Provincia Europa.</w:t>
                    </w:r>
                    <w:r>
                      <w:rPr>
                        <w:rFonts w:ascii="Calibri Light" w:hAnsi="Calibri Light" w:cs="Calibri Light"/>
                        <w:b/>
                        <w:i/>
                        <w:sz w:val="14"/>
                      </w:rPr>
                      <w:t xml:space="preserve"> Sistema de Protección Interno (</w:t>
                    </w:r>
                    <w:proofErr w:type="spellStart"/>
                    <w:r>
                      <w:rPr>
                        <w:rFonts w:ascii="Calibri Light" w:hAnsi="Calibri Light" w:cs="Calibri Light"/>
                        <w:b/>
                        <w:i/>
                        <w:sz w:val="14"/>
                      </w:rPr>
                      <w:t>SdPI</w:t>
                    </w:r>
                    <w:proofErr w:type="spellEnd"/>
                    <w:r>
                      <w:rPr>
                        <w:rFonts w:ascii="Calibri Light" w:hAnsi="Calibri Light" w:cs="Calibri Light"/>
                        <w:b/>
                        <w:i/>
                        <w:sz w:val="14"/>
                      </w:rPr>
                      <w:t>).</w:t>
                    </w:r>
                    <w:r>
                      <w:rPr>
                        <w:rFonts w:ascii="Calibri Light" w:hAnsi="Calibri Light" w:cs="Calibri Light"/>
                        <w:sz w:val="14"/>
                      </w:rPr>
                      <w:br/>
                      <w:t>Sistema de gestión de la protección frente a la violencia en organizaciones de acción social, educación, deporte, ocio o tiempo libre que trabajan con personas menores de edad o personas en situación de vulnerabilidad.</w:t>
                    </w:r>
                    <w:r>
                      <w:rPr>
                        <w:rFonts w:ascii="Calibri Light" w:hAnsi="Calibri Light" w:cs="Calibri Light"/>
                        <w:sz w:val="14"/>
                      </w:rPr>
                      <w:br/>
                    </w:r>
                    <w:r>
                      <w:rPr>
                        <w:rFonts w:ascii="Calibri Light" w:hAnsi="Calibri Light" w:cs="Calibri Light"/>
                        <w:i/>
                        <w:sz w:val="14"/>
                      </w:rPr>
                      <w:t>Especificación UNE 0070.</w:t>
                    </w:r>
                    <w:r>
                      <w:rPr>
                        <w:sz w:val="20"/>
                      </w:rPr>
                      <w:t xml:space="preserve"> </w:t>
                    </w:r>
                  </w:p>
                  <w:p>
                    <w:pPr>
                      <w:jc w:val="both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Calibri Light" w:hAnsi="Calibri Light" w:cs="Calibri Light"/>
        <w:b/>
        <w:sz w:val="16"/>
      </w:rPr>
      <w:t xml:space="preserve"> </w:t>
    </w:r>
  </w:p>
  <w:p>
    <w:pPr>
      <w:pStyle w:val="Piedepgina"/>
      <w:rPr>
        <w:b/>
        <w:sz w:val="18"/>
      </w:rPr>
    </w:pPr>
  </w:p>
  <w:p>
    <w:pPr>
      <w:pStyle w:val="Piedepgina"/>
      <w:ind w:left="1416"/>
      <w:jc w:val="right"/>
      <w:rPr>
        <w:b/>
        <w:bCs/>
        <w:sz w:val="18"/>
        <w:szCs w:val="24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240030</wp:posOffset>
          </wp:positionV>
          <wp:extent cx="7590155" cy="225425"/>
          <wp:effectExtent l="0" t="0" r="0" b="0"/>
          <wp:wrapNone/>
          <wp:docPr id="1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225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</w:rPr>
      <w:t xml:space="preserve">Página </w:t>
    </w:r>
    <w:r>
      <w:rPr>
        <w:b/>
        <w:bCs/>
        <w:sz w:val="18"/>
        <w:szCs w:val="24"/>
      </w:rPr>
      <w:fldChar w:fldCharType="begin"/>
    </w:r>
    <w:r>
      <w:rPr>
        <w:b/>
        <w:bCs/>
        <w:sz w:val="16"/>
      </w:rPr>
      <w:instrText>PAGE</w:instrText>
    </w:r>
    <w:r>
      <w:rPr>
        <w:b/>
        <w:bCs/>
        <w:sz w:val="18"/>
        <w:szCs w:val="24"/>
      </w:rPr>
      <w:fldChar w:fldCharType="separate"/>
    </w:r>
    <w:r>
      <w:rPr>
        <w:b/>
        <w:bCs/>
        <w:noProof/>
        <w:sz w:val="16"/>
      </w:rPr>
      <w:t>1</w:t>
    </w:r>
    <w:r>
      <w:rPr>
        <w:b/>
        <w:bCs/>
        <w:sz w:val="18"/>
        <w:szCs w:val="24"/>
      </w:rPr>
      <w:fldChar w:fldCharType="end"/>
    </w:r>
    <w:r>
      <w:rPr>
        <w:sz w:val="16"/>
      </w:rPr>
      <w:t xml:space="preserve"> de </w:t>
    </w:r>
    <w:r>
      <w:rPr>
        <w:b/>
        <w:bCs/>
        <w:sz w:val="18"/>
        <w:szCs w:val="24"/>
      </w:rPr>
      <w:fldChar w:fldCharType="begin"/>
    </w:r>
    <w:r>
      <w:rPr>
        <w:b/>
        <w:bCs/>
        <w:sz w:val="16"/>
      </w:rPr>
      <w:instrText>NUMPAGES</w:instrText>
    </w:r>
    <w:r>
      <w:rPr>
        <w:b/>
        <w:bCs/>
        <w:sz w:val="18"/>
        <w:szCs w:val="24"/>
      </w:rPr>
      <w:fldChar w:fldCharType="separate"/>
    </w:r>
    <w:r>
      <w:rPr>
        <w:b/>
        <w:bCs/>
        <w:noProof/>
        <w:sz w:val="16"/>
      </w:rPr>
      <w:t>1</w:t>
    </w:r>
    <w:r>
      <w:rPr>
        <w:b/>
        <w:bCs/>
        <w:sz w:val="18"/>
        <w:szCs w:val="24"/>
      </w:rPr>
      <w:fldChar w:fldCharType="end"/>
    </w:r>
  </w:p>
  <w:p>
    <w:pPr>
      <w:pStyle w:val="Piedepgina"/>
      <w:ind w:left="1416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224155</wp:posOffset>
          </wp:positionH>
          <wp:positionV relativeFrom="paragraph">
            <wp:posOffset>20955</wp:posOffset>
          </wp:positionV>
          <wp:extent cx="1569720" cy="831850"/>
          <wp:effectExtent l="0" t="0" r="0" b="0"/>
          <wp:wrapNone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>
    <w:pPr>
      <w:pStyle w:val="Encabezado"/>
      <w:jc w:val="right"/>
      <w:rPr>
        <w:sz w:val="20"/>
      </w:rPr>
    </w:pPr>
  </w:p>
  <w:p>
    <w:pPr>
      <w:pStyle w:val="Encabezado"/>
    </w:pPr>
  </w:p>
  <w:p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ED9"/>
    <w:multiLevelType w:val="hybridMultilevel"/>
    <w:tmpl w:val="74788B9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06CF3"/>
    <w:multiLevelType w:val="hybridMultilevel"/>
    <w:tmpl w:val="4D74BAFC"/>
    <w:lvl w:ilvl="0" w:tplc="588C872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6763948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61DED"/>
    <w:multiLevelType w:val="hybridMultilevel"/>
    <w:tmpl w:val="5B3210E2"/>
    <w:lvl w:ilvl="0" w:tplc="D472ABE8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983749"/>
    <w:multiLevelType w:val="hybridMultilevel"/>
    <w:tmpl w:val="F81043DA"/>
    <w:lvl w:ilvl="0" w:tplc="6B4A5A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2932EA"/>
    <w:multiLevelType w:val="multilevel"/>
    <w:tmpl w:val="19288F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36246F"/>
    <w:multiLevelType w:val="hybridMultilevel"/>
    <w:tmpl w:val="C4A0C51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472582"/>
    <w:multiLevelType w:val="hybridMultilevel"/>
    <w:tmpl w:val="1DFEDC1A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86F50"/>
    <w:multiLevelType w:val="hybridMultilevel"/>
    <w:tmpl w:val="51A6C7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9F212D"/>
    <w:multiLevelType w:val="hybridMultilevel"/>
    <w:tmpl w:val="B2F846EE"/>
    <w:lvl w:ilvl="0" w:tplc="8F563D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F1683B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C0A001B">
      <w:start w:val="1"/>
      <w:numFmt w:val="lowerRoman"/>
      <w:lvlText w:val="%3."/>
      <w:lvlJc w:val="right"/>
      <w:pPr>
        <w:ind w:left="748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3734F"/>
    <w:multiLevelType w:val="hybridMultilevel"/>
    <w:tmpl w:val="06149BC8"/>
    <w:lvl w:ilvl="0" w:tplc="BB925FE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144FE"/>
    <w:multiLevelType w:val="hybridMultilevel"/>
    <w:tmpl w:val="8A2ADDF8"/>
    <w:lvl w:ilvl="0" w:tplc="0C0A0015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AF166E"/>
    <w:multiLevelType w:val="hybridMultilevel"/>
    <w:tmpl w:val="76A895A0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ED54F22"/>
    <w:multiLevelType w:val="hybridMultilevel"/>
    <w:tmpl w:val="B99A0300"/>
    <w:lvl w:ilvl="0" w:tplc="5FC205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9"/>
  </w:num>
  <w:num w:numId="7">
    <w:abstractNumId w:val="2"/>
  </w:num>
  <w:num w:numId="8">
    <w:abstractNumId w:val="6"/>
  </w:num>
  <w:num w:numId="9">
    <w:abstractNumId w:val="10"/>
  </w:num>
  <w:num w:numId="10">
    <w:abstractNumId w:val="5"/>
  </w:num>
  <w:num w:numId="11">
    <w:abstractNumId w:val="7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45618ECB-A5E3-4B79-9A2D-789251E9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Pr>
      <w:sz w:val="20"/>
      <w:szCs w:val="20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</w:style>
  <w:style w:type="character" w:styleId="Hipervnculo">
    <w:name w:val="Hyperlink"/>
    <w:uiPriority w:val="99"/>
    <w:unhideWhenUsed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spacing w:after="0" w:line="240" w:lineRule="auto"/>
      <w:ind w:left="101"/>
    </w:pPr>
    <w:rPr>
      <w:rFonts w:ascii="Arial" w:eastAsia="Arial" w:hAnsi="Arial"/>
      <w:lang w:val="en-US"/>
    </w:rPr>
  </w:style>
  <w:style w:type="character" w:customStyle="1" w:styleId="TextoindependienteCar">
    <w:name w:val="Texto independiente Car"/>
    <w:link w:val="Textoindependiente"/>
    <w:uiPriority w:val="1"/>
    <w:rPr>
      <w:rFonts w:ascii="Arial" w:eastAsia="Arial" w:hAnsi="Arial" w:cs="Times New Roman"/>
      <w:lang w:val="en-US"/>
    </w:rPr>
  </w:style>
  <w:style w:type="character" w:styleId="Hipervnculovisitado">
    <w:name w:val="FollowedHyperlink"/>
    <w:uiPriority w:val="99"/>
    <w:semiHidden/>
    <w:unhideWhenUsed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Usuario19</dc:creator>
  <cp:keywords/>
  <dc:description/>
  <cp:lastModifiedBy>Usuario02</cp:lastModifiedBy>
  <cp:revision>7</cp:revision>
  <cp:lastPrinted>2026-09-22T13:32:00Z</cp:lastPrinted>
  <dcterms:created xsi:type="dcterms:W3CDTF">2026-09-22T13:25:00Z</dcterms:created>
  <dcterms:modified xsi:type="dcterms:W3CDTF">2026-10-12T13:38:00Z</dcterms:modified>
</cp:coreProperties>
</file>