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  <w:bCs/>
          <w:sz w:val="24"/>
          <w:szCs w:val="24"/>
        </w:rPr>
      </w:pPr>
    </w:p>
    <w:p>
      <w:pPr>
        <w:rPr>
          <w:rFonts w:ascii="Arial" w:hAnsi="Arial" w:cs="Arial"/>
          <w:b/>
          <w:sz w:val="24"/>
          <w:szCs w:val="24"/>
        </w:rPr>
      </w:pPr>
    </w:p>
    <w:p>
      <w:pPr>
        <w:shd w:val="clear" w:color="auto" w:fill="CCCCFF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EQUIPO LABORAL</w:t>
      </w:r>
      <w:bookmarkStart w:id="0" w:name="_GoBack"/>
      <w:bookmarkEnd w:id="0"/>
    </w:p>
    <w:p>
      <w:pPr>
        <w:pStyle w:val="Prrafodelista"/>
        <w:ind w:left="862"/>
        <w:rPr>
          <w:rFonts w:ascii="Arial" w:hAnsi="Arial" w:cs="Arial"/>
          <w:b/>
          <w:sz w:val="24"/>
          <w:szCs w:val="24"/>
        </w:rPr>
      </w:pPr>
    </w:p>
    <w:p>
      <w:pPr>
        <w:jc w:val="center"/>
        <w:rPr>
          <w:b/>
        </w:rPr>
      </w:pPr>
      <w:r>
        <w:rPr>
          <w:b/>
        </w:rPr>
        <w:t>DIRECCIÓN/COORDINACIÓN</w:t>
      </w:r>
    </w:p>
    <w:p/>
    <w:p>
      <w:r>
        <w:t xml:space="preserve">Asun Bartolomé Díez –  Directora </w:t>
      </w:r>
    </w:p>
    <w:p>
      <w:r>
        <w:t>Yanira Santana Sosa- Coordinadora</w:t>
      </w:r>
    </w:p>
    <w:p>
      <w:r>
        <w:t xml:space="preserve"> </w:t>
      </w:r>
    </w:p>
    <w:p>
      <w:pPr>
        <w:jc w:val="center"/>
        <w:rPr>
          <w:b/>
        </w:rPr>
      </w:pPr>
      <w:r>
        <w:rPr>
          <w:b/>
        </w:rPr>
        <w:t>EQUIPO TÉCNICO INTERDISCIPLINAR</w:t>
      </w:r>
    </w:p>
    <w:p/>
    <w:p>
      <w:pPr>
        <w:rPr>
          <w:u w:val="single"/>
        </w:rPr>
      </w:pPr>
      <w:r>
        <w:rPr>
          <w:u w:val="single"/>
        </w:rPr>
        <w:t>ÁREA PSICÓLOGICA</w:t>
      </w:r>
    </w:p>
    <w:p>
      <w:r>
        <w:t>Erika Spagnolo - Psicóloga</w:t>
      </w:r>
    </w:p>
    <w:p/>
    <w:p>
      <w:pPr>
        <w:rPr>
          <w:u w:val="single"/>
        </w:rPr>
      </w:pPr>
      <w:r>
        <w:rPr>
          <w:u w:val="single"/>
        </w:rPr>
        <w:t>ÁREA SOCIAL</w:t>
      </w:r>
    </w:p>
    <w:p>
      <w:r>
        <w:t xml:space="preserve">Carmen Cruz Barceló –  Trabajadora Social </w:t>
      </w:r>
    </w:p>
    <w:p>
      <w:r>
        <w:t xml:space="preserve">Yenny Martínez Quintero –  Trabajadora Social </w:t>
      </w:r>
    </w:p>
    <w:p/>
    <w:p>
      <w:pPr>
        <w:rPr>
          <w:u w:val="single"/>
        </w:rPr>
      </w:pPr>
      <w:r>
        <w:rPr>
          <w:u w:val="single"/>
        </w:rPr>
        <w:t>ÁREA SENSIBILIZACIÓN E INCIDENCIA POLÍTICA</w:t>
      </w:r>
    </w:p>
    <w:p>
      <w:r>
        <w:t>María del Carmen Flores Rodríguez – Trabajadora social/Formadora</w:t>
      </w:r>
    </w:p>
    <w:p/>
    <w:p>
      <w:pPr>
        <w:rPr>
          <w:u w:val="single"/>
        </w:rPr>
      </w:pPr>
      <w:r>
        <w:rPr>
          <w:u w:val="single"/>
        </w:rPr>
        <w:t>ÁREA LEGAL</w:t>
      </w:r>
    </w:p>
    <w:p>
      <w:r>
        <w:t>María Dolores Rodríguez Rosales - Abogada</w:t>
      </w:r>
    </w:p>
    <w:p/>
    <w:p>
      <w:pPr>
        <w:rPr>
          <w:u w:val="single"/>
        </w:rPr>
      </w:pPr>
      <w:r>
        <w:rPr>
          <w:u w:val="single"/>
        </w:rPr>
        <w:t>ÁREA GESTIÓN</w:t>
      </w:r>
    </w:p>
    <w:p>
      <w:r>
        <w:t>María Ángeles Segura Reyes – Trabajadora Social</w:t>
      </w:r>
    </w:p>
    <w:p>
      <w:r>
        <w:t>Patricia Déniz Medina - Contable</w:t>
      </w:r>
    </w:p>
    <w:p/>
    <w:p/>
    <w:p/>
    <w:p/>
    <w:p>
      <w:pPr>
        <w:rPr>
          <w:u w:val="single"/>
        </w:rPr>
      </w:pPr>
      <w:r>
        <w:rPr>
          <w:u w:val="single"/>
        </w:rPr>
        <w:t>ÁREA FORMATIVA LABORAL</w:t>
      </w:r>
    </w:p>
    <w:p>
      <w:r>
        <w:t>Águeda María Alemán Sánchez – Trabajadora social</w:t>
      </w:r>
    </w:p>
    <w:p>
      <w:r>
        <w:t xml:space="preserve">Alba Santana Ramírez – Orientadora Laboral </w:t>
      </w:r>
    </w:p>
    <w:p/>
    <w:p>
      <w:pPr>
        <w:rPr>
          <w:u w:val="single"/>
        </w:rPr>
      </w:pPr>
      <w:r>
        <w:rPr>
          <w:u w:val="single"/>
        </w:rPr>
        <w:t>ÁREA RESIDENCIAL</w:t>
      </w:r>
    </w:p>
    <w:p/>
    <w:p>
      <w:r>
        <w:t>Bárbara María Hernández Rodríguez – Educadora Social</w:t>
      </w:r>
    </w:p>
    <w:p>
      <w:r>
        <w:t>Berenice Armas Mederos -  Educadora Social</w:t>
      </w:r>
    </w:p>
    <w:p>
      <w:r>
        <w:t>Carolina Conde Rivero –  Educadora Social</w:t>
      </w:r>
    </w:p>
    <w:p>
      <w:r>
        <w:t>Eva Rosa González Almeida – Educadora Social</w:t>
      </w:r>
    </w:p>
    <w:p>
      <w:r>
        <w:t>Noemí Pérez Alemán –  Educadora Social</w:t>
      </w:r>
    </w:p>
    <w:p>
      <w:r>
        <w:t>Osiris del Carmen Bayther Feriaz – Educadora Social</w:t>
      </w:r>
    </w:p>
    <w:p>
      <w:r>
        <w:t>Ylenia María Reyes Ramírez – Integradora Social</w:t>
      </w:r>
    </w:p>
    <w:p/>
    <w:p>
      <w:pPr>
        <w:tabs>
          <w:tab w:val="left" w:pos="2853"/>
        </w:tabs>
        <w:rPr>
          <w:b/>
        </w:rPr>
      </w:pPr>
      <w:r>
        <w:tab/>
      </w:r>
      <w:r>
        <w:rPr>
          <w:b/>
        </w:rPr>
        <w:t>PERSONAL NO TÉCNICO</w:t>
      </w:r>
    </w:p>
    <w:p>
      <w:pPr>
        <w:tabs>
          <w:tab w:val="left" w:pos="2853"/>
        </w:tabs>
        <w:rPr>
          <w:u w:val="single"/>
        </w:rPr>
      </w:pPr>
      <w:r>
        <w:rPr>
          <w:u w:val="single"/>
        </w:rPr>
        <w:t>ÁREA LIMPIEZA</w:t>
      </w:r>
    </w:p>
    <w:p>
      <w:pPr>
        <w:tabs>
          <w:tab w:val="left" w:pos="2853"/>
        </w:tabs>
      </w:pPr>
      <w:r>
        <w:t>Elga Rosalba Becerra Torrico - Limpiadora</w:t>
      </w:r>
    </w:p>
    <w:p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>
      <w:pPr>
        <w:spacing w:line="360" w:lineRule="auto"/>
        <w:jc w:val="both"/>
        <w:rPr>
          <w:rFonts w:ascii="docs-Roboto" w:hAnsi="docs-Roboto"/>
          <w:i/>
          <w:color w:val="202124"/>
          <w:shd w:val="clear" w:color="auto" w:fill="FFFFFF"/>
        </w:rPr>
      </w:pPr>
    </w:p>
    <w:sectPr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Piedepgina"/>
      <w:ind w:left="1440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-636905</wp:posOffset>
              </wp:positionH>
              <wp:positionV relativeFrom="paragraph">
                <wp:posOffset>-65405</wp:posOffset>
              </wp:positionV>
              <wp:extent cx="606425" cy="561975"/>
              <wp:effectExtent l="1270" t="1270" r="1905" b="0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425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r>
                            <w:rPr>
                              <w:b/>
                              <w:noProof/>
                              <w:sz w:val="18"/>
                              <w:lang w:eastAsia="es-ES"/>
                            </w:rPr>
                            <w:drawing>
                              <wp:inline distT="0" distB="0" distL="0" distR="0">
                                <wp:extent cx="531495" cy="531495"/>
                                <wp:effectExtent l="0" t="0" r="0" b="0"/>
                                <wp:docPr id="3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1495" cy="53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50.15pt;margin-top:-5.15pt;width:47.75pt;height:44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" stroked="f">
              <v:textbox>
                <w:txbxContent>
                  <w:p>
                    <w:r>
                      <w:rPr>
                        <w:b/>
                        <w:noProof/>
                        <w:sz w:val="18"/>
                        <w:lang w:eastAsia="es-ES"/>
                      </w:rPr>
                      <w:drawing>
                        <wp:inline distT="0" distB="0" distL="0" distR="0">
                          <wp:extent cx="531495" cy="531495"/>
                          <wp:effectExtent l="0" t="0" r="0" b="0"/>
                          <wp:docPr id="3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1495" cy="53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>
              <wp:simplePos x="0" y="0"/>
              <wp:positionH relativeFrom="margin">
                <wp:posOffset>224155</wp:posOffset>
              </wp:positionH>
              <wp:positionV relativeFrom="paragraph">
                <wp:posOffset>21590</wp:posOffset>
              </wp:positionV>
              <wp:extent cx="4418965" cy="42481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8965" cy="424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pStyle w:val="Piedepgina"/>
                            <w:rPr>
                              <w:rFonts w:ascii="Calibri Light" w:hAnsi="Calibri Light" w:cs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sz w:val="14"/>
                            </w:rPr>
                            <w:t>Oblatas del Santísimo Redentor, Provincia Europa.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i/>
                              <w:sz w:val="14"/>
                            </w:rPr>
                            <w:t xml:space="preserve"> Sistema de Protección Interno (SdPI).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</w:rPr>
                            <w:br/>
                            <w:t>Sistema de gestión de la protección frente a la violencia en organizaciones de acción social, educación, deporte, ocio o tiempo libre que trabajan con personas menores de edad o personas en situación de vulnerabilidad.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</w:rPr>
                            <w:br/>
                          </w:r>
                          <w:r>
                            <w:rPr>
                              <w:rFonts w:ascii="Calibri Light" w:hAnsi="Calibri Light" w:cs="Calibri Light"/>
                              <w:i/>
                              <w:sz w:val="14"/>
                            </w:rPr>
                            <w:t>Especificación UNE 0070.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</w:p>
                        <w:p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17.65pt;margin-top:1.7pt;width:347.95pt;height:33.4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" stroked="f">
              <v:textbox>
                <w:txbxContent>
                  <w:p>
                    <w:pPr>
                      <w:pStyle w:val="Piedepgina"/>
                      <w:rPr>
                        <w:rFonts w:ascii="Calibri Light" w:hAnsi="Calibri Light" w:cs="Calibri Light"/>
                        <w:sz w:val="14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sz w:val="14"/>
                      </w:rPr>
                      <w:t>Oblatas del Santísimo Redentor, Provincia Europa.</w:t>
                    </w:r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 xml:space="preserve"> Sistema de Protección Interno (</w:t>
                    </w:r>
                    <w:proofErr w:type="spellStart"/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>SdPI</w:t>
                    </w:r>
                    <w:proofErr w:type="spellEnd"/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>).</w:t>
                    </w:r>
                    <w:r>
                      <w:rPr>
                        <w:rFonts w:ascii="Calibri Light" w:hAnsi="Calibri Light" w:cs="Calibri Light"/>
                        <w:sz w:val="14"/>
                      </w:rPr>
                      <w:br/>
                      <w:t>Sistema de gestión de la protección frente a la violencia en organizaciones de acción social, educación, deporte, ocio o tiempo libre que trabajan con personas menores de edad o personas en situación de vulnerabilidad.</w:t>
                    </w:r>
                    <w:r>
                      <w:rPr>
                        <w:rFonts w:ascii="Calibri Light" w:hAnsi="Calibri Light" w:cs="Calibri Light"/>
                        <w:sz w:val="14"/>
                      </w:rPr>
                      <w:br/>
                    </w:r>
                    <w:r>
                      <w:rPr>
                        <w:rFonts w:ascii="Calibri Light" w:hAnsi="Calibri Light" w:cs="Calibri Light"/>
                        <w:i/>
                        <w:sz w:val="14"/>
                      </w:rPr>
                      <w:t>Especificación UNE 0070.</w:t>
                    </w:r>
                    <w:r>
                      <w:rPr>
                        <w:sz w:val="20"/>
                      </w:rPr>
                      <w:t xml:space="preserve"> </w:t>
                    </w:r>
                  </w:p>
                  <w:p>
                    <w:pPr>
                      <w:jc w:val="both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Calibri Light" w:hAnsi="Calibri Light" w:cs="Calibri Light"/>
        <w:b/>
        <w:sz w:val="16"/>
      </w:rPr>
      <w:t xml:space="preserve"> </w:t>
    </w:r>
  </w:p>
  <w:p>
    <w:pPr>
      <w:pStyle w:val="Piedepgina"/>
      <w:rPr>
        <w:b/>
        <w:sz w:val="18"/>
      </w:rPr>
    </w:pPr>
  </w:p>
  <w:p>
    <w:pPr>
      <w:pStyle w:val="Piedepgina"/>
      <w:ind w:left="1416"/>
      <w:jc w:val="right"/>
      <w:rPr>
        <w:b/>
        <w:bCs/>
        <w:sz w:val="18"/>
        <w:szCs w:val="24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240030</wp:posOffset>
          </wp:positionV>
          <wp:extent cx="7590155" cy="225425"/>
          <wp:effectExtent l="0" t="0" r="0" b="0"/>
          <wp:wrapNone/>
          <wp:docPr id="1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22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</w:rPr>
      <w:t xml:space="preserve">Página </w:t>
    </w:r>
    <w:r>
      <w:rPr>
        <w:b/>
        <w:bCs/>
        <w:sz w:val="18"/>
        <w:szCs w:val="24"/>
      </w:rPr>
      <w:fldChar w:fldCharType="begin"/>
    </w:r>
    <w:r>
      <w:rPr>
        <w:b/>
        <w:bCs/>
        <w:sz w:val="16"/>
      </w:rPr>
      <w:instrText>PAGE</w:instrText>
    </w:r>
    <w:r>
      <w:rPr>
        <w:b/>
        <w:bCs/>
        <w:sz w:val="18"/>
        <w:szCs w:val="24"/>
      </w:rPr>
      <w:fldChar w:fldCharType="separate"/>
    </w:r>
    <w:r>
      <w:rPr>
        <w:b/>
        <w:bCs/>
        <w:noProof/>
        <w:sz w:val="16"/>
      </w:rPr>
      <w:t>2</w:t>
    </w:r>
    <w:r>
      <w:rPr>
        <w:b/>
        <w:bCs/>
        <w:sz w:val="18"/>
        <w:szCs w:val="24"/>
      </w:rPr>
      <w:fldChar w:fldCharType="end"/>
    </w:r>
    <w:r>
      <w:rPr>
        <w:sz w:val="16"/>
      </w:rPr>
      <w:t xml:space="preserve"> de </w:t>
    </w:r>
    <w:r>
      <w:rPr>
        <w:b/>
        <w:bCs/>
        <w:sz w:val="18"/>
        <w:szCs w:val="24"/>
      </w:rPr>
      <w:fldChar w:fldCharType="begin"/>
    </w:r>
    <w:r>
      <w:rPr>
        <w:b/>
        <w:bCs/>
        <w:sz w:val="16"/>
      </w:rPr>
      <w:instrText>NUMPAGES</w:instrText>
    </w:r>
    <w:r>
      <w:rPr>
        <w:b/>
        <w:bCs/>
        <w:sz w:val="18"/>
        <w:szCs w:val="24"/>
      </w:rPr>
      <w:fldChar w:fldCharType="separate"/>
    </w:r>
    <w:r>
      <w:rPr>
        <w:b/>
        <w:bCs/>
        <w:noProof/>
        <w:sz w:val="16"/>
      </w:rPr>
      <w:t>2</w:t>
    </w:r>
    <w:r>
      <w:rPr>
        <w:b/>
        <w:bCs/>
        <w:sz w:val="18"/>
        <w:szCs w:val="24"/>
      </w:rPr>
      <w:fldChar w:fldCharType="end"/>
    </w:r>
  </w:p>
  <w:p>
    <w:pPr>
      <w:pStyle w:val="Piedepgina"/>
      <w:ind w:left="1416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224155</wp:posOffset>
          </wp:positionH>
          <wp:positionV relativeFrom="paragraph">
            <wp:posOffset>20955</wp:posOffset>
          </wp:positionV>
          <wp:extent cx="1569720" cy="831850"/>
          <wp:effectExtent l="0" t="0" r="0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>
    <w:pPr>
      <w:pStyle w:val="Encabezado"/>
      <w:jc w:val="right"/>
      <w:rPr>
        <w:sz w:val="20"/>
      </w:rPr>
    </w:pPr>
  </w:p>
  <w:p>
    <w:pPr>
      <w:pStyle w:val="Encabezado"/>
    </w:pPr>
  </w:p>
  <w:p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ED9"/>
    <w:multiLevelType w:val="hybridMultilevel"/>
    <w:tmpl w:val="74788B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06CF3"/>
    <w:multiLevelType w:val="hybridMultilevel"/>
    <w:tmpl w:val="4D74BAFC"/>
    <w:lvl w:ilvl="0" w:tplc="588C872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6763948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61DED"/>
    <w:multiLevelType w:val="hybridMultilevel"/>
    <w:tmpl w:val="5B3210E2"/>
    <w:lvl w:ilvl="0" w:tplc="D472ABE8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983749"/>
    <w:multiLevelType w:val="hybridMultilevel"/>
    <w:tmpl w:val="F81043DA"/>
    <w:lvl w:ilvl="0" w:tplc="6B4A5A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2932EA"/>
    <w:multiLevelType w:val="multilevel"/>
    <w:tmpl w:val="19288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36246F"/>
    <w:multiLevelType w:val="hybridMultilevel"/>
    <w:tmpl w:val="C4A0C51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472582"/>
    <w:multiLevelType w:val="hybridMultilevel"/>
    <w:tmpl w:val="1DFEDC1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86F50"/>
    <w:multiLevelType w:val="hybridMultilevel"/>
    <w:tmpl w:val="51A6C7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F212D"/>
    <w:multiLevelType w:val="hybridMultilevel"/>
    <w:tmpl w:val="B2F846EE"/>
    <w:lvl w:ilvl="0" w:tplc="8F563D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F1683B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C0A001B">
      <w:start w:val="1"/>
      <w:numFmt w:val="lowerRoman"/>
      <w:lvlText w:val="%3."/>
      <w:lvlJc w:val="right"/>
      <w:pPr>
        <w:ind w:left="748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3734F"/>
    <w:multiLevelType w:val="hybridMultilevel"/>
    <w:tmpl w:val="06149BC8"/>
    <w:lvl w:ilvl="0" w:tplc="BB925FE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144FE"/>
    <w:multiLevelType w:val="hybridMultilevel"/>
    <w:tmpl w:val="8A2ADDF8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AF166E"/>
    <w:multiLevelType w:val="hybridMultilevel"/>
    <w:tmpl w:val="76A895A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D54F22"/>
    <w:multiLevelType w:val="hybridMultilevel"/>
    <w:tmpl w:val="B99A0300"/>
    <w:lvl w:ilvl="0" w:tplc="5FC205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10"/>
  </w:num>
  <w:num w:numId="10">
    <w:abstractNumId w:val="5"/>
  </w:num>
  <w:num w:numId="11">
    <w:abstractNumId w:val="7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5618ECB-A5E3-4B79-9A2D-789251E9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</w:style>
  <w:style w:type="character" w:styleId="Hipervnculo">
    <w:name w:val="Hyperlink"/>
    <w:uiPriority w:val="99"/>
    <w:unhideWhenUsed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spacing w:after="0" w:line="240" w:lineRule="auto"/>
      <w:ind w:left="101"/>
    </w:pPr>
    <w:rPr>
      <w:rFonts w:ascii="Arial" w:eastAsia="Arial" w:hAnsi="Arial"/>
      <w:lang w:val="en-US"/>
    </w:rPr>
  </w:style>
  <w:style w:type="character" w:customStyle="1" w:styleId="TextoindependienteCar">
    <w:name w:val="Texto independiente Car"/>
    <w:link w:val="Textoindependiente"/>
    <w:uiPriority w:val="1"/>
    <w:rPr>
      <w:rFonts w:ascii="Arial" w:eastAsia="Arial" w:hAnsi="Arial" w:cs="Times New Roman"/>
      <w:lang w:val="en-US"/>
    </w:rPr>
  </w:style>
  <w:style w:type="character" w:styleId="Hipervnculovisitado">
    <w:name w:val="FollowedHyperlink"/>
    <w:uiPriority w:val="99"/>
    <w:semiHidden/>
    <w:unhideWhenUsed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Usuario19</dc:creator>
  <cp:keywords/>
  <dc:description/>
  <cp:lastModifiedBy>Usuario02</cp:lastModifiedBy>
  <cp:revision>7</cp:revision>
  <cp:lastPrinted>2026-09-22T13:32:00Z</cp:lastPrinted>
  <dcterms:created xsi:type="dcterms:W3CDTF">2026-09-22T13:25:00Z</dcterms:created>
  <dcterms:modified xsi:type="dcterms:W3CDTF">2026-10-15T17:49:00Z</dcterms:modified>
</cp:coreProperties>
</file>