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autoSpaceDE w:val="0"/>
        <w:autoSpaceDN w:val="0"/>
        <w:adjustRightInd w:val="0"/>
        <w:spacing w:after="0"/>
        <w:jc w:val="center"/>
        <w:outlineLvl w:val="0"/>
        <w:rPr>
          <w:rFonts w:ascii="Bodoni MT" w:hAnsi="Bodoni MT" w:cs="TradeGothic-Light"/>
          <w:b/>
          <w:i/>
          <w:color w:val="365F91" w:themeColor="accent1" w:themeShade="BF"/>
          <w:sz w:val="48"/>
          <w:szCs w:val="48"/>
        </w:rPr>
      </w:pPr>
      <w:r>
        <w:rPr>
          <w:rFonts w:ascii="Bodoni MT" w:hAnsi="Bodoni MT" w:cs="TradeGothic-Light"/>
          <w:b/>
          <w:i/>
          <w:color w:val="365F91" w:themeColor="accent1" w:themeShade="BF"/>
          <w:sz w:val="48"/>
          <w:szCs w:val="48"/>
        </w:rPr>
        <w:t>Memoria de Actividades 2025</w:t>
      </w:r>
    </w:p>
    <w:p>
      <w:pPr>
        <w:autoSpaceDE w:val="0"/>
        <w:autoSpaceDN w:val="0"/>
        <w:adjustRightInd w:val="0"/>
        <w:spacing w:after="0"/>
        <w:jc w:val="center"/>
        <w:outlineLvl w:val="0"/>
        <w:rPr>
          <w:rFonts w:ascii="Bodoni MT" w:hAnsi="Bodoni MT" w:cs="TradeGothic-Light"/>
          <w:b/>
          <w:i/>
          <w:color w:val="365F91" w:themeColor="accent1" w:themeShade="BF"/>
          <w:sz w:val="48"/>
          <w:szCs w:val="48"/>
        </w:rPr>
      </w:pPr>
    </w:p>
    <w:p>
      <w:pPr>
        <w:autoSpaceDE w:val="0"/>
        <w:autoSpaceDN w:val="0"/>
        <w:adjustRightInd w:val="0"/>
        <w:spacing w:after="0"/>
        <w:jc w:val="center"/>
        <w:outlineLvl w:val="0"/>
        <w:rPr>
          <w:rFonts w:ascii="Bodoni MT" w:hAnsi="Bodoni MT" w:cs="TradeGothic-Light"/>
          <w:b/>
          <w:i/>
          <w:color w:val="365F91" w:themeColor="accent1" w:themeShade="BF"/>
          <w:sz w:val="48"/>
          <w:szCs w:val="48"/>
        </w:rPr>
      </w:pPr>
    </w:p>
    <w:p>
      <w:pPr>
        <w:autoSpaceDE w:val="0"/>
        <w:autoSpaceDN w:val="0"/>
        <w:adjustRightInd w:val="0"/>
        <w:spacing w:after="0"/>
        <w:jc w:val="center"/>
        <w:outlineLvl w:val="0"/>
        <w:rPr>
          <w:rFonts w:ascii="Bodoni MT" w:hAnsi="Bodoni MT" w:cs="TradeGothic-Light"/>
          <w:b/>
          <w:i/>
          <w:color w:val="E36C0A" w:themeColor="accent6" w:themeShade="BF"/>
          <w:sz w:val="48"/>
          <w:szCs w:val="48"/>
        </w:rPr>
      </w:pPr>
      <w:r>
        <w:rPr>
          <w:rFonts w:ascii="Bodoni MT" w:hAnsi="Bodoni MT" w:cs="TradeGothic-Light"/>
          <w:b/>
          <w:i/>
          <w:noProof/>
          <w:color w:val="E36C0A" w:themeColor="accent6" w:themeShade="BF"/>
          <w:sz w:val="48"/>
          <w:szCs w:val="48"/>
          <w:lang w:eastAsia="es-ES"/>
        </w:rPr>
        <w:drawing>
          <wp:inline distT="0" distB="0" distL="0" distR="0">
            <wp:extent cx="5849620" cy="5849620"/>
            <wp:effectExtent l="0" t="0" r="0" b="0"/>
            <wp:docPr id="1" name="Imagen 1" descr="D:\Mis Documentos\Usuario02\Desktop\Port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is Documentos\Usuario02\Desktop\Portad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9620" cy="5849620"/>
                    </a:xfrm>
                    <a:prstGeom prst="rect">
                      <a:avLst/>
                    </a:prstGeom>
                    <a:noFill/>
                    <a:ln>
                      <a:noFill/>
                    </a:ln>
                  </pic:spPr>
                </pic:pic>
              </a:graphicData>
            </a:graphic>
          </wp:inline>
        </w:drawing>
      </w:r>
    </w:p>
    <w:p>
      <w:pPr>
        <w:autoSpaceDE w:val="0"/>
        <w:autoSpaceDN w:val="0"/>
        <w:adjustRightInd w:val="0"/>
        <w:spacing w:after="0"/>
        <w:jc w:val="center"/>
        <w:outlineLvl w:val="0"/>
        <w:rPr>
          <w:rFonts w:ascii="Bodoni MT" w:hAnsi="Bodoni MT" w:cs="TradeGothic-Light"/>
          <w:b/>
          <w:i/>
          <w:color w:val="E36C0A" w:themeColor="accent6" w:themeShade="BF"/>
          <w:sz w:val="48"/>
          <w:szCs w:val="48"/>
        </w:rPr>
      </w:pPr>
    </w:p>
    <w:p>
      <w:pPr>
        <w:autoSpaceDE w:val="0"/>
        <w:autoSpaceDN w:val="0"/>
        <w:adjustRightInd w:val="0"/>
        <w:spacing w:after="0"/>
        <w:outlineLvl w:val="0"/>
        <w:rPr>
          <w:rFonts w:ascii="Bodoni MT" w:hAnsi="Bodoni MT" w:cs="TradeGothic-Light"/>
          <w:b/>
          <w:i/>
          <w:color w:val="E36C0A" w:themeColor="accent6" w:themeShade="BF"/>
          <w:sz w:val="48"/>
          <w:szCs w:val="48"/>
        </w:rPr>
      </w:pPr>
      <w:bookmarkStart w:id="0" w:name="_GoBack"/>
      <w:bookmarkEnd w:id="0"/>
    </w:p>
    <w:tbl>
      <w:tblPr>
        <w:tblStyle w:val="Tablaconcuadrcula2"/>
        <w:tblpPr w:leftFromText="141" w:rightFromText="141" w:vertAnchor="text" w:tblpY="1"/>
        <w:tblOverlap w:val="never"/>
        <w:tblW w:w="9747" w:type="dxa"/>
        <w:tblLook w:val="04A0" w:firstRow="1" w:lastRow="0" w:firstColumn="1" w:lastColumn="0" w:noHBand="0" w:noVBand="1"/>
      </w:tblPr>
      <w:tblGrid>
        <w:gridCol w:w="8472"/>
        <w:gridCol w:w="1275"/>
      </w:tblGrid>
      <w:tr>
        <w:trPr>
          <w:trHeight w:val="367"/>
        </w:trPr>
        <w:tc>
          <w:tcPr>
            <w:tcW w:w="8472" w:type="dxa"/>
            <w:shd w:val="clear" w:color="auto" w:fill="365F91" w:themeFill="accent1" w:themeFillShade="BF"/>
          </w:tcPr>
          <w:p>
            <w:pPr>
              <w:spacing w:after="0" w:line="240" w:lineRule="auto"/>
              <w:jc w:val="center"/>
              <w:outlineLvl w:val="0"/>
              <w:rPr>
                <w:rFonts w:ascii="Arial" w:hAnsi="Arial" w:cs="Arial"/>
                <w:b/>
                <w:i/>
                <w:color w:val="FFFFFF" w:themeColor="background1"/>
              </w:rPr>
            </w:pPr>
            <w:r>
              <w:rPr>
                <w:rFonts w:ascii="Arial" w:hAnsi="Arial" w:cs="Arial"/>
                <w:b/>
                <w:i/>
                <w:color w:val="FFFFFF" w:themeColor="background1"/>
              </w:rPr>
              <w:lastRenderedPageBreak/>
              <w:t>ÍNDICE:</w:t>
            </w:r>
          </w:p>
        </w:tc>
        <w:tc>
          <w:tcPr>
            <w:tcW w:w="1275" w:type="dxa"/>
            <w:shd w:val="clear" w:color="auto" w:fill="365F91" w:themeFill="accent1" w:themeFillShade="BF"/>
          </w:tcPr>
          <w:p>
            <w:pPr>
              <w:spacing w:after="0" w:line="240" w:lineRule="auto"/>
              <w:jc w:val="center"/>
              <w:rPr>
                <w:rFonts w:ascii="Arial" w:hAnsi="Arial" w:cs="Arial"/>
                <w:b/>
                <w:i/>
                <w:color w:val="FFFFFF" w:themeColor="background1"/>
              </w:rPr>
            </w:pPr>
            <w:r>
              <w:rPr>
                <w:rFonts w:ascii="Arial" w:hAnsi="Arial" w:cs="Arial"/>
                <w:b/>
                <w:i/>
                <w:color w:val="FFFFFF" w:themeColor="background1"/>
              </w:rPr>
              <w:t>PÁGINA</w:t>
            </w:r>
          </w:p>
        </w:tc>
      </w:tr>
      <w:tr>
        <w:tc>
          <w:tcPr>
            <w:tcW w:w="8472" w:type="dxa"/>
          </w:tcPr>
          <w:p>
            <w:pPr>
              <w:spacing w:after="0" w:line="240" w:lineRule="auto"/>
              <w:rPr>
                <w:rFonts w:ascii="Arial" w:hAnsi="Arial" w:cs="Arial"/>
                <w:i/>
              </w:rPr>
            </w:pPr>
            <w:r>
              <w:rPr>
                <w:rFonts w:ascii="Arial" w:hAnsi="Arial" w:cs="Arial"/>
                <w:b/>
                <w:i/>
              </w:rPr>
              <w:t>1.- INTRODUCCIÓN</w:t>
            </w:r>
            <w:r>
              <w:rPr>
                <w:rFonts w:ascii="Arial" w:hAnsi="Arial" w:cs="Arial"/>
                <w:i/>
              </w:rPr>
              <w:t xml:space="preserve"> </w:t>
            </w:r>
          </w:p>
          <w:p>
            <w:pPr>
              <w:spacing w:after="0" w:line="240" w:lineRule="auto"/>
              <w:rPr>
                <w:rFonts w:ascii="Arial" w:hAnsi="Arial" w:cs="Arial"/>
              </w:rPr>
            </w:pPr>
            <w:r>
              <w:rPr>
                <w:rFonts w:ascii="Arial" w:hAnsi="Arial" w:cs="Arial"/>
              </w:rPr>
              <w:t>1.1.- Datos de la entidad</w:t>
            </w:r>
          </w:p>
        </w:tc>
        <w:tc>
          <w:tcPr>
            <w:tcW w:w="1275" w:type="dxa"/>
          </w:tcPr>
          <w:p>
            <w:pPr>
              <w:spacing w:after="0" w:line="240" w:lineRule="auto"/>
              <w:jc w:val="center"/>
              <w:rPr>
                <w:rFonts w:ascii="Arial" w:hAnsi="Arial" w:cs="Arial"/>
              </w:rPr>
            </w:pPr>
            <w:r>
              <w:rPr>
                <w:rFonts w:ascii="Arial" w:hAnsi="Arial" w:cs="Arial"/>
              </w:rPr>
              <w:t>3</w:t>
            </w:r>
          </w:p>
        </w:tc>
      </w:tr>
      <w:tr>
        <w:tc>
          <w:tcPr>
            <w:tcW w:w="8472" w:type="dxa"/>
          </w:tcPr>
          <w:p>
            <w:pPr>
              <w:spacing w:after="0" w:line="240" w:lineRule="auto"/>
              <w:rPr>
                <w:rFonts w:ascii="Arial" w:hAnsi="Arial" w:cs="Arial"/>
              </w:rPr>
            </w:pPr>
            <w:r>
              <w:rPr>
                <w:rFonts w:ascii="Arial" w:hAnsi="Arial" w:cs="Arial"/>
              </w:rPr>
              <w:t>1.2.- Finalidad del Programa</w:t>
            </w:r>
          </w:p>
        </w:tc>
        <w:tc>
          <w:tcPr>
            <w:tcW w:w="1275" w:type="dxa"/>
          </w:tcPr>
          <w:p>
            <w:pPr>
              <w:spacing w:after="0" w:line="240" w:lineRule="auto"/>
              <w:jc w:val="center"/>
              <w:rPr>
                <w:rFonts w:ascii="Arial" w:hAnsi="Arial" w:cs="Arial"/>
              </w:rPr>
            </w:pPr>
            <w:r>
              <w:rPr>
                <w:rFonts w:ascii="Arial" w:hAnsi="Arial" w:cs="Arial"/>
              </w:rPr>
              <w:t>4</w:t>
            </w:r>
          </w:p>
        </w:tc>
      </w:tr>
      <w:tr>
        <w:tc>
          <w:tcPr>
            <w:tcW w:w="8472" w:type="dxa"/>
          </w:tcPr>
          <w:p>
            <w:pPr>
              <w:spacing w:after="0" w:line="240" w:lineRule="auto"/>
              <w:rPr>
                <w:rFonts w:ascii="Arial" w:hAnsi="Arial" w:cs="Arial"/>
              </w:rPr>
            </w:pPr>
            <w:r>
              <w:rPr>
                <w:rFonts w:ascii="Arial" w:hAnsi="Arial" w:cs="Arial"/>
              </w:rPr>
              <w:t>1.3.- Objetivos del Programa</w:t>
            </w:r>
          </w:p>
        </w:tc>
        <w:tc>
          <w:tcPr>
            <w:tcW w:w="1275" w:type="dxa"/>
          </w:tcPr>
          <w:p>
            <w:pPr>
              <w:spacing w:after="0" w:line="240" w:lineRule="auto"/>
              <w:jc w:val="center"/>
              <w:rPr>
                <w:rFonts w:ascii="Arial" w:hAnsi="Arial" w:cs="Arial"/>
              </w:rPr>
            </w:pPr>
            <w:r>
              <w:rPr>
                <w:rFonts w:ascii="Arial" w:hAnsi="Arial" w:cs="Arial"/>
              </w:rPr>
              <w:t>6</w:t>
            </w:r>
          </w:p>
        </w:tc>
      </w:tr>
      <w:tr>
        <w:tc>
          <w:tcPr>
            <w:tcW w:w="8472" w:type="dxa"/>
          </w:tcPr>
          <w:p>
            <w:pPr>
              <w:spacing w:after="0" w:line="240" w:lineRule="auto"/>
              <w:rPr>
                <w:rFonts w:ascii="Arial" w:hAnsi="Arial" w:cs="Arial"/>
              </w:rPr>
            </w:pPr>
            <w:r>
              <w:rPr>
                <w:rFonts w:ascii="Arial" w:hAnsi="Arial" w:cs="Arial"/>
              </w:rPr>
              <w:t>1.4.- Proyectos realizados y redes de participación del Programa</w:t>
            </w:r>
          </w:p>
        </w:tc>
        <w:tc>
          <w:tcPr>
            <w:tcW w:w="1275" w:type="dxa"/>
          </w:tcPr>
          <w:p>
            <w:pPr>
              <w:spacing w:after="0" w:line="240" w:lineRule="auto"/>
              <w:jc w:val="center"/>
              <w:rPr>
                <w:rFonts w:ascii="Arial" w:hAnsi="Arial" w:cs="Arial"/>
              </w:rPr>
            </w:pPr>
            <w:r>
              <w:rPr>
                <w:rFonts w:ascii="Arial" w:hAnsi="Arial" w:cs="Arial"/>
              </w:rPr>
              <w:t>7</w:t>
            </w:r>
          </w:p>
        </w:tc>
      </w:tr>
      <w:tr>
        <w:tc>
          <w:tcPr>
            <w:tcW w:w="8472" w:type="dxa"/>
          </w:tcPr>
          <w:p>
            <w:pPr>
              <w:spacing w:after="0" w:line="240" w:lineRule="auto"/>
              <w:rPr>
                <w:rFonts w:ascii="Arial" w:hAnsi="Arial" w:cs="Arial"/>
                <w:b/>
                <w:i/>
              </w:rPr>
            </w:pPr>
            <w:r>
              <w:rPr>
                <w:rFonts w:ascii="Arial" w:hAnsi="Arial" w:cs="Arial"/>
                <w:b/>
                <w:i/>
              </w:rPr>
              <w:t>2.- PROYECTO CASA DE ACOGIDA DANIELA</w:t>
            </w:r>
          </w:p>
        </w:tc>
        <w:tc>
          <w:tcPr>
            <w:tcW w:w="1275" w:type="dxa"/>
          </w:tcPr>
          <w:p>
            <w:pPr>
              <w:spacing w:after="0" w:line="240" w:lineRule="auto"/>
              <w:jc w:val="center"/>
              <w:rPr>
                <w:rFonts w:ascii="Arial" w:hAnsi="Arial" w:cs="Arial"/>
              </w:rPr>
            </w:pPr>
            <w:r>
              <w:rPr>
                <w:rFonts w:ascii="Arial" w:hAnsi="Arial" w:cs="Arial"/>
              </w:rPr>
              <w:t>12</w:t>
            </w:r>
          </w:p>
        </w:tc>
      </w:tr>
      <w:tr>
        <w:tc>
          <w:tcPr>
            <w:tcW w:w="8472" w:type="dxa"/>
          </w:tcPr>
          <w:p>
            <w:pPr>
              <w:spacing w:after="0" w:line="240" w:lineRule="auto"/>
              <w:rPr>
                <w:rFonts w:ascii="Arial" w:hAnsi="Arial" w:cs="Arial"/>
              </w:rPr>
            </w:pPr>
            <w:r>
              <w:rPr>
                <w:rFonts w:ascii="Arial" w:hAnsi="Arial" w:cs="Arial"/>
              </w:rPr>
              <w:t>2.1- Breve descripción del proyecto</w:t>
            </w:r>
          </w:p>
        </w:tc>
        <w:tc>
          <w:tcPr>
            <w:tcW w:w="1275" w:type="dxa"/>
          </w:tcPr>
          <w:p>
            <w:pPr>
              <w:spacing w:after="0" w:line="240" w:lineRule="auto"/>
              <w:jc w:val="center"/>
              <w:rPr>
                <w:rFonts w:ascii="Arial" w:hAnsi="Arial" w:cs="Arial"/>
              </w:rPr>
            </w:pPr>
            <w:r>
              <w:rPr>
                <w:rFonts w:ascii="Arial" w:hAnsi="Arial" w:cs="Arial"/>
              </w:rPr>
              <w:t>12</w:t>
            </w:r>
          </w:p>
        </w:tc>
      </w:tr>
      <w:tr>
        <w:tc>
          <w:tcPr>
            <w:tcW w:w="8472" w:type="dxa"/>
          </w:tcPr>
          <w:p>
            <w:pPr>
              <w:spacing w:after="0" w:line="240" w:lineRule="auto"/>
              <w:rPr>
                <w:rFonts w:ascii="Arial" w:hAnsi="Arial" w:cs="Arial"/>
              </w:rPr>
            </w:pPr>
            <w:r>
              <w:rPr>
                <w:rFonts w:ascii="Arial" w:hAnsi="Arial" w:cs="Arial"/>
              </w:rPr>
              <w:t>2.2.- Objetivos</w:t>
            </w:r>
          </w:p>
        </w:tc>
        <w:tc>
          <w:tcPr>
            <w:tcW w:w="1275" w:type="dxa"/>
          </w:tcPr>
          <w:p>
            <w:pPr>
              <w:spacing w:after="0" w:line="240" w:lineRule="auto"/>
              <w:jc w:val="center"/>
              <w:rPr>
                <w:rFonts w:ascii="Arial" w:hAnsi="Arial" w:cs="Arial"/>
              </w:rPr>
            </w:pPr>
            <w:r>
              <w:rPr>
                <w:rFonts w:ascii="Arial" w:hAnsi="Arial" w:cs="Arial"/>
              </w:rPr>
              <w:t>13</w:t>
            </w:r>
          </w:p>
        </w:tc>
      </w:tr>
      <w:tr>
        <w:tc>
          <w:tcPr>
            <w:tcW w:w="8472" w:type="dxa"/>
          </w:tcPr>
          <w:p>
            <w:pPr>
              <w:spacing w:after="0" w:line="240" w:lineRule="auto"/>
              <w:rPr>
                <w:rFonts w:ascii="Arial" w:hAnsi="Arial" w:cs="Arial"/>
              </w:rPr>
            </w:pPr>
            <w:r>
              <w:rPr>
                <w:rFonts w:ascii="Arial" w:hAnsi="Arial" w:cs="Arial"/>
              </w:rPr>
              <w:t>2.3.- Descripción de la población atendida</w:t>
            </w:r>
          </w:p>
        </w:tc>
        <w:tc>
          <w:tcPr>
            <w:tcW w:w="1275" w:type="dxa"/>
          </w:tcPr>
          <w:p>
            <w:pPr>
              <w:spacing w:after="0" w:line="240" w:lineRule="auto"/>
              <w:jc w:val="center"/>
              <w:rPr>
                <w:rFonts w:ascii="Arial" w:hAnsi="Arial" w:cs="Arial"/>
              </w:rPr>
            </w:pPr>
            <w:r>
              <w:rPr>
                <w:rFonts w:ascii="Arial" w:hAnsi="Arial" w:cs="Arial"/>
              </w:rPr>
              <w:t>14</w:t>
            </w:r>
          </w:p>
        </w:tc>
      </w:tr>
      <w:tr>
        <w:tc>
          <w:tcPr>
            <w:tcW w:w="8472" w:type="dxa"/>
          </w:tcPr>
          <w:p>
            <w:pPr>
              <w:spacing w:after="0" w:line="240" w:lineRule="auto"/>
              <w:rPr>
                <w:rFonts w:ascii="Arial" w:hAnsi="Arial" w:cs="Arial"/>
              </w:rPr>
            </w:pPr>
            <w:r>
              <w:rPr>
                <w:rFonts w:ascii="Arial" w:hAnsi="Arial" w:cs="Arial"/>
              </w:rPr>
              <w:t>2.4.- Metodología</w:t>
            </w:r>
          </w:p>
        </w:tc>
        <w:tc>
          <w:tcPr>
            <w:tcW w:w="1275" w:type="dxa"/>
          </w:tcPr>
          <w:p>
            <w:pPr>
              <w:spacing w:after="0" w:line="240" w:lineRule="auto"/>
              <w:jc w:val="center"/>
              <w:rPr>
                <w:rFonts w:ascii="Arial" w:hAnsi="Arial" w:cs="Arial"/>
              </w:rPr>
            </w:pPr>
            <w:r>
              <w:rPr>
                <w:rFonts w:ascii="Arial" w:hAnsi="Arial" w:cs="Arial"/>
              </w:rPr>
              <w:t>21</w:t>
            </w:r>
          </w:p>
        </w:tc>
      </w:tr>
      <w:tr>
        <w:tc>
          <w:tcPr>
            <w:tcW w:w="8472" w:type="dxa"/>
          </w:tcPr>
          <w:p>
            <w:pPr>
              <w:spacing w:after="0" w:line="240" w:lineRule="auto"/>
              <w:rPr>
                <w:rFonts w:ascii="Arial" w:hAnsi="Arial" w:cs="Arial"/>
              </w:rPr>
            </w:pPr>
            <w:r>
              <w:rPr>
                <w:rFonts w:ascii="Arial" w:hAnsi="Arial" w:cs="Arial"/>
              </w:rPr>
              <w:t>2.5.- Actividades realizadas</w:t>
            </w:r>
          </w:p>
        </w:tc>
        <w:tc>
          <w:tcPr>
            <w:tcW w:w="1275" w:type="dxa"/>
          </w:tcPr>
          <w:p>
            <w:pPr>
              <w:spacing w:after="0" w:line="240" w:lineRule="auto"/>
              <w:jc w:val="center"/>
              <w:rPr>
                <w:rFonts w:ascii="Arial" w:hAnsi="Arial" w:cs="Arial"/>
              </w:rPr>
            </w:pPr>
            <w:r>
              <w:rPr>
                <w:rFonts w:ascii="Arial" w:hAnsi="Arial" w:cs="Arial"/>
              </w:rPr>
              <w:t>24</w:t>
            </w:r>
          </w:p>
        </w:tc>
      </w:tr>
      <w:tr>
        <w:tc>
          <w:tcPr>
            <w:tcW w:w="8472" w:type="dxa"/>
          </w:tcPr>
          <w:p>
            <w:pPr>
              <w:spacing w:after="0" w:line="240" w:lineRule="auto"/>
              <w:rPr>
                <w:rFonts w:ascii="Arial" w:hAnsi="Arial" w:cs="Arial"/>
              </w:rPr>
            </w:pPr>
            <w:r>
              <w:rPr>
                <w:rFonts w:ascii="Arial" w:hAnsi="Arial" w:cs="Arial"/>
              </w:rPr>
              <w:t>2.6.- Recursos humanos</w:t>
            </w:r>
          </w:p>
        </w:tc>
        <w:tc>
          <w:tcPr>
            <w:tcW w:w="1275" w:type="dxa"/>
          </w:tcPr>
          <w:p>
            <w:pPr>
              <w:spacing w:after="0" w:line="240" w:lineRule="auto"/>
              <w:jc w:val="center"/>
              <w:rPr>
                <w:rFonts w:ascii="Arial" w:hAnsi="Arial" w:cs="Arial"/>
              </w:rPr>
            </w:pPr>
            <w:r>
              <w:rPr>
                <w:rFonts w:ascii="Arial" w:hAnsi="Arial" w:cs="Arial"/>
              </w:rPr>
              <w:t>27</w:t>
            </w:r>
          </w:p>
        </w:tc>
      </w:tr>
      <w:tr>
        <w:tc>
          <w:tcPr>
            <w:tcW w:w="8472" w:type="dxa"/>
          </w:tcPr>
          <w:p>
            <w:pPr>
              <w:spacing w:after="0" w:line="240" w:lineRule="auto"/>
              <w:rPr>
                <w:rFonts w:ascii="Arial" w:hAnsi="Arial" w:cs="Arial"/>
              </w:rPr>
            </w:pPr>
            <w:r>
              <w:rPr>
                <w:rFonts w:ascii="Arial" w:hAnsi="Arial" w:cs="Arial"/>
              </w:rPr>
              <w:t>2.7.- Recursos materiales</w:t>
            </w:r>
          </w:p>
        </w:tc>
        <w:tc>
          <w:tcPr>
            <w:tcW w:w="1275" w:type="dxa"/>
          </w:tcPr>
          <w:p>
            <w:pPr>
              <w:spacing w:after="0" w:line="240" w:lineRule="auto"/>
              <w:jc w:val="center"/>
              <w:rPr>
                <w:rFonts w:ascii="Arial" w:hAnsi="Arial" w:cs="Arial"/>
              </w:rPr>
            </w:pPr>
            <w:r>
              <w:rPr>
                <w:rFonts w:ascii="Arial" w:hAnsi="Arial" w:cs="Arial"/>
              </w:rPr>
              <w:t>29</w:t>
            </w:r>
          </w:p>
        </w:tc>
      </w:tr>
      <w:tr>
        <w:tc>
          <w:tcPr>
            <w:tcW w:w="8472" w:type="dxa"/>
          </w:tcPr>
          <w:p>
            <w:pPr>
              <w:spacing w:after="0" w:line="240" w:lineRule="auto"/>
              <w:rPr>
                <w:rFonts w:ascii="Arial" w:hAnsi="Arial" w:cs="Arial"/>
                <w:i/>
              </w:rPr>
            </w:pPr>
            <w:r>
              <w:rPr>
                <w:rFonts w:ascii="Arial" w:hAnsi="Arial" w:cs="Arial"/>
                <w:i/>
              </w:rPr>
              <w:t>ÁREA SOCIAL</w:t>
            </w:r>
          </w:p>
        </w:tc>
        <w:tc>
          <w:tcPr>
            <w:tcW w:w="1275" w:type="dxa"/>
          </w:tcPr>
          <w:p>
            <w:pPr>
              <w:spacing w:after="0" w:line="240" w:lineRule="auto"/>
              <w:jc w:val="center"/>
              <w:rPr>
                <w:rFonts w:ascii="Arial" w:hAnsi="Arial" w:cs="Arial"/>
              </w:rPr>
            </w:pPr>
            <w:r>
              <w:rPr>
                <w:rFonts w:ascii="Arial" w:hAnsi="Arial" w:cs="Arial"/>
              </w:rPr>
              <w:t>31</w:t>
            </w:r>
          </w:p>
        </w:tc>
      </w:tr>
      <w:tr>
        <w:tc>
          <w:tcPr>
            <w:tcW w:w="8472" w:type="dxa"/>
          </w:tcPr>
          <w:p>
            <w:pPr>
              <w:spacing w:after="0" w:line="240" w:lineRule="auto"/>
              <w:rPr>
                <w:rFonts w:ascii="Arial" w:hAnsi="Arial" w:cs="Arial"/>
                <w:i/>
              </w:rPr>
            </w:pPr>
            <w:r>
              <w:rPr>
                <w:rFonts w:ascii="Arial" w:hAnsi="Arial" w:cs="Arial"/>
                <w:i/>
              </w:rPr>
              <w:t>ÁREA EDUCATIVA</w:t>
            </w:r>
          </w:p>
        </w:tc>
        <w:tc>
          <w:tcPr>
            <w:tcW w:w="1275" w:type="dxa"/>
          </w:tcPr>
          <w:p>
            <w:pPr>
              <w:spacing w:after="0" w:line="240" w:lineRule="auto"/>
              <w:jc w:val="center"/>
              <w:rPr>
                <w:rFonts w:ascii="Arial" w:hAnsi="Arial" w:cs="Arial"/>
              </w:rPr>
            </w:pPr>
            <w:r>
              <w:rPr>
                <w:rFonts w:ascii="Arial" w:hAnsi="Arial" w:cs="Arial"/>
              </w:rPr>
              <w:t>52</w:t>
            </w:r>
          </w:p>
        </w:tc>
      </w:tr>
      <w:tr>
        <w:tc>
          <w:tcPr>
            <w:tcW w:w="8472" w:type="dxa"/>
          </w:tcPr>
          <w:p>
            <w:pPr>
              <w:spacing w:after="0" w:line="240" w:lineRule="auto"/>
              <w:rPr>
                <w:rFonts w:ascii="Arial" w:hAnsi="Arial" w:cs="Arial"/>
                <w:i/>
              </w:rPr>
            </w:pPr>
            <w:r>
              <w:rPr>
                <w:rFonts w:ascii="Arial" w:hAnsi="Arial" w:cs="Arial"/>
                <w:i/>
              </w:rPr>
              <w:t>ÁREA PSICOLÓGICA</w:t>
            </w:r>
          </w:p>
        </w:tc>
        <w:tc>
          <w:tcPr>
            <w:tcW w:w="1275" w:type="dxa"/>
          </w:tcPr>
          <w:p>
            <w:pPr>
              <w:spacing w:after="0" w:line="240" w:lineRule="auto"/>
              <w:jc w:val="center"/>
              <w:rPr>
                <w:rFonts w:ascii="Arial" w:hAnsi="Arial" w:cs="Arial"/>
              </w:rPr>
            </w:pPr>
            <w:r>
              <w:rPr>
                <w:rFonts w:ascii="Arial" w:hAnsi="Arial" w:cs="Arial"/>
              </w:rPr>
              <w:t>101</w:t>
            </w:r>
          </w:p>
        </w:tc>
      </w:tr>
      <w:tr>
        <w:tc>
          <w:tcPr>
            <w:tcW w:w="8472" w:type="dxa"/>
          </w:tcPr>
          <w:p>
            <w:pPr>
              <w:spacing w:after="0" w:line="240" w:lineRule="auto"/>
              <w:rPr>
                <w:rFonts w:ascii="Arial" w:hAnsi="Arial" w:cs="Arial"/>
                <w:i/>
              </w:rPr>
            </w:pPr>
            <w:r>
              <w:rPr>
                <w:rFonts w:ascii="Arial" w:hAnsi="Arial" w:cs="Arial"/>
                <w:i/>
              </w:rPr>
              <w:t>ÁREA JURÍDICA</w:t>
            </w:r>
          </w:p>
        </w:tc>
        <w:tc>
          <w:tcPr>
            <w:tcW w:w="1275" w:type="dxa"/>
          </w:tcPr>
          <w:p>
            <w:pPr>
              <w:spacing w:after="0" w:line="240" w:lineRule="auto"/>
              <w:jc w:val="center"/>
              <w:rPr>
                <w:rFonts w:ascii="Arial" w:hAnsi="Arial" w:cs="Arial"/>
              </w:rPr>
            </w:pPr>
            <w:r>
              <w:rPr>
                <w:rFonts w:ascii="Arial" w:hAnsi="Arial" w:cs="Arial"/>
              </w:rPr>
              <w:t>116</w:t>
            </w:r>
          </w:p>
        </w:tc>
      </w:tr>
      <w:tr>
        <w:tc>
          <w:tcPr>
            <w:tcW w:w="8472" w:type="dxa"/>
          </w:tcPr>
          <w:p>
            <w:pPr>
              <w:spacing w:after="0" w:line="240" w:lineRule="auto"/>
              <w:jc w:val="both"/>
              <w:rPr>
                <w:rFonts w:ascii="Arial" w:hAnsi="Arial" w:cs="Arial"/>
                <w:b/>
                <w:i/>
              </w:rPr>
            </w:pPr>
            <w:r>
              <w:rPr>
                <w:rFonts w:ascii="Arial" w:hAnsi="Arial" w:cs="Arial"/>
                <w:b/>
                <w:i/>
              </w:rPr>
              <w:t>3.-PROYECTO DANIELA PARTICIPA (SERVICIO INSULAR DE INTERVENCIÓN ESPECIALIZADA EN PROSTITUCIÓN Y EXPLOTACIÓN SEXUAL)</w:t>
            </w:r>
          </w:p>
        </w:tc>
        <w:tc>
          <w:tcPr>
            <w:tcW w:w="1275" w:type="dxa"/>
          </w:tcPr>
          <w:p>
            <w:pPr>
              <w:spacing w:after="0" w:line="240" w:lineRule="auto"/>
              <w:jc w:val="center"/>
              <w:rPr>
                <w:rFonts w:ascii="Arial" w:hAnsi="Arial" w:cs="Arial"/>
              </w:rPr>
            </w:pPr>
            <w:r>
              <w:rPr>
                <w:rFonts w:ascii="Arial" w:hAnsi="Arial" w:cs="Arial"/>
              </w:rPr>
              <w:t>126</w:t>
            </w:r>
          </w:p>
        </w:tc>
      </w:tr>
      <w:tr>
        <w:tc>
          <w:tcPr>
            <w:tcW w:w="8472" w:type="dxa"/>
          </w:tcPr>
          <w:p>
            <w:pPr>
              <w:spacing w:after="0" w:line="240" w:lineRule="auto"/>
              <w:rPr>
                <w:rFonts w:ascii="Arial" w:hAnsi="Arial" w:cs="Arial"/>
              </w:rPr>
            </w:pPr>
            <w:r>
              <w:rPr>
                <w:rFonts w:ascii="Arial" w:hAnsi="Arial" w:cs="Arial"/>
              </w:rPr>
              <w:t>3.1.- Descripción del proyecto</w:t>
            </w:r>
          </w:p>
        </w:tc>
        <w:tc>
          <w:tcPr>
            <w:tcW w:w="1275" w:type="dxa"/>
          </w:tcPr>
          <w:p>
            <w:pPr>
              <w:spacing w:after="0" w:line="240" w:lineRule="auto"/>
              <w:jc w:val="center"/>
              <w:rPr>
                <w:rFonts w:ascii="Arial" w:hAnsi="Arial" w:cs="Arial"/>
              </w:rPr>
            </w:pPr>
            <w:r>
              <w:rPr>
                <w:rFonts w:ascii="Arial" w:hAnsi="Arial" w:cs="Arial"/>
              </w:rPr>
              <w:t>126</w:t>
            </w:r>
          </w:p>
        </w:tc>
      </w:tr>
      <w:tr>
        <w:tc>
          <w:tcPr>
            <w:tcW w:w="8472" w:type="dxa"/>
          </w:tcPr>
          <w:p>
            <w:pPr>
              <w:spacing w:after="0" w:line="240" w:lineRule="auto"/>
              <w:rPr>
                <w:rFonts w:ascii="Arial" w:hAnsi="Arial" w:cs="Arial"/>
              </w:rPr>
            </w:pPr>
            <w:r>
              <w:rPr>
                <w:rFonts w:ascii="Arial" w:hAnsi="Arial" w:cs="Arial"/>
              </w:rPr>
              <w:t>3.2.- Objetivos</w:t>
            </w:r>
          </w:p>
        </w:tc>
        <w:tc>
          <w:tcPr>
            <w:tcW w:w="1275" w:type="dxa"/>
          </w:tcPr>
          <w:p>
            <w:pPr>
              <w:spacing w:after="0" w:line="240" w:lineRule="auto"/>
              <w:jc w:val="center"/>
              <w:rPr>
                <w:rFonts w:ascii="Arial" w:hAnsi="Arial" w:cs="Arial"/>
              </w:rPr>
            </w:pPr>
            <w:r>
              <w:rPr>
                <w:rFonts w:ascii="Arial" w:hAnsi="Arial" w:cs="Arial"/>
              </w:rPr>
              <w:t>128</w:t>
            </w:r>
          </w:p>
        </w:tc>
      </w:tr>
      <w:tr>
        <w:tc>
          <w:tcPr>
            <w:tcW w:w="8472" w:type="dxa"/>
          </w:tcPr>
          <w:p>
            <w:pPr>
              <w:spacing w:after="0" w:line="240" w:lineRule="auto"/>
              <w:rPr>
                <w:rFonts w:ascii="Arial" w:hAnsi="Arial" w:cs="Arial"/>
              </w:rPr>
            </w:pPr>
            <w:r>
              <w:rPr>
                <w:rFonts w:ascii="Arial" w:hAnsi="Arial" w:cs="Arial"/>
              </w:rPr>
              <w:t>3.3.- Descripción de la población atendida.</w:t>
            </w:r>
          </w:p>
        </w:tc>
        <w:tc>
          <w:tcPr>
            <w:tcW w:w="1275" w:type="dxa"/>
          </w:tcPr>
          <w:p>
            <w:pPr>
              <w:spacing w:after="0" w:line="240" w:lineRule="auto"/>
              <w:jc w:val="center"/>
              <w:rPr>
                <w:rFonts w:ascii="Arial" w:hAnsi="Arial" w:cs="Arial"/>
              </w:rPr>
            </w:pPr>
            <w:r>
              <w:rPr>
                <w:rFonts w:ascii="Arial" w:hAnsi="Arial" w:cs="Arial"/>
              </w:rPr>
              <w:t>129</w:t>
            </w:r>
          </w:p>
        </w:tc>
      </w:tr>
      <w:tr>
        <w:tc>
          <w:tcPr>
            <w:tcW w:w="8472" w:type="dxa"/>
          </w:tcPr>
          <w:p>
            <w:pPr>
              <w:spacing w:after="0" w:line="240" w:lineRule="auto"/>
              <w:rPr>
                <w:rFonts w:ascii="Arial" w:hAnsi="Arial" w:cs="Arial"/>
              </w:rPr>
            </w:pPr>
            <w:r>
              <w:rPr>
                <w:rFonts w:ascii="Arial" w:hAnsi="Arial" w:cs="Arial"/>
              </w:rPr>
              <w:t>3.4.- Metodología</w:t>
            </w:r>
          </w:p>
        </w:tc>
        <w:tc>
          <w:tcPr>
            <w:tcW w:w="1275" w:type="dxa"/>
          </w:tcPr>
          <w:p>
            <w:pPr>
              <w:spacing w:after="0" w:line="240" w:lineRule="auto"/>
              <w:jc w:val="center"/>
              <w:rPr>
                <w:rFonts w:ascii="Arial" w:hAnsi="Arial" w:cs="Arial"/>
              </w:rPr>
            </w:pPr>
            <w:r>
              <w:rPr>
                <w:rFonts w:ascii="Arial" w:hAnsi="Arial" w:cs="Arial"/>
              </w:rPr>
              <w:t>137</w:t>
            </w:r>
          </w:p>
        </w:tc>
      </w:tr>
      <w:tr>
        <w:tc>
          <w:tcPr>
            <w:tcW w:w="8472" w:type="dxa"/>
          </w:tcPr>
          <w:p>
            <w:pPr>
              <w:spacing w:after="0" w:line="240" w:lineRule="auto"/>
              <w:rPr>
                <w:rFonts w:ascii="Arial" w:hAnsi="Arial" w:cs="Arial"/>
              </w:rPr>
            </w:pPr>
            <w:r>
              <w:rPr>
                <w:rFonts w:ascii="Arial" w:hAnsi="Arial" w:cs="Arial"/>
              </w:rPr>
              <w:t>3.5.- Recursos humanos</w:t>
            </w:r>
          </w:p>
        </w:tc>
        <w:tc>
          <w:tcPr>
            <w:tcW w:w="1275" w:type="dxa"/>
          </w:tcPr>
          <w:p>
            <w:pPr>
              <w:spacing w:after="0" w:line="240" w:lineRule="auto"/>
              <w:jc w:val="center"/>
              <w:rPr>
                <w:rFonts w:ascii="Arial" w:hAnsi="Arial" w:cs="Arial"/>
              </w:rPr>
            </w:pPr>
            <w:r>
              <w:rPr>
                <w:rFonts w:ascii="Arial" w:hAnsi="Arial" w:cs="Arial"/>
              </w:rPr>
              <w:t>139</w:t>
            </w:r>
          </w:p>
        </w:tc>
      </w:tr>
      <w:tr>
        <w:tc>
          <w:tcPr>
            <w:tcW w:w="8472" w:type="dxa"/>
          </w:tcPr>
          <w:p>
            <w:pPr>
              <w:spacing w:after="0" w:line="240" w:lineRule="auto"/>
              <w:rPr>
                <w:rFonts w:ascii="Arial" w:hAnsi="Arial" w:cs="Arial"/>
              </w:rPr>
            </w:pPr>
            <w:r>
              <w:rPr>
                <w:rFonts w:ascii="Arial" w:hAnsi="Arial" w:cs="Arial"/>
              </w:rPr>
              <w:t>3.6.- Recursos materiales</w:t>
            </w:r>
          </w:p>
        </w:tc>
        <w:tc>
          <w:tcPr>
            <w:tcW w:w="1275" w:type="dxa"/>
          </w:tcPr>
          <w:p>
            <w:pPr>
              <w:spacing w:after="0" w:line="240" w:lineRule="auto"/>
              <w:jc w:val="center"/>
              <w:rPr>
                <w:rFonts w:ascii="Arial" w:hAnsi="Arial" w:cs="Arial"/>
              </w:rPr>
            </w:pPr>
            <w:r>
              <w:rPr>
                <w:rFonts w:ascii="Arial" w:hAnsi="Arial" w:cs="Arial"/>
              </w:rPr>
              <w:t>142</w:t>
            </w:r>
          </w:p>
        </w:tc>
      </w:tr>
      <w:tr>
        <w:trPr>
          <w:trHeight w:val="251"/>
        </w:trPr>
        <w:tc>
          <w:tcPr>
            <w:tcW w:w="8472" w:type="dxa"/>
          </w:tcPr>
          <w:p>
            <w:pPr>
              <w:spacing w:after="0" w:line="240" w:lineRule="auto"/>
              <w:rPr>
                <w:rFonts w:ascii="Arial" w:hAnsi="Arial" w:cs="Arial"/>
                <w:i/>
              </w:rPr>
            </w:pPr>
            <w:r>
              <w:rPr>
                <w:rFonts w:ascii="Arial" w:hAnsi="Arial" w:cs="Arial"/>
                <w:i/>
              </w:rPr>
              <w:t>ÁREA SOCIAL</w:t>
            </w:r>
          </w:p>
        </w:tc>
        <w:tc>
          <w:tcPr>
            <w:tcW w:w="1275" w:type="dxa"/>
          </w:tcPr>
          <w:p>
            <w:pPr>
              <w:spacing w:after="0" w:line="240" w:lineRule="auto"/>
              <w:jc w:val="center"/>
              <w:rPr>
                <w:rFonts w:ascii="Arial" w:hAnsi="Arial" w:cs="Arial"/>
              </w:rPr>
            </w:pPr>
            <w:r>
              <w:rPr>
                <w:rFonts w:ascii="Arial" w:hAnsi="Arial" w:cs="Arial"/>
              </w:rPr>
              <w:t>143</w:t>
            </w:r>
          </w:p>
        </w:tc>
      </w:tr>
      <w:tr>
        <w:tc>
          <w:tcPr>
            <w:tcW w:w="8472" w:type="dxa"/>
          </w:tcPr>
          <w:p>
            <w:pPr>
              <w:spacing w:after="0" w:line="240" w:lineRule="auto"/>
              <w:rPr>
                <w:rFonts w:ascii="Arial" w:hAnsi="Arial" w:cs="Arial"/>
                <w:i/>
              </w:rPr>
            </w:pPr>
            <w:r>
              <w:rPr>
                <w:rFonts w:ascii="Arial" w:hAnsi="Arial" w:cs="Arial"/>
                <w:i/>
              </w:rPr>
              <w:t>ÁREA TRABAJO DE CALLE</w:t>
            </w:r>
          </w:p>
        </w:tc>
        <w:tc>
          <w:tcPr>
            <w:tcW w:w="1275" w:type="dxa"/>
          </w:tcPr>
          <w:p>
            <w:pPr>
              <w:spacing w:after="0" w:line="240" w:lineRule="auto"/>
              <w:jc w:val="center"/>
              <w:rPr>
                <w:rFonts w:ascii="Arial" w:hAnsi="Arial" w:cs="Arial"/>
              </w:rPr>
            </w:pPr>
            <w:r>
              <w:rPr>
                <w:rFonts w:ascii="Arial" w:hAnsi="Arial" w:cs="Arial"/>
              </w:rPr>
              <w:t>147</w:t>
            </w:r>
          </w:p>
        </w:tc>
      </w:tr>
      <w:tr>
        <w:tc>
          <w:tcPr>
            <w:tcW w:w="8472" w:type="dxa"/>
          </w:tcPr>
          <w:p>
            <w:pPr>
              <w:spacing w:after="0" w:line="240" w:lineRule="auto"/>
              <w:rPr>
                <w:rFonts w:ascii="Arial" w:hAnsi="Arial" w:cs="Arial"/>
                <w:i/>
              </w:rPr>
            </w:pPr>
            <w:r>
              <w:rPr>
                <w:rFonts w:ascii="Arial" w:hAnsi="Arial" w:cs="Arial"/>
                <w:i/>
              </w:rPr>
              <w:t>ÁREA DE FORMACIÓN, SENSIBILIZACIÓN Y DIFUSIÓN</w:t>
            </w:r>
          </w:p>
        </w:tc>
        <w:tc>
          <w:tcPr>
            <w:tcW w:w="1275" w:type="dxa"/>
          </w:tcPr>
          <w:p>
            <w:pPr>
              <w:spacing w:after="0" w:line="240" w:lineRule="auto"/>
              <w:jc w:val="center"/>
              <w:rPr>
                <w:rFonts w:ascii="Arial" w:hAnsi="Arial" w:cs="Arial"/>
              </w:rPr>
            </w:pPr>
            <w:r>
              <w:rPr>
                <w:rFonts w:ascii="Arial" w:hAnsi="Arial" w:cs="Arial"/>
              </w:rPr>
              <w:t>160</w:t>
            </w:r>
          </w:p>
        </w:tc>
      </w:tr>
      <w:tr>
        <w:tc>
          <w:tcPr>
            <w:tcW w:w="8472" w:type="dxa"/>
          </w:tcPr>
          <w:p>
            <w:pPr>
              <w:spacing w:after="0" w:line="240" w:lineRule="auto"/>
              <w:rPr>
                <w:rFonts w:ascii="Arial" w:hAnsi="Arial" w:cs="Arial"/>
                <w:i/>
              </w:rPr>
            </w:pPr>
            <w:r>
              <w:rPr>
                <w:rFonts w:ascii="Arial" w:hAnsi="Arial" w:cs="Arial"/>
                <w:i/>
              </w:rPr>
              <w:t>ÁREA PSICOLÓGICA</w:t>
            </w:r>
          </w:p>
        </w:tc>
        <w:tc>
          <w:tcPr>
            <w:tcW w:w="1275" w:type="dxa"/>
          </w:tcPr>
          <w:p>
            <w:pPr>
              <w:spacing w:after="0" w:line="240" w:lineRule="auto"/>
              <w:jc w:val="center"/>
              <w:rPr>
                <w:rFonts w:ascii="Arial" w:hAnsi="Arial" w:cs="Arial"/>
              </w:rPr>
            </w:pPr>
            <w:r>
              <w:rPr>
                <w:rFonts w:ascii="Arial" w:hAnsi="Arial" w:cs="Arial"/>
              </w:rPr>
              <w:t>188</w:t>
            </w:r>
          </w:p>
        </w:tc>
      </w:tr>
      <w:tr>
        <w:tc>
          <w:tcPr>
            <w:tcW w:w="8472" w:type="dxa"/>
          </w:tcPr>
          <w:p>
            <w:pPr>
              <w:spacing w:after="0" w:line="240" w:lineRule="auto"/>
              <w:rPr>
                <w:rFonts w:ascii="Arial" w:hAnsi="Arial" w:cs="Arial"/>
                <w:i/>
              </w:rPr>
            </w:pPr>
            <w:r>
              <w:rPr>
                <w:rFonts w:ascii="Arial" w:hAnsi="Arial" w:cs="Arial"/>
                <w:i/>
              </w:rPr>
              <w:t>ÁREA JURÍDICA</w:t>
            </w:r>
          </w:p>
        </w:tc>
        <w:tc>
          <w:tcPr>
            <w:tcW w:w="1275" w:type="dxa"/>
          </w:tcPr>
          <w:p>
            <w:pPr>
              <w:spacing w:after="0" w:line="240" w:lineRule="auto"/>
              <w:jc w:val="center"/>
              <w:rPr>
                <w:rFonts w:ascii="Arial" w:hAnsi="Arial" w:cs="Arial"/>
              </w:rPr>
            </w:pPr>
            <w:r>
              <w:rPr>
                <w:rFonts w:ascii="Arial" w:hAnsi="Arial" w:cs="Arial"/>
              </w:rPr>
              <w:t>202</w:t>
            </w:r>
          </w:p>
        </w:tc>
      </w:tr>
      <w:tr>
        <w:tc>
          <w:tcPr>
            <w:tcW w:w="8472" w:type="dxa"/>
          </w:tcPr>
          <w:p>
            <w:pPr>
              <w:spacing w:after="0" w:line="240" w:lineRule="auto"/>
              <w:rPr>
                <w:rFonts w:ascii="Arial" w:hAnsi="Arial" w:cs="Arial"/>
                <w:i/>
              </w:rPr>
            </w:pPr>
            <w:r>
              <w:rPr>
                <w:rFonts w:ascii="Arial" w:hAnsi="Arial" w:cs="Arial"/>
                <w:b/>
                <w:i/>
              </w:rPr>
              <w:t>4.- PISO DE AUTONOMÍA Y AYUDAS ECONÓMICAS DE EMERGENCIA</w:t>
            </w:r>
          </w:p>
        </w:tc>
        <w:tc>
          <w:tcPr>
            <w:tcW w:w="1275" w:type="dxa"/>
          </w:tcPr>
          <w:p>
            <w:pPr>
              <w:spacing w:after="0" w:line="240" w:lineRule="auto"/>
              <w:jc w:val="center"/>
              <w:rPr>
                <w:rFonts w:ascii="Arial" w:hAnsi="Arial" w:cs="Arial"/>
              </w:rPr>
            </w:pPr>
            <w:r>
              <w:rPr>
                <w:rFonts w:ascii="Arial" w:hAnsi="Arial" w:cs="Arial"/>
              </w:rPr>
              <w:t>212</w:t>
            </w:r>
          </w:p>
        </w:tc>
      </w:tr>
      <w:tr>
        <w:tc>
          <w:tcPr>
            <w:tcW w:w="8472" w:type="dxa"/>
          </w:tcPr>
          <w:p>
            <w:pPr>
              <w:spacing w:after="0" w:line="240" w:lineRule="auto"/>
              <w:jc w:val="both"/>
              <w:rPr>
                <w:rFonts w:ascii="Arial" w:hAnsi="Arial" w:cs="Arial"/>
                <w:b/>
                <w:i/>
              </w:rPr>
            </w:pPr>
            <w:r>
              <w:rPr>
                <w:rFonts w:ascii="Arial" w:hAnsi="Arial" w:cs="Arial"/>
                <w:b/>
                <w:i/>
              </w:rPr>
              <w:t>5.- JORNADAS DE SENSIBILIZACIÓN SOBRE TRATA CON FINES DE EXPLOTACIÓN SEXUAL “PROSTITUCIÓN EN LA CULTURA”.</w:t>
            </w:r>
          </w:p>
        </w:tc>
        <w:tc>
          <w:tcPr>
            <w:tcW w:w="1275" w:type="dxa"/>
          </w:tcPr>
          <w:p>
            <w:pPr>
              <w:spacing w:after="0" w:line="240" w:lineRule="auto"/>
              <w:jc w:val="center"/>
              <w:rPr>
                <w:rFonts w:ascii="Arial" w:hAnsi="Arial" w:cs="Arial"/>
              </w:rPr>
            </w:pPr>
            <w:r>
              <w:rPr>
                <w:rFonts w:ascii="Arial" w:hAnsi="Arial" w:cs="Arial"/>
              </w:rPr>
              <w:t>226</w:t>
            </w:r>
          </w:p>
        </w:tc>
      </w:tr>
      <w:tr>
        <w:tc>
          <w:tcPr>
            <w:tcW w:w="8472" w:type="dxa"/>
          </w:tcPr>
          <w:p>
            <w:pPr>
              <w:spacing w:after="0" w:line="240" w:lineRule="auto"/>
              <w:rPr>
                <w:rFonts w:ascii="Arial" w:hAnsi="Arial" w:cs="Arial"/>
                <w:b/>
                <w:i/>
              </w:rPr>
            </w:pPr>
            <w:r>
              <w:rPr>
                <w:rFonts w:ascii="Arial" w:hAnsi="Arial" w:cs="Arial"/>
                <w:b/>
                <w:i/>
              </w:rPr>
              <w:t>6.- MEJORA DE LA EMPLEABILIDAD Y AUTONOMÍA DE LAS MUJERES EN SITUACIÓN DE EXCLUSIÓN SOCIAL (TRANSITANDO HACIA LA INSERCIÓN).</w:t>
            </w:r>
          </w:p>
        </w:tc>
        <w:tc>
          <w:tcPr>
            <w:tcW w:w="1275" w:type="dxa"/>
          </w:tcPr>
          <w:p>
            <w:pPr>
              <w:spacing w:after="0" w:line="240" w:lineRule="auto"/>
              <w:jc w:val="center"/>
              <w:rPr>
                <w:rFonts w:ascii="Arial" w:hAnsi="Arial" w:cs="Arial"/>
              </w:rPr>
            </w:pPr>
            <w:r>
              <w:rPr>
                <w:rFonts w:ascii="Arial" w:hAnsi="Arial" w:cs="Arial"/>
              </w:rPr>
              <w:t>235</w:t>
            </w:r>
          </w:p>
        </w:tc>
      </w:tr>
      <w:tr>
        <w:tc>
          <w:tcPr>
            <w:tcW w:w="8472" w:type="dxa"/>
          </w:tcPr>
          <w:p>
            <w:pPr>
              <w:spacing w:after="0" w:line="240" w:lineRule="auto"/>
              <w:jc w:val="both"/>
              <w:rPr>
                <w:rFonts w:ascii="Arial" w:hAnsi="Arial" w:cs="Arial"/>
                <w:b/>
                <w:i/>
              </w:rPr>
            </w:pPr>
            <w:r>
              <w:rPr>
                <w:rFonts w:ascii="Arial" w:hAnsi="Arial" w:cs="Arial"/>
                <w:b/>
                <w:i/>
              </w:rPr>
              <w:t>7.-PROGRAMA DE FORMACIÓN CON COMPROMISO DE CONTRATACIÓN E INSERCIÓN PARA MUJERES VÍCTIMAS DE TRATA Y EXPLOTACIÓN SEXUAL “ABRIENDO PUERTAS, ABRIENDO OPORTUNIDADES”</w:t>
            </w:r>
          </w:p>
        </w:tc>
        <w:tc>
          <w:tcPr>
            <w:tcW w:w="1275" w:type="dxa"/>
          </w:tcPr>
          <w:p>
            <w:pPr>
              <w:spacing w:after="0" w:line="240" w:lineRule="auto"/>
              <w:jc w:val="center"/>
              <w:rPr>
                <w:rFonts w:ascii="Arial" w:hAnsi="Arial" w:cs="Arial"/>
              </w:rPr>
            </w:pPr>
            <w:r>
              <w:rPr>
                <w:rFonts w:ascii="Arial" w:hAnsi="Arial" w:cs="Arial"/>
              </w:rPr>
              <w:t>246</w:t>
            </w:r>
          </w:p>
        </w:tc>
      </w:tr>
      <w:tr>
        <w:trPr>
          <w:trHeight w:val="280"/>
        </w:trPr>
        <w:tc>
          <w:tcPr>
            <w:tcW w:w="8472" w:type="dxa"/>
          </w:tcPr>
          <w:p>
            <w:pPr>
              <w:spacing w:after="0" w:line="240" w:lineRule="auto"/>
              <w:rPr>
                <w:rFonts w:ascii="Arial" w:hAnsi="Arial" w:cs="Arial"/>
                <w:b/>
                <w:i/>
              </w:rPr>
            </w:pPr>
            <w:r>
              <w:rPr>
                <w:rFonts w:ascii="Arial" w:hAnsi="Arial" w:cs="Arial"/>
                <w:b/>
                <w:i/>
              </w:rPr>
              <w:t>AGRADECIMIENTO ENTIDADES COLABORADORAS 2025</w:t>
            </w:r>
          </w:p>
        </w:tc>
        <w:tc>
          <w:tcPr>
            <w:tcW w:w="1275" w:type="dxa"/>
          </w:tcPr>
          <w:p>
            <w:pPr>
              <w:spacing w:after="0" w:line="240" w:lineRule="auto"/>
              <w:jc w:val="center"/>
              <w:rPr>
                <w:rFonts w:ascii="Arial" w:hAnsi="Arial" w:cs="Arial"/>
              </w:rPr>
            </w:pPr>
            <w:r>
              <w:rPr>
                <w:rFonts w:ascii="Arial" w:hAnsi="Arial" w:cs="Arial"/>
              </w:rPr>
              <w:t>268</w:t>
            </w:r>
          </w:p>
        </w:tc>
      </w:tr>
    </w:tbl>
    <w:p>
      <w:pPr>
        <w:spacing w:after="0" w:line="240" w:lineRule="auto"/>
        <w:rPr>
          <w:b/>
          <w:sz w:val="28"/>
        </w:rPr>
      </w:pPr>
    </w:p>
    <w:p>
      <w:pPr>
        <w:spacing w:after="0" w:line="240" w:lineRule="auto"/>
        <w:rPr>
          <w:b/>
          <w:sz w:val="28"/>
        </w:rPr>
      </w:pPr>
    </w:p>
    <w:p>
      <w:pPr>
        <w:spacing w:after="0" w:line="240" w:lineRule="auto"/>
        <w:rPr>
          <w:b/>
          <w:sz w:val="28"/>
        </w:rPr>
      </w:pPr>
    </w:p>
    <w:p>
      <w:pPr>
        <w:spacing w:after="0" w:line="240" w:lineRule="auto"/>
        <w:rPr>
          <w:b/>
          <w:sz w:val="28"/>
        </w:rPr>
      </w:pPr>
    </w:p>
    <w:p>
      <w:pPr>
        <w:spacing w:after="0" w:line="240" w:lineRule="auto"/>
        <w:rPr>
          <w:b/>
          <w:sz w:val="28"/>
        </w:rPr>
      </w:pPr>
    </w:p>
    <w:p>
      <w:pPr>
        <w:spacing w:after="0" w:line="240" w:lineRule="auto"/>
        <w:rPr>
          <w:b/>
          <w:sz w:val="28"/>
        </w:rPr>
      </w:pPr>
    </w:p>
    <w:p>
      <w:pPr>
        <w:numPr>
          <w:ilvl w:val="0"/>
          <w:numId w:val="11"/>
        </w:numPr>
        <w:shd w:val="clear" w:color="auto" w:fill="365F91" w:themeFill="accent1" w:themeFillShade="BF"/>
        <w:ind w:left="644"/>
        <w:contextualSpacing/>
        <w:jc w:val="both"/>
        <w:rPr>
          <w:rFonts w:ascii="Arial" w:hAnsi="Arial" w:cs="Arial"/>
          <w:b/>
          <w:color w:val="FFFFFF"/>
          <w:sz w:val="24"/>
          <w:szCs w:val="24"/>
        </w:rPr>
      </w:pPr>
      <w:r>
        <w:rPr>
          <w:rFonts w:ascii="Arial" w:hAnsi="Arial" w:cs="Arial"/>
          <w:b/>
          <w:color w:val="FFFFFF"/>
          <w:sz w:val="24"/>
          <w:szCs w:val="24"/>
        </w:rPr>
        <w:lastRenderedPageBreak/>
        <w:t>INTRODUCCIÓN</w:t>
      </w:r>
    </w:p>
    <w:p>
      <w:pPr>
        <w:contextualSpacing/>
        <w:jc w:val="both"/>
        <w:rPr>
          <w:rFonts w:ascii="Arial" w:hAnsi="Arial" w:cs="Arial"/>
          <w:b/>
          <w:sz w:val="24"/>
          <w:szCs w:val="24"/>
        </w:rPr>
      </w:pPr>
    </w:p>
    <w:p>
      <w:pPr>
        <w:numPr>
          <w:ilvl w:val="1"/>
          <w:numId w:val="11"/>
        </w:numPr>
        <w:shd w:val="clear" w:color="auto" w:fill="B2A1C7" w:themeFill="accent4" w:themeFillTint="99"/>
        <w:ind w:left="1335"/>
        <w:contextualSpacing/>
        <w:jc w:val="both"/>
        <w:rPr>
          <w:rFonts w:ascii="Arial" w:hAnsi="Arial" w:cs="Arial"/>
          <w:b/>
          <w:sz w:val="24"/>
          <w:szCs w:val="24"/>
        </w:rPr>
      </w:pPr>
      <w:r>
        <w:rPr>
          <w:rFonts w:ascii="Arial" w:hAnsi="Arial" w:cs="Arial"/>
          <w:b/>
          <w:sz w:val="24"/>
          <w:szCs w:val="24"/>
        </w:rPr>
        <w:t>DATOS DE LA ENTIDAD</w:t>
      </w:r>
    </w:p>
    <w:p>
      <w:pPr>
        <w:spacing w:after="0"/>
        <w:jc w:val="both"/>
        <w:rPr>
          <w:rFonts w:ascii="Arial" w:hAnsi="Arial" w:cs="Arial"/>
          <w:b/>
          <w:sz w:val="24"/>
          <w:szCs w:val="24"/>
        </w:rPr>
      </w:pPr>
    </w:p>
    <w:p>
      <w:pPr>
        <w:pStyle w:val="Prrafodelista"/>
        <w:numPr>
          <w:ilvl w:val="0"/>
          <w:numId w:val="137"/>
        </w:numPr>
        <w:spacing w:after="0" w:line="360" w:lineRule="auto"/>
        <w:ind w:left="426"/>
        <w:jc w:val="both"/>
        <w:rPr>
          <w:rFonts w:ascii="Arial" w:hAnsi="Arial" w:cs="Arial"/>
          <w:sz w:val="24"/>
          <w:szCs w:val="24"/>
        </w:rPr>
      </w:pPr>
      <w:r>
        <w:rPr>
          <w:rFonts w:ascii="Arial" w:hAnsi="Arial" w:cs="Arial"/>
          <w:b/>
          <w:sz w:val="24"/>
          <w:szCs w:val="24"/>
        </w:rPr>
        <w:t>Nombre de la institución:</w:t>
      </w:r>
      <w:r>
        <w:rPr>
          <w:rFonts w:ascii="Arial" w:hAnsi="Arial" w:cs="Arial"/>
          <w:sz w:val="24"/>
          <w:szCs w:val="24"/>
        </w:rPr>
        <w:t xml:space="preserve"> Comunidad de Oblatas del Santísimo Redentor Las Palmas</w:t>
      </w:r>
    </w:p>
    <w:p>
      <w:pPr>
        <w:pStyle w:val="Prrafodelista"/>
        <w:numPr>
          <w:ilvl w:val="0"/>
          <w:numId w:val="137"/>
        </w:numPr>
        <w:spacing w:after="0" w:line="360" w:lineRule="auto"/>
        <w:ind w:left="426"/>
        <w:jc w:val="both"/>
        <w:rPr>
          <w:rFonts w:ascii="Arial" w:hAnsi="Arial" w:cs="Arial"/>
          <w:sz w:val="24"/>
          <w:szCs w:val="24"/>
          <w:lang w:val="pt-PT"/>
        </w:rPr>
      </w:pPr>
      <w:r>
        <w:rPr>
          <w:rFonts w:ascii="Arial" w:hAnsi="Arial" w:cs="Arial"/>
          <w:b/>
          <w:sz w:val="24"/>
          <w:szCs w:val="24"/>
          <w:lang w:val="pt-PT"/>
        </w:rPr>
        <w:t>CIF:</w:t>
      </w:r>
      <w:r>
        <w:rPr>
          <w:rFonts w:ascii="Arial" w:hAnsi="Arial" w:cs="Arial"/>
          <w:sz w:val="24"/>
          <w:szCs w:val="24"/>
          <w:lang w:val="pt-PT"/>
        </w:rPr>
        <w:t xml:space="preserve"> R3500444-I</w:t>
      </w:r>
    </w:p>
    <w:p>
      <w:pPr>
        <w:pStyle w:val="Prrafodelista"/>
        <w:numPr>
          <w:ilvl w:val="0"/>
          <w:numId w:val="137"/>
        </w:numPr>
        <w:spacing w:after="0" w:line="360" w:lineRule="auto"/>
        <w:ind w:left="426"/>
        <w:jc w:val="both"/>
        <w:rPr>
          <w:rFonts w:ascii="Arial" w:hAnsi="Arial" w:cs="Arial"/>
          <w:sz w:val="24"/>
          <w:szCs w:val="24"/>
        </w:rPr>
      </w:pPr>
      <w:r>
        <w:rPr>
          <w:rFonts w:ascii="Arial" w:hAnsi="Arial" w:cs="Arial"/>
          <w:b/>
          <w:sz w:val="24"/>
          <w:szCs w:val="24"/>
        </w:rPr>
        <w:t>Dirección:</w:t>
      </w:r>
      <w:r>
        <w:rPr>
          <w:rFonts w:ascii="Arial" w:hAnsi="Arial" w:cs="Arial"/>
          <w:sz w:val="24"/>
          <w:szCs w:val="24"/>
        </w:rPr>
        <w:t xml:space="preserve"> C/ Aguadulce, 50, 2º. C.P.: 35004- Las Palmas de Gran Canaria.</w:t>
      </w:r>
    </w:p>
    <w:p>
      <w:pPr>
        <w:pStyle w:val="Prrafodelista"/>
        <w:numPr>
          <w:ilvl w:val="0"/>
          <w:numId w:val="137"/>
        </w:numPr>
        <w:spacing w:after="0" w:line="360" w:lineRule="auto"/>
        <w:ind w:left="426"/>
        <w:jc w:val="both"/>
        <w:rPr>
          <w:rFonts w:ascii="Arial" w:hAnsi="Arial" w:cs="Arial"/>
          <w:sz w:val="24"/>
          <w:szCs w:val="24"/>
        </w:rPr>
      </w:pPr>
      <w:r>
        <w:rPr>
          <w:rFonts w:ascii="Arial" w:hAnsi="Arial" w:cs="Arial"/>
          <w:b/>
          <w:sz w:val="24"/>
          <w:szCs w:val="24"/>
        </w:rPr>
        <w:t>Teléfonos:</w:t>
      </w:r>
      <w:r>
        <w:rPr>
          <w:rFonts w:ascii="Arial" w:hAnsi="Arial" w:cs="Arial"/>
          <w:sz w:val="24"/>
          <w:szCs w:val="24"/>
        </w:rPr>
        <w:t xml:space="preserve"> 928 361212. 606.80.65.58 (teléfono 24 horas).</w:t>
      </w:r>
    </w:p>
    <w:p>
      <w:pPr>
        <w:pStyle w:val="Prrafodelista"/>
        <w:numPr>
          <w:ilvl w:val="0"/>
          <w:numId w:val="137"/>
        </w:numPr>
        <w:spacing w:after="0" w:line="360" w:lineRule="auto"/>
        <w:ind w:left="426"/>
        <w:jc w:val="both"/>
        <w:rPr>
          <w:rFonts w:ascii="Arial" w:hAnsi="Arial" w:cs="Arial"/>
          <w:sz w:val="24"/>
          <w:szCs w:val="24"/>
        </w:rPr>
      </w:pPr>
      <w:r>
        <w:rPr>
          <w:rFonts w:ascii="Arial" w:hAnsi="Arial" w:cs="Arial"/>
          <w:b/>
          <w:sz w:val="24"/>
          <w:szCs w:val="24"/>
        </w:rPr>
        <w:t>Correo electrónico:</w:t>
      </w:r>
      <w:hyperlink r:id="rId9" w:history="1">
        <w:r>
          <w:rPr>
            <w:rFonts w:ascii="Arial" w:hAnsi="Arial" w:cs="Arial"/>
            <w:color w:val="0000FF"/>
            <w:sz w:val="24"/>
            <w:szCs w:val="24"/>
          </w:rPr>
          <w:t>programa.daniela@oblatas.com</w:t>
        </w:r>
      </w:hyperlink>
    </w:p>
    <w:p>
      <w:pPr>
        <w:pStyle w:val="Prrafodelista"/>
        <w:numPr>
          <w:ilvl w:val="0"/>
          <w:numId w:val="137"/>
        </w:numPr>
        <w:spacing w:after="0" w:line="360" w:lineRule="auto"/>
        <w:ind w:left="426"/>
        <w:jc w:val="both"/>
        <w:rPr>
          <w:rFonts w:ascii="Arial" w:hAnsi="Arial" w:cs="Arial"/>
          <w:color w:val="0000FF"/>
          <w:sz w:val="24"/>
          <w:szCs w:val="24"/>
          <w:lang w:val="en-GB"/>
        </w:rPr>
      </w:pPr>
      <w:r>
        <w:rPr>
          <w:rFonts w:ascii="Arial" w:hAnsi="Arial" w:cs="Arial"/>
          <w:b/>
          <w:sz w:val="24"/>
          <w:szCs w:val="24"/>
        </w:rPr>
        <w:t xml:space="preserve">Página </w:t>
      </w:r>
      <w:r>
        <w:rPr>
          <w:rFonts w:ascii="Arial" w:hAnsi="Arial" w:cs="Arial"/>
          <w:b/>
          <w:sz w:val="24"/>
          <w:szCs w:val="24"/>
          <w:lang w:val="en-GB"/>
        </w:rPr>
        <w:t xml:space="preserve">web: </w:t>
      </w:r>
      <w:hyperlink r:id="rId10" w:history="1">
        <w:r>
          <w:rPr>
            <w:rStyle w:val="Hipervnculo"/>
            <w:rFonts w:ascii="Arial" w:hAnsi="Arial" w:cs="Arial"/>
            <w:sz w:val="24"/>
            <w:szCs w:val="24"/>
            <w:lang w:val="en-GB"/>
          </w:rPr>
          <w:t>https://oblatascanarias.com/laspalmas/</w:t>
        </w:r>
      </w:hyperlink>
    </w:p>
    <w:p>
      <w:pPr>
        <w:pStyle w:val="Prrafodelista"/>
        <w:numPr>
          <w:ilvl w:val="0"/>
          <w:numId w:val="137"/>
        </w:numPr>
        <w:spacing w:after="0" w:line="360" w:lineRule="auto"/>
        <w:ind w:left="426"/>
        <w:jc w:val="both"/>
        <w:rPr>
          <w:rFonts w:ascii="Arial" w:hAnsi="Arial" w:cs="Arial"/>
          <w:sz w:val="24"/>
          <w:szCs w:val="24"/>
          <w:lang w:val="en-GB"/>
        </w:rPr>
      </w:pPr>
      <w:r>
        <w:rPr>
          <w:rFonts w:ascii="Arial" w:hAnsi="Arial" w:cs="Arial"/>
          <w:b/>
          <w:sz w:val="24"/>
          <w:szCs w:val="24"/>
          <w:lang w:val="en-GB"/>
        </w:rPr>
        <w:t>Facebook:</w:t>
      </w:r>
      <w:r>
        <w:rPr>
          <w:rFonts w:ascii="Arial" w:hAnsi="Arial" w:cs="Arial"/>
          <w:sz w:val="24"/>
          <w:szCs w:val="24"/>
          <w:lang w:val="en-GB"/>
        </w:rPr>
        <w:t xml:space="preserve"> </w:t>
      </w:r>
      <w:hyperlink r:id="rId11" w:history="1">
        <w:r>
          <w:rPr>
            <w:rStyle w:val="Hipervnculo"/>
            <w:rFonts w:ascii="Arial" w:hAnsi="Arial" w:cs="Arial"/>
            <w:sz w:val="24"/>
            <w:szCs w:val="24"/>
            <w:lang w:val="en-GB"/>
          </w:rPr>
          <w:t>https://www.facebook.com/share/1Gk32cyaLw/</w:t>
        </w:r>
      </w:hyperlink>
      <w:r>
        <w:rPr>
          <w:rFonts w:ascii="Arial" w:hAnsi="Arial" w:cs="Arial"/>
          <w:sz w:val="24"/>
          <w:szCs w:val="24"/>
          <w:lang w:val="en-GB"/>
        </w:rPr>
        <w:t xml:space="preserve"> </w:t>
      </w:r>
    </w:p>
    <w:p>
      <w:pPr>
        <w:pStyle w:val="Prrafodelista"/>
        <w:numPr>
          <w:ilvl w:val="0"/>
          <w:numId w:val="137"/>
        </w:numPr>
        <w:spacing w:after="0" w:line="360" w:lineRule="auto"/>
        <w:ind w:left="426"/>
        <w:jc w:val="both"/>
        <w:rPr>
          <w:rFonts w:ascii="Arial" w:hAnsi="Arial" w:cs="Arial"/>
          <w:sz w:val="24"/>
          <w:szCs w:val="24"/>
        </w:rPr>
      </w:pPr>
      <w:r>
        <w:rPr>
          <w:rFonts w:ascii="Arial" w:hAnsi="Arial" w:cs="Arial"/>
          <w:b/>
          <w:sz w:val="24"/>
          <w:szCs w:val="24"/>
        </w:rPr>
        <w:t>Instagram</w:t>
      </w:r>
      <w:r>
        <w:rPr>
          <w:rFonts w:ascii="Arial" w:hAnsi="Arial" w:cs="Arial"/>
          <w:sz w:val="24"/>
          <w:szCs w:val="24"/>
        </w:rPr>
        <w:t xml:space="preserve">: programaoblatasdaniela </w:t>
      </w:r>
    </w:p>
    <w:p>
      <w:pPr>
        <w:spacing w:after="0" w:line="360" w:lineRule="auto"/>
        <w:jc w:val="both"/>
        <w:outlineLvl w:val="0"/>
        <w:rPr>
          <w:rFonts w:ascii="Arial" w:hAnsi="Arial" w:cs="Arial"/>
          <w:sz w:val="24"/>
          <w:szCs w:val="24"/>
        </w:rPr>
      </w:pPr>
    </w:p>
    <w:p>
      <w:pPr>
        <w:spacing w:after="0" w:line="360" w:lineRule="auto"/>
        <w:jc w:val="both"/>
        <w:outlineLvl w:val="0"/>
        <w:rPr>
          <w:rFonts w:ascii="Arial" w:hAnsi="Arial" w:cs="Arial"/>
          <w:b/>
          <w:sz w:val="24"/>
          <w:szCs w:val="24"/>
        </w:rPr>
      </w:pPr>
      <w:r>
        <w:rPr>
          <w:rFonts w:ascii="Arial" w:hAnsi="Arial" w:cs="Arial"/>
          <w:b/>
          <w:sz w:val="24"/>
          <w:szCs w:val="24"/>
        </w:rPr>
        <w:t>Antecedentes históricos:</w:t>
      </w:r>
    </w:p>
    <w:p>
      <w:pPr>
        <w:spacing w:after="0" w:line="360" w:lineRule="auto"/>
        <w:jc w:val="both"/>
        <w:outlineLvl w:val="0"/>
        <w:rPr>
          <w:rFonts w:ascii="Arial" w:hAnsi="Arial" w:cs="Arial"/>
          <w:b/>
          <w:sz w:val="24"/>
          <w:szCs w:val="24"/>
        </w:rPr>
      </w:pPr>
    </w:p>
    <w:p>
      <w:pPr>
        <w:spacing w:after="0" w:line="360" w:lineRule="auto"/>
        <w:jc w:val="both"/>
        <w:rPr>
          <w:rFonts w:ascii="Arial" w:hAnsi="Arial" w:cs="Arial"/>
          <w:sz w:val="24"/>
          <w:szCs w:val="24"/>
        </w:rPr>
      </w:pPr>
      <w:r>
        <w:rPr>
          <w:rFonts w:ascii="Arial" w:hAnsi="Arial" w:cs="Arial"/>
          <w:sz w:val="24"/>
          <w:szCs w:val="24"/>
        </w:rPr>
        <w:t>La Congregación Oblatas del Santísimo Redentor es una entidad sin ánimo de lucro presente en 16 países en todo el mundo, organizadas en 3 Provincias:</w:t>
      </w:r>
    </w:p>
    <w:p>
      <w:pPr>
        <w:spacing w:after="0" w:line="360" w:lineRule="auto"/>
        <w:jc w:val="both"/>
        <w:rPr>
          <w:rFonts w:ascii="Arial" w:hAnsi="Arial" w:cs="Arial"/>
          <w:sz w:val="24"/>
          <w:szCs w:val="24"/>
        </w:rPr>
      </w:pPr>
    </w:p>
    <w:p>
      <w:pPr>
        <w:numPr>
          <w:ilvl w:val="0"/>
          <w:numId w:val="31"/>
        </w:numPr>
        <w:spacing w:after="0" w:line="360" w:lineRule="auto"/>
        <w:jc w:val="both"/>
        <w:rPr>
          <w:rFonts w:ascii="Arial" w:hAnsi="Arial" w:cs="Arial"/>
          <w:sz w:val="24"/>
          <w:szCs w:val="24"/>
        </w:rPr>
      </w:pPr>
      <w:r>
        <w:rPr>
          <w:rFonts w:ascii="Arial" w:hAnsi="Arial" w:cs="Arial"/>
          <w:bCs/>
          <w:sz w:val="24"/>
          <w:szCs w:val="24"/>
        </w:rPr>
        <w:t>Europa</w:t>
      </w:r>
      <w:r>
        <w:rPr>
          <w:rFonts w:ascii="Arial" w:hAnsi="Arial" w:cs="Arial"/>
          <w:sz w:val="24"/>
          <w:szCs w:val="24"/>
        </w:rPr>
        <w:t>: España, Italia y Portugal.</w:t>
      </w:r>
    </w:p>
    <w:p>
      <w:pPr>
        <w:numPr>
          <w:ilvl w:val="0"/>
          <w:numId w:val="31"/>
        </w:numPr>
        <w:spacing w:after="0" w:line="360" w:lineRule="auto"/>
        <w:jc w:val="both"/>
        <w:rPr>
          <w:rFonts w:ascii="Arial" w:hAnsi="Arial" w:cs="Arial"/>
          <w:sz w:val="24"/>
          <w:szCs w:val="24"/>
        </w:rPr>
      </w:pPr>
      <w:r>
        <w:rPr>
          <w:rFonts w:ascii="Arial" w:hAnsi="Arial" w:cs="Arial"/>
          <w:bCs/>
          <w:sz w:val="24"/>
          <w:szCs w:val="24"/>
        </w:rPr>
        <w:t>José María Benito Serra</w:t>
      </w:r>
      <w:r>
        <w:rPr>
          <w:rFonts w:ascii="Arial" w:hAnsi="Arial" w:cs="Arial"/>
          <w:sz w:val="24"/>
          <w:szCs w:val="24"/>
        </w:rPr>
        <w:t>: Colombia, Estados Unidos, Filipinas, Guatemala, Indonesia, México, Puerto Rico, República Dominicana y Venezuela.</w:t>
      </w:r>
    </w:p>
    <w:p>
      <w:pPr>
        <w:numPr>
          <w:ilvl w:val="0"/>
          <w:numId w:val="31"/>
        </w:numPr>
        <w:spacing w:after="0" w:line="360" w:lineRule="auto"/>
        <w:jc w:val="both"/>
        <w:rPr>
          <w:rFonts w:ascii="Arial" w:hAnsi="Arial" w:cs="Arial"/>
          <w:sz w:val="24"/>
          <w:szCs w:val="24"/>
        </w:rPr>
      </w:pPr>
      <w:r>
        <w:rPr>
          <w:rFonts w:ascii="Arial" w:hAnsi="Arial" w:cs="Arial"/>
          <w:bCs/>
          <w:sz w:val="24"/>
          <w:szCs w:val="24"/>
        </w:rPr>
        <w:t>Santísimo Redentor</w:t>
      </w:r>
      <w:r>
        <w:rPr>
          <w:rFonts w:ascii="Arial" w:hAnsi="Arial" w:cs="Arial"/>
          <w:sz w:val="24"/>
          <w:szCs w:val="24"/>
        </w:rPr>
        <w:t>: Angola, Argentina, Brasil y Uruguay.</w:t>
      </w:r>
    </w:p>
    <w:p>
      <w:pPr>
        <w:spacing w:after="0" w:line="360" w:lineRule="auto"/>
        <w:ind w:left="720"/>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Tiene sus orígenes en el siglo XIX, creándose bajo la iniciativa y dirección de Antonia Mª de Oviedo y Schönthal y la protección del obispo y misionero José Mª Benito Serra. La primera Casa de Acogida a mujeres se abre en Ciempozuelos, Madrid en 1864 y es posteriormente, en 1870, cuando se funda la Congregación Religiosa de Oblatas del Santísimo Redentor.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lastRenderedPageBreak/>
        <w:t xml:space="preserve">La </w:t>
      </w:r>
      <w:r>
        <w:rPr>
          <w:rFonts w:ascii="Arial" w:hAnsi="Arial" w:cs="Arial"/>
          <w:b/>
          <w:sz w:val="24"/>
          <w:szCs w:val="24"/>
        </w:rPr>
        <w:t>Misión</w:t>
      </w:r>
      <w:r>
        <w:rPr>
          <w:rFonts w:ascii="Arial" w:hAnsi="Arial" w:cs="Arial"/>
          <w:sz w:val="24"/>
          <w:szCs w:val="24"/>
        </w:rPr>
        <w:t xml:space="preserve"> Oblatas es el compromiso solidario con las mujeres que ejercen prostitución y/o son víctimas de trata con fines de explotación sexual, así como la denuncia de estructuras que no respetan los Derechos Humanos proclamados por Naciones Unidas, de manera especial en situaciones de injusticia y violación de los derechos de las mujeres.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En las Islas Canarias se está presente desde 1927 (Santa Cruz de Tenerife en 1927 y Las Palmas en 1946). Tras más de una década de reflexión sobre las necesidades reales de las mujeres en la isla, se pone en marcha el Programa Oblatas Daniela de atención integral a la mujer, en mayo de 2010. Con un equipo de trabajo interdisciplinar de Las Palmas de Gran Canaria, compuesto por miembros de la entidad y otras/os profesionales,  desde el análisis de la realidad social de la prostitución y trata de mujeres con fines de explotación sexual, a partir del conocimiento de las situaciones de exclusión severa que viven las mujeres en prostitución y víctimas de trata, teniendo en cuenta el desconocimiento de la población acerca de esta realidad y el diálogo con distintos agentes sociales implicados en la misma. La Entidad Oblatas, junto a un grupo de profesionales voluntarios/as, centró su esfuerzo en la búsqueda de respuestas adecuadas a esta realidad social, creando los proyectos Casa de Acogida Daniela y Daniela Participa.  Posteriormente y como continuidad a la Casa de Acogida, en febrero de 2015, se inaugura el Piso de Autonomía. </w:t>
      </w:r>
    </w:p>
    <w:p>
      <w:pPr>
        <w:spacing w:line="360" w:lineRule="auto"/>
        <w:contextualSpacing/>
        <w:rPr>
          <w:rFonts w:ascii="Arial" w:hAnsi="Arial" w:cs="Arial"/>
          <w:b/>
          <w:sz w:val="24"/>
          <w:szCs w:val="24"/>
        </w:rPr>
      </w:pPr>
    </w:p>
    <w:p>
      <w:pPr>
        <w:numPr>
          <w:ilvl w:val="1"/>
          <w:numId w:val="11"/>
        </w:numPr>
        <w:shd w:val="clear" w:color="auto" w:fill="B2A1C7" w:themeFill="accent4" w:themeFillTint="99"/>
        <w:ind w:left="1335"/>
        <w:contextualSpacing/>
        <w:rPr>
          <w:rFonts w:ascii="Arial" w:hAnsi="Arial" w:cs="Arial"/>
          <w:b/>
          <w:sz w:val="24"/>
          <w:szCs w:val="24"/>
        </w:rPr>
      </w:pPr>
      <w:r>
        <w:rPr>
          <w:rFonts w:ascii="Arial" w:hAnsi="Arial" w:cs="Arial"/>
          <w:b/>
          <w:sz w:val="24"/>
          <w:szCs w:val="24"/>
        </w:rPr>
        <w:t>FINALIDAD DEL PROGRAMA</w:t>
      </w:r>
    </w:p>
    <w:p>
      <w:pPr>
        <w:ind w:left="1335"/>
        <w:contextualSpacing/>
        <w:rPr>
          <w:rFonts w:ascii="Arial" w:hAnsi="Arial" w:cs="Arial"/>
          <w:b/>
          <w:sz w:val="24"/>
          <w:szCs w:val="24"/>
        </w:rPr>
      </w:pPr>
    </w:p>
    <w:p>
      <w:pPr>
        <w:spacing w:after="0" w:line="360" w:lineRule="auto"/>
        <w:jc w:val="both"/>
        <w:rPr>
          <w:rFonts w:ascii="Arial" w:hAnsi="Arial" w:cs="Arial"/>
          <w:sz w:val="24"/>
          <w:szCs w:val="24"/>
        </w:rPr>
      </w:pPr>
      <w:r>
        <w:rPr>
          <w:rFonts w:ascii="Arial" w:hAnsi="Arial" w:cs="Arial"/>
          <w:sz w:val="24"/>
          <w:szCs w:val="24"/>
        </w:rPr>
        <w:t>La finalidad del Programa Oblatas Daniela es el compromiso solidario con las mujeres que ejercen prostitución y/o son víctimas de trata con fines de explotación sexual, así como, la denuncia de estructuras que no respeten los derechos humanos, de manera especial en aquellas situaciones de injusticia, exclusión social y violencia.</w:t>
      </w:r>
    </w:p>
    <w:p>
      <w:pPr>
        <w:spacing w:after="0" w:line="360" w:lineRule="auto"/>
        <w:jc w:val="both"/>
        <w:rPr>
          <w:rFonts w:ascii="Arial" w:hAnsi="Arial" w:cs="Arial"/>
          <w:sz w:val="24"/>
          <w:szCs w:val="24"/>
        </w:rPr>
      </w:pPr>
      <w:r>
        <w:rPr>
          <w:rFonts w:ascii="Arial" w:hAnsi="Arial" w:cs="Arial"/>
          <w:sz w:val="24"/>
          <w:szCs w:val="24"/>
        </w:rPr>
        <w:t xml:space="preserve">La entidad está atenta a la realidad social y de la mujer, para ofrecer respuestas creativas a las nuevas necesidades y desafíos. Quiere hacer visible la situación de injusticia de las mujeres y su compromiso por la transformación social. Favorece la formación continua y evaluación de los proyectos, para una mejora profesional y un </w:t>
      </w:r>
      <w:r>
        <w:rPr>
          <w:rFonts w:ascii="Arial" w:hAnsi="Arial" w:cs="Arial"/>
          <w:sz w:val="24"/>
          <w:szCs w:val="24"/>
        </w:rPr>
        <w:lastRenderedPageBreak/>
        <w:t>trabajo de calidad. Desde una identidad compartida y la vinculación de la Entidad, fortalece el trabajo en equipo y vela por la integración y el aprendizaje mutuo entre todas las personas que participan en los proyectos. Se compromete en la sostenibilidad económica de los proyectos, diversificando las fuentes de financiación e impulsando la autofinanciación.</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Las personas que participan en los proyectos sociales de Oblatas viven y actualizan un conjunto de valores que les identifican con la Entidad, que los mantiene en el tiempo y:</w:t>
      </w:r>
    </w:p>
    <w:p>
      <w:pPr>
        <w:spacing w:after="0" w:line="360" w:lineRule="auto"/>
        <w:jc w:val="both"/>
        <w:rPr>
          <w:rFonts w:ascii="Arial" w:hAnsi="Arial" w:cs="Arial"/>
          <w:sz w:val="24"/>
          <w:szCs w:val="24"/>
        </w:rPr>
      </w:pPr>
    </w:p>
    <w:p>
      <w:pPr>
        <w:numPr>
          <w:ilvl w:val="0"/>
          <w:numId w:val="12"/>
        </w:numPr>
        <w:autoSpaceDE w:val="0"/>
        <w:autoSpaceDN w:val="0"/>
        <w:adjustRightInd w:val="0"/>
        <w:spacing w:after="0" w:line="360" w:lineRule="auto"/>
        <w:ind w:left="709"/>
        <w:contextualSpacing/>
        <w:jc w:val="both"/>
        <w:rPr>
          <w:rFonts w:ascii="Arial" w:hAnsi="Arial" w:cs="Arial"/>
          <w:sz w:val="24"/>
          <w:szCs w:val="24"/>
        </w:rPr>
      </w:pPr>
      <w:r>
        <w:rPr>
          <w:rFonts w:ascii="Arial" w:hAnsi="Arial" w:cs="Arial"/>
          <w:sz w:val="24"/>
          <w:szCs w:val="24"/>
        </w:rPr>
        <w:t xml:space="preserve">Reconocen al otro/a como </w:t>
      </w:r>
      <w:r>
        <w:rPr>
          <w:rFonts w:ascii="Arial" w:hAnsi="Arial" w:cs="Arial"/>
          <w:b/>
          <w:bCs/>
          <w:sz w:val="24"/>
          <w:szCs w:val="24"/>
        </w:rPr>
        <w:t>persona</w:t>
      </w:r>
      <w:r>
        <w:rPr>
          <w:rFonts w:ascii="Arial" w:hAnsi="Arial" w:cs="Arial"/>
          <w:sz w:val="24"/>
          <w:szCs w:val="24"/>
        </w:rPr>
        <w:t>, con plena dignidad, derechos y posibilidades. Es la base desde donde acompañan y construyen el trabajo en equipo.</w:t>
      </w:r>
    </w:p>
    <w:p>
      <w:pPr>
        <w:numPr>
          <w:ilvl w:val="0"/>
          <w:numId w:val="12"/>
        </w:numPr>
        <w:autoSpaceDE w:val="0"/>
        <w:autoSpaceDN w:val="0"/>
        <w:adjustRightInd w:val="0"/>
        <w:spacing w:after="0" w:line="360" w:lineRule="auto"/>
        <w:ind w:left="709"/>
        <w:contextualSpacing/>
        <w:jc w:val="both"/>
        <w:rPr>
          <w:rFonts w:ascii="Arial" w:hAnsi="Arial" w:cs="Arial"/>
          <w:sz w:val="24"/>
          <w:szCs w:val="24"/>
        </w:rPr>
      </w:pPr>
      <w:r>
        <w:rPr>
          <w:rFonts w:ascii="Arial" w:hAnsi="Arial" w:cs="Arial"/>
          <w:sz w:val="24"/>
          <w:szCs w:val="24"/>
        </w:rPr>
        <w:t xml:space="preserve">La </w:t>
      </w:r>
      <w:r>
        <w:rPr>
          <w:rFonts w:ascii="Arial" w:hAnsi="Arial" w:cs="Arial"/>
          <w:b/>
          <w:bCs/>
          <w:sz w:val="24"/>
          <w:szCs w:val="24"/>
        </w:rPr>
        <w:t xml:space="preserve">acogida auténtica, cercana y constante </w:t>
      </w:r>
      <w:r>
        <w:rPr>
          <w:rFonts w:ascii="Arial" w:hAnsi="Arial" w:cs="Arial"/>
          <w:sz w:val="24"/>
          <w:szCs w:val="24"/>
        </w:rPr>
        <w:t>se respira en los proyectos e impregna a quien se acerca creando espacios de familiaridad, calidez y alegría.</w:t>
      </w:r>
    </w:p>
    <w:p>
      <w:pPr>
        <w:numPr>
          <w:ilvl w:val="0"/>
          <w:numId w:val="12"/>
        </w:numPr>
        <w:autoSpaceDE w:val="0"/>
        <w:autoSpaceDN w:val="0"/>
        <w:adjustRightInd w:val="0"/>
        <w:spacing w:after="0" w:line="360" w:lineRule="auto"/>
        <w:ind w:left="709"/>
        <w:contextualSpacing/>
        <w:jc w:val="both"/>
        <w:rPr>
          <w:rFonts w:ascii="Arial" w:hAnsi="Arial" w:cs="Arial"/>
          <w:b/>
          <w:bCs/>
          <w:sz w:val="24"/>
          <w:szCs w:val="24"/>
        </w:rPr>
      </w:pPr>
      <w:r>
        <w:rPr>
          <w:rFonts w:ascii="Arial" w:hAnsi="Arial" w:cs="Arial"/>
          <w:sz w:val="24"/>
          <w:szCs w:val="24"/>
        </w:rPr>
        <w:t xml:space="preserve">Trabajan desde el </w:t>
      </w:r>
      <w:r>
        <w:rPr>
          <w:rFonts w:ascii="Arial" w:hAnsi="Arial" w:cs="Arial"/>
          <w:b/>
          <w:bCs/>
          <w:sz w:val="24"/>
          <w:szCs w:val="24"/>
        </w:rPr>
        <w:t xml:space="preserve">respeto a la persona y a los procesos de crecimiento </w:t>
      </w:r>
      <w:r>
        <w:rPr>
          <w:rFonts w:ascii="Arial" w:hAnsi="Arial" w:cs="Arial"/>
          <w:sz w:val="24"/>
          <w:szCs w:val="24"/>
        </w:rPr>
        <w:t>y cambio, aceptando e integrando la diversidad.</w:t>
      </w:r>
    </w:p>
    <w:p>
      <w:pPr>
        <w:numPr>
          <w:ilvl w:val="0"/>
          <w:numId w:val="12"/>
        </w:numPr>
        <w:autoSpaceDE w:val="0"/>
        <w:autoSpaceDN w:val="0"/>
        <w:adjustRightInd w:val="0"/>
        <w:spacing w:after="0" w:line="360" w:lineRule="auto"/>
        <w:ind w:left="709"/>
        <w:contextualSpacing/>
        <w:jc w:val="both"/>
        <w:rPr>
          <w:rFonts w:ascii="Arial" w:hAnsi="Arial" w:cs="Arial"/>
          <w:b/>
          <w:bCs/>
          <w:sz w:val="24"/>
          <w:szCs w:val="24"/>
        </w:rPr>
      </w:pPr>
      <w:r>
        <w:rPr>
          <w:rFonts w:ascii="Arial" w:hAnsi="Arial" w:cs="Arial"/>
          <w:sz w:val="24"/>
          <w:szCs w:val="24"/>
        </w:rPr>
        <w:t xml:space="preserve">La especial </w:t>
      </w:r>
      <w:r>
        <w:rPr>
          <w:rFonts w:ascii="Arial" w:hAnsi="Arial" w:cs="Arial"/>
          <w:b/>
          <w:bCs/>
          <w:sz w:val="24"/>
          <w:szCs w:val="24"/>
        </w:rPr>
        <w:t xml:space="preserve">sensibilidad hacia las realidades de vulneración de derechos </w:t>
      </w:r>
      <w:r>
        <w:rPr>
          <w:rFonts w:ascii="Arial" w:hAnsi="Arial" w:cs="Arial"/>
          <w:sz w:val="24"/>
          <w:szCs w:val="24"/>
        </w:rPr>
        <w:t>de las mujeres y el anhelo por la igualdad y la justicia social, se convierte en compromiso solidario y responsable, implicándose desde una perspectiva de género.</w:t>
      </w:r>
    </w:p>
    <w:p>
      <w:pPr>
        <w:numPr>
          <w:ilvl w:val="0"/>
          <w:numId w:val="12"/>
        </w:numPr>
        <w:autoSpaceDE w:val="0"/>
        <w:autoSpaceDN w:val="0"/>
        <w:adjustRightInd w:val="0"/>
        <w:spacing w:after="0" w:line="360" w:lineRule="auto"/>
        <w:ind w:left="709"/>
        <w:contextualSpacing/>
        <w:jc w:val="both"/>
        <w:rPr>
          <w:rFonts w:ascii="Arial" w:hAnsi="Arial" w:cs="Arial"/>
          <w:sz w:val="24"/>
          <w:szCs w:val="24"/>
        </w:rPr>
      </w:pPr>
      <w:r>
        <w:rPr>
          <w:rFonts w:ascii="Arial" w:hAnsi="Arial" w:cs="Arial"/>
          <w:b/>
          <w:bCs/>
          <w:sz w:val="24"/>
          <w:szCs w:val="24"/>
        </w:rPr>
        <w:t xml:space="preserve">La gratuidad y el altruismo, </w:t>
      </w:r>
      <w:r>
        <w:rPr>
          <w:rFonts w:ascii="Arial" w:hAnsi="Arial" w:cs="Arial"/>
          <w:sz w:val="24"/>
          <w:szCs w:val="24"/>
        </w:rPr>
        <w:t>les mantiene disponibles a ofertar oportunidades, más allá de la pura eficacia y búsqueda de resultados.</w:t>
      </w:r>
    </w:p>
    <w:p>
      <w:pPr>
        <w:numPr>
          <w:ilvl w:val="0"/>
          <w:numId w:val="12"/>
        </w:numPr>
        <w:autoSpaceDE w:val="0"/>
        <w:autoSpaceDN w:val="0"/>
        <w:adjustRightInd w:val="0"/>
        <w:spacing w:after="0" w:line="360" w:lineRule="auto"/>
        <w:ind w:left="709"/>
        <w:contextualSpacing/>
        <w:jc w:val="both"/>
        <w:rPr>
          <w:rFonts w:ascii="Arial" w:hAnsi="Arial" w:cs="Arial"/>
          <w:b/>
          <w:bCs/>
          <w:sz w:val="24"/>
          <w:szCs w:val="24"/>
        </w:rPr>
      </w:pPr>
      <w:r>
        <w:rPr>
          <w:rFonts w:ascii="Arial" w:hAnsi="Arial" w:cs="Arial"/>
          <w:sz w:val="24"/>
          <w:szCs w:val="24"/>
        </w:rPr>
        <w:t xml:space="preserve">Creen firmemente en la mujer y, por eso, mantienen la </w:t>
      </w:r>
      <w:r>
        <w:rPr>
          <w:rFonts w:ascii="Arial" w:hAnsi="Arial" w:cs="Arial"/>
          <w:b/>
          <w:bCs/>
          <w:sz w:val="24"/>
          <w:szCs w:val="24"/>
        </w:rPr>
        <w:t>esperanza y la confianza.</w:t>
      </w:r>
    </w:p>
    <w:p>
      <w:pPr>
        <w:autoSpaceDE w:val="0"/>
        <w:autoSpaceDN w:val="0"/>
        <w:adjustRightInd w:val="0"/>
        <w:spacing w:after="0" w:line="360" w:lineRule="auto"/>
        <w:ind w:left="709"/>
        <w:contextualSpacing/>
        <w:jc w:val="both"/>
        <w:rPr>
          <w:rFonts w:ascii="Arial" w:hAnsi="Arial" w:cs="Arial"/>
          <w:b/>
          <w:bCs/>
          <w:sz w:val="24"/>
          <w:szCs w:val="24"/>
        </w:rPr>
      </w:pPr>
    </w:p>
    <w:p>
      <w:pPr>
        <w:spacing w:line="360" w:lineRule="auto"/>
        <w:jc w:val="both"/>
        <w:rPr>
          <w:rFonts w:ascii="Arial" w:hAnsi="Arial" w:cs="Arial"/>
          <w:sz w:val="24"/>
          <w:szCs w:val="24"/>
        </w:rPr>
      </w:pPr>
      <w:r>
        <w:rPr>
          <w:rFonts w:ascii="Arial" w:hAnsi="Arial" w:cs="Arial"/>
          <w:sz w:val="24"/>
          <w:szCs w:val="24"/>
        </w:rPr>
        <w:t>A partir de aquí, va realizando un continuo análisis de la realidad y de la metodología de trabajo, con el fin de dar respuestas adecuadas a las nuevas necesidades de las mujeres</w:t>
      </w:r>
    </w:p>
    <w:p>
      <w:pPr>
        <w:spacing w:line="360" w:lineRule="auto"/>
        <w:jc w:val="both"/>
        <w:rPr>
          <w:rFonts w:ascii="Arial" w:hAnsi="Arial" w:cs="Arial"/>
          <w:sz w:val="24"/>
          <w:szCs w:val="24"/>
        </w:rPr>
      </w:pPr>
    </w:p>
    <w:p>
      <w:pPr>
        <w:spacing w:line="360" w:lineRule="auto"/>
        <w:jc w:val="both"/>
        <w:rPr>
          <w:rFonts w:ascii="Arial" w:hAnsi="Arial" w:cs="Arial"/>
          <w:sz w:val="24"/>
          <w:szCs w:val="24"/>
        </w:rPr>
      </w:pPr>
    </w:p>
    <w:p>
      <w:pPr>
        <w:shd w:val="clear" w:color="auto" w:fill="B2A1C7" w:themeFill="accent4" w:themeFillTint="99"/>
        <w:contextualSpacing/>
        <w:rPr>
          <w:rFonts w:ascii="Arial" w:hAnsi="Arial" w:cs="Arial"/>
          <w:b/>
          <w:sz w:val="24"/>
          <w:szCs w:val="24"/>
        </w:rPr>
      </w:pPr>
      <w:r>
        <w:rPr>
          <w:rFonts w:ascii="Arial" w:hAnsi="Arial" w:cs="Arial"/>
          <w:b/>
          <w:sz w:val="24"/>
          <w:szCs w:val="24"/>
        </w:rPr>
        <w:lastRenderedPageBreak/>
        <w:t>1.3.- OBJETIVOS DEL PROGRAMA</w:t>
      </w:r>
    </w:p>
    <w:p>
      <w:pPr>
        <w:spacing w:after="0"/>
        <w:jc w:val="both"/>
        <w:outlineLvl w:val="0"/>
        <w:rPr>
          <w:rFonts w:ascii="Arial" w:hAnsi="Arial" w:cs="Arial"/>
          <w:b/>
          <w:sz w:val="24"/>
          <w:szCs w:val="24"/>
        </w:rPr>
      </w:pPr>
    </w:p>
    <w:p>
      <w:pPr>
        <w:spacing w:after="0" w:line="360" w:lineRule="auto"/>
        <w:jc w:val="both"/>
        <w:outlineLvl w:val="0"/>
        <w:rPr>
          <w:rFonts w:ascii="Arial" w:hAnsi="Arial" w:cs="Arial"/>
          <w:b/>
          <w:sz w:val="24"/>
          <w:szCs w:val="24"/>
        </w:rPr>
      </w:pPr>
      <w:r>
        <w:rPr>
          <w:rFonts w:ascii="Arial" w:hAnsi="Arial" w:cs="Arial"/>
          <w:b/>
          <w:sz w:val="24"/>
          <w:szCs w:val="24"/>
        </w:rPr>
        <w:t>OBJETIVO GENERAL:</w:t>
      </w:r>
    </w:p>
    <w:p>
      <w:pPr>
        <w:spacing w:after="0" w:line="360" w:lineRule="auto"/>
        <w:jc w:val="both"/>
        <w:outlineLvl w:val="0"/>
        <w:rPr>
          <w:rFonts w:ascii="Arial" w:hAnsi="Arial" w:cs="Arial"/>
          <w:b/>
          <w:sz w:val="24"/>
          <w:szCs w:val="24"/>
        </w:rPr>
      </w:pPr>
    </w:p>
    <w:p>
      <w:pPr>
        <w:spacing w:after="0" w:line="360" w:lineRule="auto"/>
        <w:jc w:val="both"/>
        <w:rPr>
          <w:rFonts w:ascii="Arial" w:hAnsi="Arial" w:cs="Arial"/>
          <w:b/>
          <w:sz w:val="24"/>
          <w:szCs w:val="24"/>
        </w:rPr>
      </w:pPr>
      <w:r>
        <w:rPr>
          <w:rFonts w:ascii="Arial" w:hAnsi="Arial" w:cs="Arial"/>
          <w:sz w:val="24"/>
          <w:szCs w:val="24"/>
        </w:rPr>
        <w:t xml:space="preserve">Atender y proteger a las mujeres víctimas de violencia de género por prostitución o por trata con fines de explotación sexual, mediante la detección y/o atención integral a las mismas, así como intervenir desde la prevención facilitando formación especializada sobre dicho fenómeno a la población en general, especialmente a jóvenes entre 15 y 30 años y a agentes sociales, educativos, sanitarios, jurídicos y policiales y cuerpos de seguridad del Estado. </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outlineLvl w:val="0"/>
        <w:rPr>
          <w:rFonts w:ascii="Arial" w:hAnsi="Arial" w:cs="Arial"/>
          <w:b/>
          <w:sz w:val="24"/>
          <w:szCs w:val="24"/>
        </w:rPr>
      </w:pPr>
      <w:r>
        <w:rPr>
          <w:rFonts w:ascii="Arial" w:hAnsi="Arial" w:cs="Arial"/>
          <w:b/>
          <w:sz w:val="24"/>
          <w:szCs w:val="24"/>
        </w:rPr>
        <w:t>OBJETIVOS ESPECÍFICOS:</w:t>
      </w:r>
    </w:p>
    <w:p>
      <w:pPr>
        <w:autoSpaceDE w:val="0"/>
        <w:autoSpaceDN w:val="0"/>
        <w:adjustRightInd w:val="0"/>
        <w:spacing w:after="0" w:line="360" w:lineRule="auto"/>
        <w:jc w:val="both"/>
        <w:rPr>
          <w:rFonts w:ascii="Arial" w:hAnsi="Arial" w:cs="Arial"/>
          <w:sz w:val="24"/>
          <w:szCs w:val="24"/>
        </w:rPr>
      </w:pPr>
    </w:p>
    <w:p>
      <w:pPr>
        <w:widowControl w:val="0"/>
        <w:numPr>
          <w:ilvl w:val="0"/>
          <w:numId w:val="8"/>
        </w:numPr>
        <w:autoSpaceDE w:val="0"/>
        <w:autoSpaceDN w:val="0"/>
        <w:spacing w:after="0" w:line="360" w:lineRule="auto"/>
        <w:ind w:left="851" w:hanging="284"/>
        <w:jc w:val="both"/>
        <w:rPr>
          <w:rFonts w:ascii="Arial" w:hAnsi="Arial" w:cs="Arial"/>
          <w:sz w:val="24"/>
          <w:szCs w:val="24"/>
        </w:rPr>
      </w:pPr>
      <w:r>
        <w:rPr>
          <w:rFonts w:ascii="Arial" w:hAnsi="Arial" w:cs="Arial"/>
          <w:sz w:val="24"/>
          <w:szCs w:val="24"/>
        </w:rPr>
        <w:t>Ofrecer protección y las prestaciones propias de carácter residencial: acogida, alojamiento, manutención y atención de necesidades básicas para mujeres solas y /o con sus hijos/as.</w:t>
      </w:r>
    </w:p>
    <w:p>
      <w:pPr>
        <w:widowControl w:val="0"/>
        <w:autoSpaceDE w:val="0"/>
        <w:autoSpaceDN w:val="0"/>
        <w:spacing w:after="0" w:line="360" w:lineRule="auto"/>
        <w:ind w:left="851" w:hanging="284"/>
        <w:jc w:val="both"/>
        <w:rPr>
          <w:rFonts w:ascii="Arial" w:hAnsi="Arial" w:cs="Arial"/>
          <w:sz w:val="24"/>
          <w:szCs w:val="24"/>
        </w:rPr>
      </w:pPr>
    </w:p>
    <w:p>
      <w:pPr>
        <w:widowControl w:val="0"/>
        <w:numPr>
          <w:ilvl w:val="0"/>
          <w:numId w:val="8"/>
        </w:numPr>
        <w:autoSpaceDE w:val="0"/>
        <w:autoSpaceDN w:val="0"/>
        <w:spacing w:after="0" w:line="360" w:lineRule="auto"/>
        <w:ind w:left="851" w:hanging="284"/>
        <w:jc w:val="both"/>
        <w:rPr>
          <w:rFonts w:ascii="Arial" w:hAnsi="Arial" w:cs="Arial"/>
          <w:sz w:val="24"/>
          <w:szCs w:val="24"/>
        </w:rPr>
      </w:pPr>
      <w:r>
        <w:rPr>
          <w:rFonts w:ascii="Arial" w:hAnsi="Arial" w:cs="Arial"/>
          <w:sz w:val="24"/>
          <w:szCs w:val="24"/>
        </w:rPr>
        <w:t>Motivar e implicar a las mujeres en su proceso personal y la de sus hijas/os, brindándoles herramientas que les ayuden a crecer en autonomía, mejorando la calidad de vida de la mujer e hijas/os mediante el apoyo socio-laboral, psicológico, jurídico y educativo, a través de la atención individualizada.</w:t>
      </w:r>
    </w:p>
    <w:p>
      <w:pPr>
        <w:widowControl w:val="0"/>
        <w:autoSpaceDE w:val="0"/>
        <w:autoSpaceDN w:val="0"/>
        <w:spacing w:after="0" w:line="360" w:lineRule="auto"/>
        <w:ind w:left="851" w:hanging="284"/>
        <w:jc w:val="both"/>
        <w:rPr>
          <w:rFonts w:ascii="Arial" w:hAnsi="Arial" w:cs="Arial"/>
          <w:sz w:val="24"/>
          <w:szCs w:val="24"/>
        </w:rPr>
      </w:pPr>
    </w:p>
    <w:p>
      <w:pPr>
        <w:numPr>
          <w:ilvl w:val="0"/>
          <w:numId w:val="8"/>
        </w:numPr>
        <w:autoSpaceDE w:val="0"/>
        <w:autoSpaceDN w:val="0"/>
        <w:spacing w:after="0" w:line="360" w:lineRule="auto"/>
        <w:ind w:left="851" w:hanging="284"/>
        <w:jc w:val="both"/>
        <w:rPr>
          <w:rFonts w:ascii="Arial" w:hAnsi="Arial" w:cs="Arial"/>
          <w:sz w:val="24"/>
          <w:szCs w:val="24"/>
        </w:rPr>
      </w:pPr>
      <w:r>
        <w:rPr>
          <w:rFonts w:ascii="Arial" w:hAnsi="Arial" w:cs="Arial"/>
          <w:sz w:val="24"/>
          <w:szCs w:val="24"/>
        </w:rPr>
        <w:t>Impulsar actuaciones de coordinación con la red social para facilitar la participación e implicación, de las mujeres, en el ámbito social, educativo y laboral de la red comunitaria y así ejerzan su derecho a la ciudadanía y su empoderamiento.</w:t>
      </w:r>
    </w:p>
    <w:p>
      <w:pPr>
        <w:spacing w:line="360" w:lineRule="auto"/>
        <w:ind w:left="851" w:hanging="284"/>
        <w:contextualSpacing/>
        <w:rPr>
          <w:rFonts w:ascii="Arial" w:hAnsi="Arial" w:cs="Arial"/>
          <w:sz w:val="24"/>
          <w:szCs w:val="24"/>
        </w:rPr>
      </w:pPr>
    </w:p>
    <w:p>
      <w:pPr>
        <w:numPr>
          <w:ilvl w:val="0"/>
          <w:numId w:val="8"/>
        </w:numPr>
        <w:autoSpaceDE w:val="0"/>
        <w:autoSpaceDN w:val="0"/>
        <w:spacing w:after="0" w:line="360" w:lineRule="auto"/>
        <w:ind w:left="851" w:hanging="284"/>
        <w:jc w:val="both"/>
        <w:rPr>
          <w:rFonts w:ascii="Arial" w:hAnsi="Arial" w:cs="Arial"/>
          <w:sz w:val="24"/>
          <w:szCs w:val="24"/>
        </w:rPr>
      </w:pPr>
      <w:r>
        <w:rPr>
          <w:rFonts w:ascii="Arial" w:hAnsi="Arial" w:cs="Arial"/>
          <w:sz w:val="24"/>
          <w:szCs w:val="24"/>
        </w:rPr>
        <w:t xml:space="preserve"> Detección, Identificación y/o atención integral a mujeres que ejercen la prostitución, especialmente a las mujeres que son víctimas de violencia de género por trata con fines de explotación sexual.</w:t>
      </w:r>
    </w:p>
    <w:p>
      <w:pPr>
        <w:widowControl w:val="0"/>
        <w:autoSpaceDE w:val="0"/>
        <w:autoSpaceDN w:val="0"/>
        <w:spacing w:after="0" w:line="360" w:lineRule="auto"/>
        <w:ind w:left="851" w:hanging="284"/>
        <w:jc w:val="both"/>
        <w:rPr>
          <w:rFonts w:ascii="Arial" w:hAnsi="Arial" w:cs="Arial"/>
          <w:sz w:val="24"/>
          <w:szCs w:val="24"/>
        </w:rPr>
      </w:pPr>
    </w:p>
    <w:p>
      <w:pPr>
        <w:widowControl w:val="0"/>
        <w:numPr>
          <w:ilvl w:val="0"/>
          <w:numId w:val="8"/>
        </w:numPr>
        <w:autoSpaceDE w:val="0"/>
        <w:autoSpaceDN w:val="0"/>
        <w:spacing w:after="0" w:line="360" w:lineRule="auto"/>
        <w:ind w:left="851" w:hanging="284"/>
        <w:jc w:val="both"/>
        <w:rPr>
          <w:rFonts w:ascii="Arial" w:hAnsi="Arial" w:cs="Arial"/>
          <w:sz w:val="24"/>
          <w:szCs w:val="24"/>
        </w:rPr>
      </w:pPr>
      <w:r>
        <w:rPr>
          <w:rFonts w:ascii="Arial" w:hAnsi="Arial" w:cs="Arial"/>
          <w:sz w:val="24"/>
          <w:szCs w:val="24"/>
        </w:rPr>
        <w:lastRenderedPageBreak/>
        <w:t>Promover actividades de sensibilización social, visibilización y prevención del fenómeno de la violencia de género, especialmente por prostitución y por la trata de mujeres con fines de explotación sexual, con el fin de crear rechazo social y llegar al principio de tolerancia cero.</w:t>
      </w:r>
    </w:p>
    <w:p>
      <w:pPr>
        <w:spacing w:line="360" w:lineRule="auto"/>
        <w:ind w:left="851" w:hanging="284"/>
        <w:contextualSpacing/>
        <w:rPr>
          <w:rFonts w:ascii="Arial" w:hAnsi="Arial" w:cs="Arial"/>
          <w:sz w:val="24"/>
          <w:szCs w:val="24"/>
        </w:rPr>
      </w:pPr>
    </w:p>
    <w:p>
      <w:pPr>
        <w:widowControl w:val="0"/>
        <w:numPr>
          <w:ilvl w:val="0"/>
          <w:numId w:val="8"/>
        </w:numPr>
        <w:autoSpaceDE w:val="0"/>
        <w:autoSpaceDN w:val="0"/>
        <w:spacing w:after="0" w:line="360" w:lineRule="auto"/>
        <w:ind w:left="851" w:hanging="284"/>
        <w:jc w:val="both"/>
        <w:rPr>
          <w:rFonts w:ascii="Arial" w:hAnsi="Arial" w:cs="Arial"/>
          <w:sz w:val="24"/>
          <w:szCs w:val="24"/>
        </w:rPr>
      </w:pPr>
      <w:r>
        <w:rPr>
          <w:rFonts w:ascii="Arial" w:hAnsi="Arial" w:cs="Arial"/>
          <w:sz w:val="24"/>
          <w:szCs w:val="24"/>
        </w:rPr>
        <w:t>Desarrollar actuaciones formativas e informativas dirigidas a promover, entre las mujeres participantes, el desarrollo integral de la persona mediante la adquisición de habilidades y competencias básicas para la vida diaria y la inclusión socio-laboral.</w:t>
      </w:r>
    </w:p>
    <w:p>
      <w:pPr>
        <w:contextualSpacing/>
        <w:rPr>
          <w:rFonts w:ascii="Arial" w:hAnsi="Arial" w:cs="Arial"/>
          <w:b/>
          <w:sz w:val="24"/>
          <w:szCs w:val="24"/>
        </w:rPr>
      </w:pPr>
    </w:p>
    <w:p>
      <w:pPr>
        <w:contextualSpacing/>
        <w:rPr>
          <w:rFonts w:ascii="Arial" w:hAnsi="Arial" w:cs="Arial"/>
          <w:b/>
          <w:sz w:val="24"/>
          <w:szCs w:val="24"/>
        </w:rPr>
      </w:pPr>
    </w:p>
    <w:p>
      <w:pPr>
        <w:shd w:val="clear" w:color="auto" w:fill="B2A1C7" w:themeFill="accent4" w:themeFillTint="99"/>
        <w:contextualSpacing/>
        <w:rPr>
          <w:rFonts w:ascii="Arial" w:hAnsi="Arial" w:cs="Arial"/>
          <w:b/>
          <w:sz w:val="24"/>
          <w:szCs w:val="24"/>
        </w:rPr>
      </w:pPr>
      <w:r>
        <w:rPr>
          <w:rFonts w:ascii="Arial" w:hAnsi="Arial" w:cs="Arial"/>
          <w:b/>
          <w:sz w:val="24"/>
          <w:szCs w:val="24"/>
        </w:rPr>
        <w:t>1.4</w:t>
      </w:r>
      <w:r>
        <w:rPr>
          <w:rFonts w:ascii="Arial" w:hAnsi="Arial" w:cs="Arial"/>
          <w:b/>
          <w:sz w:val="24"/>
          <w:szCs w:val="24"/>
          <w:shd w:val="clear" w:color="auto" w:fill="B2A1C7" w:themeFill="accent4" w:themeFillTint="99"/>
        </w:rPr>
        <w:t>.- PROYECTOS REALIZADOS Y REDES DE PARTICIPACIÓN DEL PROGRAMA</w:t>
      </w:r>
    </w:p>
    <w:p>
      <w:pPr>
        <w:jc w:val="both"/>
        <w:rPr>
          <w:rFonts w:ascii="Arial" w:hAnsi="Arial" w:cs="Arial"/>
          <w:sz w:val="24"/>
          <w:szCs w:val="24"/>
        </w:rPr>
      </w:pPr>
    </w:p>
    <w:p>
      <w:pPr>
        <w:pStyle w:val="Prrafodelista"/>
        <w:numPr>
          <w:ilvl w:val="0"/>
          <w:numId w:val="48"/>
        </w:numPr>
        <w:spacing w:line="360" w:lineRule="auto"/>
        <w:jc w:val="both"/>
        <w:rPr>
          <w:rFonts w:ascii="Arial" w:hAnsi="Arial" w:cs="Arial"/>
          <w:sz w:val="24"/>
          <w:szCs w:val="24"/>
        </w:rPr>
      </w:pPr>
      <w:r>
        <w:rPr>
          <w:rFonts w:ascii="Arial" w:hAnsi="Arial" w:cs="Arial"/>
          <w:b/>
          <w:sz w:val="24"/>
          <w:szCs w:val="24"/>
        </w:rPr>
        <w:t>“CASA DE ACOGIDA DANIELA”</w:t>
      </w:r>
      <w:r>
        <w:rPr>
          <w:rFonts w:ascii="Arial" w:hAnsi="Arial" w:cs="Arial"/>
          <w:sz w:val="24"/>
          <w:szCs w:val="24"/>
        </w:rPr>
        <w:t xml:space="preserve">: para mujeres mayores de edad, solas y/o con menores a su cargo, especialmente, en situación de exclusión y prostitución y/o trata con fines de explotación sexual, laboral, matrimonio servil, etc. Desde una intervención integral que les facilite la toma de conciencia de su propia realidad y las alternativas que pueden ir afrontando para lograr su autonomía y su incorporación, como protagonistas de su propia existencia, a la sociedad, desde el conocimiento y el ejercicio de sus derechos y obligaciones como ciudadanas. La Casa de Acogida Daniela es un recurso alojativo desde el cual se cubren todas las necesidades que pueda tener la mujer, protección, alojamiento, alimentación, higiene personal, transporte, farmacia; así como las derivadas del cuidado y educación de sus hijos, si los tuviesen. </w:t>
      </w:r>
    </w:p>
    <w:p>
      <w:pPr>
        <w:pStyle w:val="Prrafodelista"/>
        <w:spacing w:line="360" w:lineRule="auto"/>
        <w:jc w:val="both"/>
        <w:rPr>
          <w:rFonts w:ascii="Arial" w:hAnsi="Arial" w:cs="Arial"/>
          <w:sz w:val="24"/>
          <w:szCs w:val="24"/>
        </w:rPr>
      </w:pPr>
    </w:p>
    <w:p>
      <w:pPr>
        <w:pStyle w:val="Prrafodelista"/>
        <w:spacing w:line="360" w:lineRule="auto"/>
        <w:jc w:val="both"/>
        <w:rPr>
          <w:rFonts w:ascii="Arial" w:hAnsi="Arial" w:cs="Arial"/>
          <w:sz w:val="24"/>
          <w:szCs w:val="24"/>
        </w:rPr>
      </w:pPr>
      <w:r>
        <w:rPr>
          <w:rFonts w:ascii="Arial" w:hAnsi="Arial" w:cs="Arial"/>
          <w:sz w:val="24"/>
          <w:szCs w:val="24"/>
        </w:rPr>
        <w:t xml:space="preserve">Las mujeres durante su estancia en este servicio alojativo, y teniendo en cuenta sus circunstancias personales y el plan de trabajo que cada una establece, son acompañadas por profesionales y voluntariado, especializado, desde las distintas áreas de intervención (psicológica, jurídica, socio-educativa y laboral), con el fin de empoderarlas y dotarlas de habilidades que posibiliten su reinserción social y el reconocimiento de su ciudadanía, así como la toma de </w:t>
      </w:r>
      <w:r>
        <w:rPr>
          <w:rFonts w:ascii="Arial" w:hAnsi="Arial" w:cs="Arial"/>
          <w:sz w:val="24"/>
          <w:szCs w:val="24"/>
        </w:rPr>
        <w:lastRenderedPageBreak/>
        <w:t>conciencia de su responsabilidad para contribuir al crecimiento de la sociedad. Este año además se ha visto complementado con el proyecto de Mantenimiento y Equipamiento de Casa de Acogida Daniela a través de convenio con Naturgy.</w:t>
      </w:r>
    </w:p>
    <w:p>
      <w:pPr>
        <w:pStyle w:val="Prrafodelista"/>
        <w:spacing w:line="360" w:lineRule="auto"/>
        <w:jc w:val="both"/>
        <w:rPr>
          <w:rFonts w:ascii="Arial" w:hAnsi="Arial" w:cs="Arial"/>
          <w:sz w:val="24"/>
          <w:szCs w:val="24"/>
        </w:rPr>
      </w:pPr>
    </w:p>
    <w:p>
      <w:pPr>
        <w:pStyle w:val="Prrafodelista"/>
        <w:numPr>
          <w:ilvl w:val="0"/>
          <w:numId w:val="48"/>
        </w:numPr>
        <w:spacing w:line="360" w:lineRule="auto"/>
        <w:jc w:val="both"/>
        <w:rPr>
          <w:rFonts w:ascii="Arial" w:hAnsi="Arial" w:cs="Arial"/>
          <w:sz w:val="24"/>
          <w:szCs w:val="24"/>
        </w:rPr>
      </w:pPr>
      <w:r>
        <w:rPr>
          <w:rFonts w:ascii="Arial" w:hAnsi="Arial" w:cs="Arial"/>
          <w:b/>
          <w:sz w:val="24"/>
          <w:szCs w:val="24"/>
        </w:rPr>
        <w:t>“PISO DE AUTONOMÍA Y AYUDAS ECONÓMICAS DE EMERGENCIA</w:t>
      </w:r>
      <w:r>
        <w:rPr>
          <w:rFonts w:ascii="Arial" w:hAnsi="Arial" w:cs="Arial"/>
          <w:sz w:val="24"/>
          <w:szCs w:val="24"/>
        </w:rPr>
        <w:t>”: El piso de autonomía es una opción para aquellas mujeres que, sin tener recursos suficientes para hacer frente a su vida independiente, han superado un proceso de trabajo en la Casa de Acogida y requieren de un apoyo más indirecto. Se les ofrece alojamiento en condiciones de independencia con el refuerzo en la organización de la convivencia. Además, a este proyecto se añade proporcionar ayudas económicas de emergencia destinada a cubrir necesidades básicas.</w:t>
      </w:r>
    </w:p>
    <w:p>
      <w:pPr>
        <w:pStyle w:val="Prrafodelista"/>
        <w:spacing w:line="360" w:lineRule="auto"/>
        <w:jc w:val="both"/>
        <w:rPr>
          <w:rFonts w:ascii="Arial" w:hAnsi="Arial" w:cs="Arial"/>
          <w:sz w:val="24"/>
          <w:szCs w:val="24"/>
        </w:rPr>
      </w:pPr>
    </w:p>
    <w:p>
      <w:pPr>
        <w:pStyle w:val="Prrafodelista"/>
        <w:numPr>
          <w:ilvl w:val="0"/>
          <w:numId w:val="48"/>
        </w:numPr>
        <w:spacing w:line="360" w:lineRule="auto"/>
        <w:jc w:val="both"/>
        <w:rPr>
          <w:rFonts w:ascii="Arial" w:hAnsi="Arial" w:cs="Arial"/>
          <w:sz w:val="24"/>
          <w:szCs w:val="24"/>
        </w:rPr>
      </w:pPr>
      <w:r>
        <w:rPr>
          <w:rFonts w:ascii="Arial" w:hAnsi="Arial" w:cs="Arial"/>
          <w:b/>
          <w:sz w:val="24"/>
          <w:szCs w:val="24"/>
        </w:rPr>
        <w:t>“DANIELA PARTICIPA” o “SERVICIO INSULAR DE INTERVENCIÓN ESPECIALIZADA EN PROSTITUCIÓN Y EXPLOTACIÓN SEXUAL”,</w:t>
      </w:r>
      <w:r>
        <w:rPr>
          <w:rFonts w:ascii="Arial" w:hAnsi="Arial" w:cs="Arial"/>
          <w:sz w:val="24"/>
          <w:szCs w:val="24"/>
        </w:rPr>
        <w:t xml:space="preserve"> por un lado, pretende una intervención de proximidad con las mujeres que están en contextos de prostitución y/o son posibles víctimas de trata con fines de explotación sexual y paralelamente, contribuir a la toma de conciencia y cambio de actitudes y valores sociales en la sociedad civil, que posibilite crear pactos de equidad que permitan el desarrollo de un modelo de relación diferente. El proyecto abarca los ámbitos de formación, sensibilización e intervención con mujeres en medios abiertos. Se realiza acercamientos a contextos de prostitución, con el fin de dar a conocer la opción de un recurso al cual acudir en caso de necesitarlo la mujer, y de esta forma además conocer y detectar situaciones de explotación.  Paralelamente ofertamos formación e información a colectivos profesionales y centros educativos sobre la realidad que abarcamos: mujer, feminización de la pobreza, igualdad y violencia, prostitución y trata de seres humanos. Prestamos especial atención en los ámbitos escolares, adaptándonos a los menores a los que dirigimos nuestras charlas, en clave de derechos humanos, de igualdad, libertad y respeto a la persona. Así también la entidad participa de un importante número de foros dirigidos a profesionales de diferentes ámbitos, Fuerzas de Seguridad del Estado, entidades sociales, </w:t>
      </w:r>
      <w:r>
        <w:rPr>
          <w:rFonts w:ascii="Arial" w:hAnsi="Arial" w:cs="Arial"/>
          <w:sz w:val="24"/>
          <w:szCs w:val="24"/>
        </w:rPr>
        <w:lastRenderedPageBreak/>
        <w:t>colectivos especializados en intervención con mujer y otros, aportando nuestra experiencia y fomentando la formación, conocimiento y sensibilización ante la realidad de prostitución y trata de seres humanos. Asimismo, se apoya y/o trabaja de forma coordinada con otras entidades de intervención en las áreas reseñadas.</w:t>
      </w:r>
    </w:p>
    <w:p>
      <w:pPr>
        <w:pStyle w:val="Prrafodelista"/>
        <w:spacing w:line="360" w:lineRule="auto"/>
        <w:jc w:val="both"/>
        <w:rPr>
          <w:rFonts w:ascii="Arial" w:hAnsi="Arial" w:cs="Arial"/>
          <w:sz w:val="24"/>
          <w:szCs w:val="24"/>
        </w:rPr>
      </w:pPr>
    </w:p>
    <w:p>
      <w:pPr>
        <w:pStyle w:val="Prrafodelista"/>
        <w:numPr>
          <w:ilvl w:val="0"/>
          <w:numId w:val="48"/>
        </w:numPr>
        <w:spacing w:line="360" w:lineRule="auto"/>
        <w:jc w:val="both"/>
        <w:rPr>
          <w:rFonts w:ascii="Arial" w:hAnsi="Arial" w:cs="Arial"/>
          <w:sz w:val="24"/>
          <w:szCs w:val="24"/>
        </w:rPr>
      </w:pPr>
      <w:r>
        <w:rPr>
          <w:rFonts w:ascii="Arial" w:hAnsi="Arial" w:cs="Arial"/>
          <w:b/>
          <w:sz w:val="24"/>
          <w:szCs w:val="24"/>
        </w:rPr>
        <w:t xml:space="preserve">PROGRAMA DE FORMACIÓN CON COMPROMISO DE CONTRATACIÓN E INSERCIÓN PARA MUJERES VÍCTIMAS DE TRATA Y EXPLOTACIÓN SEXUAL (“Abriendo puertas, abriendo oportunidades”): </w:t>
      </w:r>
      <w:r>
        <w:rPr>
          <w:rFonts w:ascii="Arial" w:hAnsi="Arial" w:cs="Arial"/>
          <w:sz w:val="24"/>
          <w:szCs w:val="24"/>
        </w:rPr>
        <w:t>Anualmente, desde el mes de diciembre de 2021, se ha firmado convenios con el Servicio Canario de Empleo del Gobierno de Canarias, con la finalidad de desarrollar este proyecto de acompañamiento personalizado y de índole formativo para favorecer la inserción laboral de un grupo de mujeres en situación de vulnerabilidad por ser víctimas de trata con fines de explotación sexual o estar en contexto de prostitución.</w:t>
      </w:r>
    </w:p>
    <w:p>
      <w:pPr>
        <w:pStyle w:val="Prrafodelista"/>
        <w:spacing w:line="360" w:lineRule="auto"/>
        <w:rPr>
          <w:rFonts w:ascii="Arial" w:hAnsi="Arial" w:cs="Arial"/>
          <w:sz w:val="24"/>
          <w:szCs w:val="24"/>
        </w:rPr>
      </w:pPr>
    </w:p>
    <w:p>
      <w:pPr>
        <w:pStyle w:val="Prrafodelista"/>
        <w:numPr>
          <w:ilvl w:val="0"/>
          <w:numId w:val="48"/>
        </w:numPr>
        <w:spacing w:line="360" w:lineRule="auto"/>
        <w:jc w:val="both"/>
        <w:rPr>
          <w:rFonts w:ascii="Arial" w:hAnsi="Arial" w:cs="Arial"/>
          <w:sz w:val="24"/>
          <w:szCs w:val="24"/>
        </w:rPr>
      </w:pPr>
      <w:r>
        <w:rPr>
          <w:rFonts w:ascii="Arial" w:hAnsi="Arial" w:cs="Arial"/>
          <w:b/>
          <w:sz w:val="24"/>
          <w:szCs w:val="24"/>
        </w:rPr>
        <w:t xml:space="preserve">JORNADAS DE SENSIBILIZACIÓN SOCIAL CONTRA LA TRATA CON FINES DE EXPLOTACIÓN SEXUAL: </w:t>
      </w:r>
      <w:r>
        <w:rPr>
          <w:rFonts w:ascii="Arial" w:hAnsi="Arial" w:cs="Arial"/>
          <w:sz w:val="24"/>
          <w:szCs w:val="24"/>
        </w:rPr>
        <w:t>cada año, con motivo de la conmemoración del Día</w:t>
      </w:r>
      <w:r>
        <w:rPr>
          <w:rFonts w:ascii="Arial" w:hAnsi="Arial" w:cs="Arial"/>
          <w:b/>
          <w:sz w:val="24"/>
          <w:szCs w:val="24"/>
        </w:rPr>
        <w:t xml:space="preserve"> </w:t>
      </w:r>
      <w:r>
        <w:rPr>
          <w:rFonts w:ascii="Arial" w:hAnsi="Arial" w:cs="Arial"/>
          <w:sz w:val="24"/>
          <w:szCs w:val="24"/>
        </w:rPr>
        <w:t>Internacional contra la Explotación Sexual y la Trata de Personas, la entidad organiza unas jornadas eligiendo una temática de especial relevancia en el que se profundiza y ponentes acordes al objetivo de ese año.</w:t>
      </w:r>
      <w:r>
        <w:rPr>
          <w:rFonts w:ascii="Arial" w:hAnsi="Arial" w:cs="Arial"/>
          <w:b/>
          <w:sz w:val="24"/>
          <w:szCs w:val="24"/>
        </w:rPr>
        <w:t xml:space="preserve"> </w:t>
      </w:r>
      <w:r>
        <w:rPr>
          <w:rFonts w:ascii="Arial" w:hAnsi="Arial" w:cs="Arial"/>
          <w:sz w:val="24"/>
          <w:szCs w:val="24"/>
        </w:rPr>
        <w:t>En el año 2025, el programa de las Jornadas se diseñó para explorar diversas líneas temáticas relacionadas con el concepto central de esta edición, titulada "Prostitución en la cultura".</w:t>
      </w:r>
    </w:p>
    <w:p>
      <w:pPr>
        <w:spacing w:line="360" w:lineRule="auto"/>
        <w:jc w:val="both"/>
        <w:rPr>
          <w:rFonts w:ascii="Arial" w:hAnsi="Arial" w:cs="Arial"/>
          <w:sz w:val="24"/>
          <w:szCs w:val="24"/>
        </w:rPr>
      </w:pPr>
      <w:r>
        <w:rPr>
          <w:rFonts w:ascii="Arial" w:hAnsi="Arial" w:cs="Arial"/>
          <w:sz w:val="24"/>
          <w:szCs w:val="24"/>
        </w:rPr>
        <w:t xml:space="preserve">Además de estos proyectos de continuidad en la entidad, otros proyectos realizados durante el año 2025 han sido: “ MEJORA DE LA EMPLEABILIDAD Y AUTONOMÍA DE LAS MUJERES EN SITUACIÓN DE EXCLUSIÓN SOCIAL” / </w:t>
      </w:r>
      <w:r>
        <w:rPr>
          <w:rFonts w:ascii="Arial" w:hAnsi="Arial" w:cs="Arial"/>
          <w:b/>
          <w:sz w:val="24"/>
          <w:szCs w:val="24"/>
        </w:rPr>
        <w:t>“</w:t>
      </w:r>
      <w:r>
        <w:rPr>
          <w:rFonts w:ascii="Arial" w:hAnsi="Arial" w:cs="Arial"/>
          <w:sz w:val="24"/>
          <w:szCs w:val="24"/>
        </w:rPr>
        <w:t>TRANSITANDO HACIA LA INSERCIÓN</w:t>
      </w:r>
      <w:r>
        <w:rPr>
          <w:rFonts w:ascii="Arial" w:hAnsi="Arial" w:cs="Arial"/>
          <w:b/>
          <w:sz w:val="24"/>
          <w:szCs w:val="24"/>
        </w:rPr>
        <w:t xml:space="preserve">”: </w:t>
      </w:r>
      <w:r>
        <w:rPr>
          <w:rFonts w:ascii="Arial" w:hAnsi="Arial" w:cs="Arial"/>
          <w:sz w:val="24"/>
          <w:szCs w:val="24"/>
        </w:rPr>
        <w:t xml:space="preserve">proyectos formativos  que han estado destinados a  mujeres que, por su situación administrativa no pueden acceder al proyecto formativo mediante convenio con el Servicio Canario de Empleo, pero que precisan igualmente formación en </w:t>
      </w:r>
      <w:r>
        <w:rPr>
          <w:rFonts w:ascii="Arial" w:hAnsi="Arial" w:cs="Arial"/>
          <w:sz w:val="24"/>
          <w:szCs w:val="24"/>
        </w:rPr>
        <w:lastRenderedPageBreak/>
        <w:t>habilidades sociales, laborales y apoyo psicológico, para la mejora de su empleabilidad e inserción social en general.</w:t>
      </w:r>
    </w:p>
    <w:p>
      <w:pPr>
        <w:spacing w:line="360" w:lineRule="auto"/>
        <w:jc w:val="both"/>
        <w:rPr>
          <w:rFonts w:ascii="Arial" w:hAnsi="Arial" w:cs="Arial"/>
          <w:sz w:val="24"/>
          <w:szCs w:val="24"/>
        </w:rPr>
      </w:pPr>
      <w:r>
        <w:rPr>
          <w:rFonts w:ascii="Arial" w:hAnsi="Arial" w:cs="Arial"/>
          <w:sz w:val="24"/>
          <w:szCs w:val="24"/>
        </w:rPr>
        <w:t>Es fundamental señalar que, para la realización de los mencionados proyectos, ha sido fundamental la participación de la entidad en el trabajo en Red o comunitario con otras entidades:</w:t>
      </w:r>
    </w:p>
    <w:p>
      <w:pPr>
        <w:spacing w:line="360" w:lineRule="auto"/>
        <w:jc w:val="both"/>
        <w:rPr>
          <w:rFonts w:ascii="Arial" w:hAnsi="Arial" w:cs="Arial"/>
          <w:sz w:val="24"/>
          <w:szCs w:val="24"/>
        </w:rPr>
      </w:pPr>
    </w:p>
    <w:p>
      <w:pPr>
        <w:numPr>
          <w:ilvl w:val="0"/>
          <w:numId w:val="30"/>
        </w:num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contextualSpacing/>
        <w:jc w:val="both"/>
        <w:rPr>
          <w:rFonts w:ascii="Arial" w:eastAsia="Times New Roman" w:hAnsi="Arial" w:cs="Arial"/>
          <w:i/>
          <w:sz w:val="24"/>
          <w:szCs w:val="24"/>
          <w:lang w:eastAsia="zh-CN"/>
        </w:rPr>
      </w:pPr>
      <w:r>
        <w:rPr>
          <w:rFonts w:ascii="Arial" w:eastAsia="Times New Roman" w:hAnsi="Arial" w:cs="Arial"/>
          <w:b/>
          <w:i/>
          <w:sz w:val="24"/>
          <w:szCs w:val="24"/>
          <w:lang w:eastAsia="zh-CN"/>
        </w:rPr>
        <w:t>OBLATAS REGIÓN EUROPA.</w:t>
      </w:r>
      <w:r>
        <w:rPr>
          <w:rFonts w:ascii="Arial" w:eastAsia="Times New Roman" w:hAnsi="Arial" w:cs="Arial"/>
          <w:i/>
          <w:sz w:val="24"/>
          <w:szCs w:val="24"/>
          <w:lang w:eastAsia="zh-CN"/>
        </w:rPr>
        <w:t xml:space="preserve"> Coordinación y trabajo conjunto con otras entidades de la Congregación Oblatas de España, Portugal e Italia.</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contextualSpacing/>
        <w:jc w:val="both"/>
        <w:rPr>
          <w:rFonts w:ascii="Arial" w:eastAsia="Times New Roman" w:hAnsi="Arial" w:cs="Arial"/>
          <w:i/>
          <w:sz w:val="24"/>
          <w:szCs w:val="24"/>
          <w:lang w:eastAsia="zh-CN"/>
        </w:rPr>
      </w:pPr>
    </w:p>
    <w:p>
      <w:pPr>
        <w:numPr>
          <w:ilvl w:val="0"/>
          <w:numId w:val="30"/>
        </w:num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contextualSpacing/>
        <w:jc w:val="both"/>
        <w:rPr>
          <w:rFonts w:ascii="Arial" w:eastAsia="Times New Roman" w:hAnsi="Arial" w:cs="Arial"/>
          <w:i/>
          <w:sz w:val="24"/>
          <w:szCs w:val="24"/>
          <w:lang w:eastAsia="zh-CN"/>
        </w:rPr>
      </w:pPr>
      <w:r>
        <w:rPr>
          <w:rFonts w:ascii="Arial" w:eastAsia="Times New Roman" w:hAnsi="Arial" w:cs="Arial"/>
          <w:i/>
          <w:sz w:val="24"/>
          <w:szCs w:val="24"/>
          <w:lang w:eastAsia="zh-CN"/>
        </w:rPr>
        <w:t xml:space="preserve">La Congregación Oblatas también forma parte de la </w:t>
      </w:r>
      <w:r>
        <w:rPr>
          <w:rFonts w:ascii="Arial" w:eastAsia="Times New Roman" w:hAnsi="Arial" w:cs="Arial"/>
          <w:b/>
          <w:i/>
          <w:sz w:val="24"/>
          <w:szCs w:val="24"/>
          <w:lang w:eastAsia="zh-CN"/>
        </w:rPr>
        <w:t>Red Europea de religiosos/as contra la trata y la explotación (RENATE)</w:t>
      </w:r>
      <w:r>
        <w:rPr>
          <w:rFonts w:ascii="Arial" w:eastAsia="Times New Roman" w:hAnsi="Arial" w:cs="Arial"/>
          <w:i/>
          <w:sz w:val="24"/>
          <w:szCs w:val="24"/>
          <w:lang w:eastAsia="zh-CN"/>
        </w:rPr>
        <w:t>, desde la cual los Religiosos y Religiosas de diferentes congregaciones trabajan contra la trata de seres humanos en Europa.</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contextualSpacing/>
        <w:jc w:val="both"/>
        <w:rPr>
          <w:rFonts w:ascii="Arial" w:eastAsia="Times New Roman" w:hAnsi="Arial" w:cs="Arial"/>
          <w:i/>
          <w:sz w:val="24"/>
          <w:szCs w:val="24"/>
          <w:lang w:eastAsia="zh-CN"/>
        </w:rPr>
      </w:pPr>
    </w:p>
    <w:p>
      <w:pPr>
        <w:numPr>
          <w:ilvl w:val="0"/>
          <w:numId w:val="30"/>
        </w:num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contextualSpacing/>
        <w:jc w:val="both"/>
        <w:rPr>
          <w:rFonts w:ascii="Arial" w:eastAsia="Times New Roman" w:hAnsi="Arial" w:cs="Arial"/>
          <w:i/>
          <w:sz w:val="24"/>
          <w:szCs w:val="24"/>
          <w:lang w:eastAsia="zh-CN"/>
        </w:rPr>
      </w:pPr>
      <w:r>
        <w:rPr>
          <w:rFonts w:ascii="Arial" w:eastAsia="Times New Roman" w:hAnsi="Arial" w:cs="Arial"/>
          <w:i/>
          <w:sz w:val="24"/>
          <w:szCs w:val="24"/>
          <w:lang w:eastAsia="zh-CN"/>
        </w:rPr>
        <w:t xml:space="preserve">Desde enero de 2016, el Programa Oblatas Daniela en Las Palmas es miembro de la </w:t>
      </w:r>
      <w:r>
        <w:rPr>
          <w:rFonts w:ascii="Arial" w:eastAsia="Times New Roman" w:hAnsi="Arial" w:cs="Arial"/>
          <w:b/>
          <w:i/>
          <w:sz w:val="24"/>
          <w:szCs w:val="24"/>
          <w:lang w:eastAsia="zh-CN"/>
        </w:rPr>
        <w:t xml:space="preserve">RED ESPAÑOLA CONTRA LA TRATA. </w:t>
      </w:r>
      <w:r>
        <w:rPr>
          <w:rFonts w:ascii="Arial" w:eastAsia="Times New Roman" w:hAnsi="Arial" w:cs="Arial"/>
          <w:i/>
          <w:sz w:val="24"/>
          <w:szCs w:val="24"/>
          <w:lang w:eastAsia="zh-CN"/>
        </w:rPr>
        <w:t>Elaborando información, participando en reuniones y asamblea y manteniendo pautas de trabajo conjunto.</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contextualSpacing/>
        <w:jc w:val="both"/>
        <w:rPr>
          <w:rFonts w:ascii="Arial" w:eastAsia="Times New Roman" w:hAnsi="Arial" w:cs="Arial"/>
          <w:i/>
          <w:sz w:val="24"/>
          <w:szCs w:val="24"/>
          <w:lang w:eastAsia="zh-CN"/>
        </w:rPr>
      </w:pPr>
    </w:p>
    <w:p>
      <w:pPr>
        <w:numPr>
          <w:ilvl w:val="0"/>
          <w:numId w:val="30"/>
        </w:num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contextualSpacing/>
        <w:jc w:val="both"/>
        <w:rPr>
          <w:rFonts w:ascii="Arial" w:eastAsia="Times New Roman" w:hAnsi="Arial" w:cs="Arial"/>
          <w:i/>
          <w:sz w:val="24"/>
          <w:szCs w:val="24"/>
          <w:lang w:eastAsia="zh-CN"/>
        </w:rPr>
      </w:pPr>
      <w:r>
        <w:rPr>
          <w:rFonts w:ascii="Arial" w:eastAsia="Times New Roman" w:hAnsi="Arial" w:cs="Arial"/>
          <w:i/>
          <w:sz w:val="24"/>
          <w:szCs w:val="24"/>
          <w:lang w:eastAsia="zh-CN"/>
        </w:rPr>
        <w:t xml:space="preserve">Es miembro de la </w:t>
      </w:r>
      <w:r>
        <w:rPr>
          <w:rFonts w:ascii="Arial" w:eastAsia="Times New Roman" w:hAnsi="Arial" w:cs="Arial"/>
          <w:b/>
          <w:i/>
          <w:sz w:val="24"/>
          <w:szCs w:val="24"/>
          <w:lang w:eastAsia="zh-CN"/>
        </w:rPr>
        <w:t xml:space="preserve">RED DE RECURSOS CONTRA LA VIOLENCIA DEL CABILDO INSULAR DE GRAN CANARIA. </w:t>
      </w:r>
      <w:r>
        <w:rPr>
          <w:rFonts w:ascii="Arial" w:eastAsia="Times New Roman" w:hAnsi="Arial" w:cs="Arial"/>
          <w:i/>
          <w:sz w:val="24"/>
          <w:szCs w:val="24"/>
          <w:lang w:eastAsia="zh-CN"/>
        </w:rPr>
        <w:t xml:space="preserve">Nuestra entidad forma parte de esta Red como servicio especializado en la atención a mujeres en contexto de prostitución. Se mantiene reuniones de trabajo por grupos (área psicológica, área jurídica, área social y acciones de prevención y sensibilización). </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contextualSpacing/>
        <w:jc w:val="both"/>
        <w:rPr>
          <w:rFonts w:ascii="Arial" w:eastAsia="Times New Roman" w:hAnsi="Arial" w:cs="Arial"/>
          <w:i/>
          <w:sz w:val="24"/>
          <w:szCs w:val="24"/>
          <w:lang w:eastAsia="zh-CN"/>
        </w:rPr>
      </w:pPr>
    </w:p>
    <w:p>
      <w:pPr>
        <w:pStyle w:val="Prrafodelista"/>
        <w:numPr>
          <w:ilvl w:val="0"/>
          <w:numId w:val="30"/>
        </w:num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jc w:val="both"/>
        <w:rPr>
          <w:rFonts w:ascii="Arial" w:eastAsia="Times New Roman" w:hAnsi="Arial" w:cs="Arial"/>
          <w:i/>
          <w:sz w:val="24"/>
          <w:szCs w:val="24"/>
          <w:lang w:eastAsia="zh-CN"/>
        </w:rPr>
      </w:pPr>
      <w:r>
        <w:rPr>
          <w:rFonts w:ascii="Arial" w:eastAsia="Times New Roman" w:hAnsi="Arial" w:cs="Arial"/>
          <w:i/>
          <w:sz w:val="24"/>
          <w:szCs w:val="24"/>
          <w:lang w:eastAsia="zh-CN"/>
        </w:rPr>
        <w:t xml:space="preserve">Forma parte de la </w:t>
      </w:r>
      <w:r>
        <w:rPr>
          <w:rFonts w:ascii="Arial" w:eastAsia="Times New Roman" w:hAnsi="Arial" w:cs="Arial"/>
          <w:b/>
          <w:i/>
          <w:sz w:val="24"/>
          <w:szCs w:val="24"/>
          <w:lang w:eastAsia="zh-CN"/>
        </w:rPr>
        <w:t xml:space="preserve">COMISIÓN MUNICIPAL DE PERSONAS SIN HOGAR DEL AYUNTAMIENTO DE LAS PALMAS DE GRAN CANARIA, </w:t>
      </w:r>
      <w:r>
        <w:rPr>
          <w:rFonts w:ascii="Arial" w:eastAsia="Times New Roman" w:hAnsi="Arial" w:cs="Arial"/>
          <w:i/>
          <w:sz w:val="24"/>
          <w:szCs w:val="24"/>
          <w:lang w:eastAsia="zh-CN"/>
        </w:rPr>
        <w:t>se establecen acciones teniendo como marco el Plan Estratégico de Atención Integral a personas sin hogar del municipio.</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p>
    <w:p>
      <w:pPr>
        <w:pStyle w:val="Prrafodelista"/>
        <w:numPr>
          <w:ilvl w:val="0"/>
          <w:numId w:val="30"/>
        </w:num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jc w:val="both"/>
        <w:rPr>
          <w:rFonts w:ascii="Arial" w:eastAsia="Times New Roman" w:hAnsi="Arial" w:cs="Arial"/>
          <w:i/>
          <w:sz w:val="24"/>
          <w:szCs w:val="24"/>
          <w:lang w:eastAsia="zh-CN"/>
        </w:rPr>
      </w:pPr>
      <w:r>
        <w:rPr>
          <w:rFonts w:ascii="Arial" w:eastAsia="Times New Roman" w:hAnsi="Arial" w:cs="Arial"/>
          <w:b/>
          <w:i/>
          <w:sz w:val="24"/>
          <w:szCs w:val="24"/>
          <w:lang w:eastAsia="zh-CN"/>
        </w:rPr>
        <w:t>ENRED.CONTIGO</w:t>
      </w:r>
      <w:r>
        <w:rPr>
          <w:rFonts w:ascii="Arial" w:eastAsia="Times New Roman" w:hAnsi="Arial" w:cs="Arial"/>
          <w:i/>
          <w:sz w:val="24"/>
          <w:szCs w:val="24"/>
          <w:lang w:eastAsia="zh-CN"/>
        </w:rPr>
        <w:t>: Se trata de una plataforma en la que participa nuestra entidad, junto con otras entidades que trabajan con mujeres en situación de prostitución.</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r>
        <w:rPr>
          <w:rFonts w:ascii="Arial" w:eastAsia="Times New Roman" w:hAnsi="Arial" w:cs="Arial"/>
          <w:i/>
          <w:sz w:val="24"/>
          <w:szCs w:val="24"/>
          <w:lang w:eastAsia="zh-CN"/>
        </w:rPr>
        <w:t xml:space="preserve">Además, nuestra entidad participa activamente en reuniones de coordinación conjuntamente con otras </w:t>
      </w:r>
      <w:r>
        <w:rPr>
          <w:rFonts w:ascii="Arial" w:eastAsia="Times New Roman" w:hAnsi="Arial" w:cs="Arial"/>
          <w:b/>
          <w:i/>
          <w:sz w:val="24"/>
          <w:szCs w:val="24"/>
          <w:lang w:eastAsia="zh-CN"/>
        </w:rPr>
        <w:t>entidades</w:t>
      </w:r>
      <w:r>
        <w:rPr>
          <w:rFonts w:ascii="Arial" w:eastAsia="Times New Roman" w:hAnsi="Arial" w:cs="Arial"/>
          <w:i/>
          <w:sz w:val="24"/>
          <w:szCs w:val="24"/>
          <w:lang w:eastAsia="zh-CN"/>
        </w:rPr>
        <w:t xml:space="preserve"> dedicadas a la atención de mujeres en situación de prostitución, así como con la Unidad Central de Redes de Inmigración y Falsedades (</w:t>
      </w:r>
      <w:r>
        <w:rPr>
          <w:rFonts w:ascii="Arial" w:eastAsia="Times New Roman" w:hAnsi="Arial" w:cs="Arial"/>
          <w:b/>
          <w:i/>
          <w:sz w:val="24"/>
          <w:szCs w:val="24"/>
          <w:lang w:eastAsia="zh-CN"/>
        </w:rPr>
        <w:t>UCRIF</w:t>
      </w:r>
      <w:r>
        <w:rPr>
          <w:rFonts w:ascii="Arial" w:eastAsia="Times New Roman" w:hAnsi="Arial" w:cs="Arial"/>
          <w:i/>
          <w:sz w:val="24"/>
          <w:szCs w:val="24"/>
          <w:lang w:eastAsia="zh-CN"/>
        </w:rPr>
        <w:t xml:space="preserve">) de la Policía Nacional. Estas reuniones se llevan a cabo cada dos meses y tienen como objetivo fortalecer la colaboración y el intercambio de información para mejorar la atención y protección de las mujeres que son atendidas. </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r>
        <w:rPr>
          <w:rFonts w:ascii="Arial" w:eastAsia="Times New Roman" w:hAnsi="Arial" w:cs="Arial"/>
          <w:i/>
          <w:sz w:val="24"/>
          <w:szCs w:val="24"/>
          <w:lang w:eastAsia="zh-CN"/>
        </w:rPr>
        <w:t>También se mantienen encuentros periódicos con otras instituciones sanitarias y sociales que forman parte del proyecto "</w:t>
      </w:r>
      <w:r>
        <w:rPr>
          <w:rFonts w:ascii="Arial" w:eastAsia="Times New Roman" w:hAnsi="Arial" w:cs="Arial"/>
          <w:b/>
          <w:i/>
          <w:sz w:val="24"/>
          <w:szCs w:val="24"/>
          <w:lang w:eastAsia="zh-CN"/>
        </w:rPr>
        <w:t>Tendiendo puentes hacia la salud</w:t>
      </w:r>
      <w:r>
        <w:rPr>
          <w:rFonts w:ascii="Arial" w:eastAsia="Times New Roman" w:hAnsi="Arial" w:cs="Arial"/>
          <w:i/>
          <w:sz w:val="24"/>
          <w:szCs w:val="24"/>
          <w:lang w:eastAsia="zh-CN"/>
        </w:rPr>
        <w:t>", un programa del Servicio Canario de Salud enfocado en crear unidades de atención para mujeres en situación de prostitución.</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360" w:lineRule="auto"/>
        <w:ind w:left="426"/>
        <w:jc w:val="both"/>
        <w:rPr>
          <w:rFonts w:ascii="Arial" w:eastAsia="Times New Roman" w:hAnsi="Arial" w:cs="Arial"/>
          <w:i/>
          <w:sz w:val="24"/>
          <w:szCs w:val="24"/>
          <w:lang w:eastAsia="zh-CN"/>
        </w:rPr>
      </w:pPr>
      <w:r>
        <w:rPr>
          <w:rFonts w:ascii="Arial" w:eastAsia="Times New Roman" w:hAnsi="Arial" w:cs="Arial"/>
          <w:i/>
          <w:sz w:val="24"/>
          <w:szCs w:val="24"/>
          <w:lang w:eastAsia="zh-CN"/>
        </w:rPr>
        <w:t>De manera cotidiana, también se establece coordinación con recursos sociales comunitarios, tanto públicos como privados, que se encuentran en el entorno más cercano a las mujeres, así como con entidades y empresas con las que se establece convenios de colaboración.</w:t>
      </w:r>
    </w:p>
    <w:p>
      <w:pPr>
        <w:pBdr>
          <w:top w:val="single" w:sz="4" w:space="9" w:color="auto"/>
          <w:left w:val="single" w:sz="4" w:space="22" w:color="auto"/>
          <w:bottom w:val="single" w:sz="4" w:space="1" w:color="auto"/>
          <w:right w:val="single" w:sz="4" w:space="4" w:color="auto"/>
        </w:pBdr>
        <w:shd w:val="clear" w:color="auto" w:fill="E5DFEC" w:themeFill="accent4" w:themeFillTint="33"/>
        <w:suppressAutoHyphens/>
        <w:spacing w:after="0" w:line="240" w:lineRule="auto"/>
        <w:ind w:left="426"/>
        <w:jc w:val="both"/>
        <w:rPr>
          <w:rFonts w:ascii="Arial" w:eastAsia="Times New Roman" w:hAnsi="Arial" w:cs="Arial"/>
          <w:i/>
          <w:sz w:val="24"/>
          <w:szCs w:val="24"/>
          <w:lang w:eastAsia="zh-CN"/>
        </w:rPr>
      </w:pPr>
    </w:p>
    <w:p>
      <w:pPr>
        <w:rPr>
          <w:rFonts w:ascii="Arial" w:hAnsi="Arial" w:cs="Arial"/>
          <w:b/>
          <w:color w:val="FFFFFF"/>
          <w:sz w:val="24"/>
          <w:szCs w:val="24"/>
        </w:rPr>
      </w:pPr>
    </w:p>
    <w:p>
      <w:pPr>
        <w:rPr>
          <w:rFonts w:ascii="Arial" w:hAnsi="Arial" w:cs="Arial"/>
          <w:b/>
          <w:color w:val="FFFFFF"/>
          <w:sz w:val="24"/>
          <w:szCs w:val="24"/>
        </w:rPr>
      </w:pPr>
    </w:p>
    <w:p>
      <w:pPr>
        <w:rPr>
          <w:rFonts w:ascii="Arial" w:hAnsi="Arial" w:cs="Arial"/>
          <w:b/>
          <w:color w:val="FFFFFF"/>
          <w:sz w:val="24"/>
          <w:szCs w:val="24"/>
        </w:rPr>
      </w:pPr>
    </w:p>
    <w:p>
      <w:pPr>
        <w:rPr>
          <w:rFonts w:ascii="Arial" w:hAnsi="Arial" w:cs="Arial"/>
          <w:b/>
          <w:color w:val="FFFFFF"/>
          <w:sz w:val="24"/>
          <w:szCs w:val="24"/>
        </w:rPr>
      </w:pPr>
    </w:p>
    <w:p>
      <w:pPr>
        <w:rPr>
          <w:rFonts w:ascii="Arial" w:hAnsi="Arial" w:cs="Arial"/>
          <w:b/>
          <w:color w:val="FFFFFF"/>
          <w:sz w:val="24"/>
          <w:szCs w:val="24"/>
        </w:rPr>
      </w:pPr>
    </w:p>
    <w:p>
      <w:pPr>
        <w:rPr>
          <w:rFonts w:ascii="Arial" w:hAnsi="Arial" w:cs="Arial"/>
          <w:b/>
          <w:color w:val="FFFFFF"/>
          <w:sz w:val="24"/>
          <w:szCs w:val="24"/>
        </w:rPr>
      </w:pPr>
    </w:p>
    <w:p>
      <w:pPr>
        <w:rPr>
          <w:rFonts w:ascii="Arial" w:hAnsi="Arial" w:cs="Arial"/>
          <w:b/>
          <w:color w:val="FFFFFF"/>
          <w:sz w:val="24"/>
          <w:szCs w:val="24"/>
        </w:rPr>
      </w:pPr>
    </w:p>
    <w:p>
      <w:pPr>
        <w:shd w:val="clear" w:color="auto" w:fill="365F91" w:themeFill="accent1" w:themeFillShade="BF"/>
        <w:jc w:val="center"/>
        <w:rPr>
          <w:rFonts w:ascii="Arial" w:hAnsi="Arial" w:cs="Arial"/>
          <w:b/>
          <w:color w:val="FFFFFF"/>
          <w:sz w:val="24"/>
          <w:szCs w:val="24"/>
        </w:rPr>
      </w:pPr>
      <w:r>
        <w:rPr>
          <w:rFonts w:ascii="Arial" w:hAnsi="Arial" w:cs="Arial"/>
          <w:b/>
          <w:color w:val="FFFFFF"/>
          <w:sz w:val="24"/>
          <w:szCs w:val="24"/>
        </w:rPr>
        <w:t>2. PROYECTO CASA DE ACOGIDA DANIELA</w:t>
      </w:r>
    </w:p>
    <w:p>
      <w:pPr>
        <w:jc w:val="both"/>
        <w:rPr>
          <w:rFonts w:ascii="Arial" w:hAnsi="Arial" w:cs="Arial"/>
          <w:sz w:val="24"/>
          <w:szCs w:val="24"/>
        </w:rPr>
      </w:pPr>
    </w:p>
    <w:p>
      <w:pPr>
        <w:shd w:val="clear" w:color="auto" w:fill="B2A1C7" w:themeFill="accent4" w:themeFillTint="99"/>
        <w:jc w:val="both"/>
        <w:rPr>
          <w:rFonts w:ascii="Arial" w:hAnsi="Arial" w:cs="Arial"/>
          <w:b/>
          <w:sz w:val="24"/>
          <w:szCs w:val="24"/>
        </w:rPr>
      </w:pPr>
      <w:r>
        <w:rPr>
          <w:rFonts w:ascii="Arial" w:hAnsi="Arial" w:cs="Arial"/>
          <w:b/>
          <w:sz w:val="24"/>
          <w:szCs w:val="24"/>
        </w:rPr>
        <w:t>2.1.- BREVE DESCRIPCIÓN DEL PROYECTO:</w:t>
      </w:r>
    </w:p>
    <w:p>
      <w:pPr>
        <w:spacing w:line="360" w:lineRule="auto"/>
        <w:jc w:val="both"/>
        <w:rPr>
          <w:rFonts w:ascii="Arial" w:hAnsi="Arial" w:cs="Arial"/>
          <w:sz w:val="24"/>
          <w:szCs w:val="24"/>
        </w:rPr>
      </w:pPr>
    </w:p>
    <w:p>
      <w:pPr>
        <w:spacing w:line="360" w:lineRule="auto"/>
        <w:jc w:val="both"/>
        <w:rPr>
          <w:rFonts w:ascii="Arial" w:hAnsi="Arial" w:cs="Arial"/>
          <w:sz w:val="24"/>
          <w:szCs w:val="24"/>
        </w:rPr>
      </w:pPr>
      <w:r>
        <w:rPr>
          <w:rFonts w:ascii="Arial" w:hAnsi="Arial" w:cs="Arial"/>
          <w:sz w:val="24"/>
          <w:szCs w:val="24"/>
        </w:rPr>
        <w:t>El proyecto “Casa de Acogida DANIELA” forma parte del Programa Oblatas Daniela, siendo un proyecto de continuidad y referencia especializada en el ámbito de prostitución.</w:t>
      </w:r>
    </w:p>
    <w:p>
      <w:pPr>
        <w:spacing w:line="360" w:lineRule="auto"/>
        <w:jc w:val="both"/>
        <w:rPr>
          <w:rFonts w:ascii="Arial" w:hAnsi="Arial" w:cs="Arial"/>
          <w:sz w:val="24"/>
          <w:szCs w:val="24"/>
        </w:rPr>
      </w:pPr>
      <w:r>
        <w:rPr>
          <w:rFonts w:ascii="Arial" w:hAnsi="Arial" w:cs="Arial"/>
          <w:sz w:val="24"/>
          <w:szCs w:val="24"/>
        </w:rPr>
        <w:t>Ofrece un lugar de residencia y convivencia que posibilita a la mujer y a sus hijas e hijos: protección de su integridad física y psíquica, logro de su autonomía personal e impulso para lograr su promoción e integración socio-laboral mediante la atención integral. Contempla una intervención socioeducativa, psicológica y jurídica, desde una perspectiva integral y de género, llevada a cabo por el equipo Interdisciplinar de Atención Especializada del Programa Oblatas Daniela.</w:t>
      </w:r>
    </w:p>
    <w:p>
      <w:pPr>
        <w:spacing w:line="360" w:lineRule="auto"/>
        <w:jc w:val="both"/>
        <w:rPr>
          <w:rFonts w:ascii="Arial" w:hAnsi="Arial" w:cs="Arial"/>
          <w:sz w:val="24"/>
          <w:szCs w:val="24"/>
        </w:rPr>
      </w:pPr>
      <w:r>
        <w:rPr>
          <w:rFonts w:ascii="Arial" w:hAnsi="Arial" w:cs="Arial"/>
          <w:sz w:val="24"/>
          <w:szCs w:val="24"/>
        </w:rPr>
        <w:t xml:space="preserve">El número total de plazas de la Casa de Acogida es de 15, incluyendo mujeres, niñas y niños. </w:t>
      </w:r>
    </w:p>
    <w:p>
      <w:pPr>
        <w:spacing w:line="360" w:lineRule="auto"/>
        <w:jc w:val="both"/>
        <w:rPr>
          <w:rFonts w:ascii="Arial" w:hAnsi="Arial" w:cs="Arial"/>
          <w:sz w:val="24"/>
          <w:szCs w:val="24"/>
        </w:rPr>
      </w:pPr>
      <w:r>
        <w:rPr>
          <w:rFonts w:ascii="Arial" w:hAnsi="Arial" w:cs="Arial"/>
          <w:sz w:val="24"/>
          <w:szCs w:val="24"/>
        </w:rPr>
        <w:t>Al ser un proyecto específico para mujeres víctimas de trata en todas sus formas, como protocolo de actuación, se mantiene en reserva plazas para mujeres derivadas por los Cuerpos de Seguridad del Estado o se encuentren en extrema vulnerabilidad por las mismas razones.</w:t>
      </w:r>
    </w:p>
    <w:p>
      <w:pPr>
        <w:spacing w:line="360" w:lineRule="auto"/>
        <w:jc w:val="both"/>
        <w:rPr>
          <w:rFonts w:ascii="Arial" w:hAnsi="Arial" w:cs="Arial"/>
          <w:sz w:val="24"/>
          <w:szCs w:val="24"/>
        </w:rPr>
      </w:pPr>
      <w:r>
        <w:rPr>
          <w:rFonts w:ascii="Arial" w:hAnsi="Arial" w:cs="Arial"/>
          <w:sz w:val="24"/>
          <w:szCs w:val="24"/>
        </w:rPr>
        <w:t>Las 15 plazas, pretenden dar protección y alojamiento a mujeres mayores de edad con el siguiente perfil:</w:t>
      </w:r>
    </w:p>
    <w:p>
      <w:pPr>
        <w:numPr>
          <w:ilvl w:val="0"/>
          <w:numId w:val="3"/>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Estén o hayan estado en prostitución.</w:t>
      </w:r>
    </w:p>
    <w:p>
      <w:pPr>
        <w:numPr>
          <w:ilvl w:val="0"/>
          <w:numId w:val="3"/>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Sean víctimas de trata, con fines de explotación sexual, laboral o matrimonio servil.</w:t>
      </w:r>
    </w:p>
    <w:p>
      <w:pPr>
        <w:numPr>
          <w:ilvl w:val="0"/>
          <w:numId w:val="3"/>
        </w:numPr>
        <w:autoSpaceDE w:val="0"/>
        <w:autoSpaceDN w:val="0"/>
        <w:spacing w:after="0" w:line="360" w:lineRule="auto"/>
        <w:jc w:val="both"/>
        <w:rPr>
          <w:rFonts w:ascii="Arial" w:hAnsi="Arial" w:cs="Arial"/>
          <w:sz w:val="24"/>
          <w:szCs w:val="24"/>
        </w:rPr>
      </w:pPr>
      <w:r>
        <w:rPr>
          <w:rFonts w:ascii="Arial" w:hAnsi="Arial" w:cs="Arial"/>
          <w:sz w:val="24"/>
          <w:szCs w:val="24"/>
        </w:rPr>
        <w:t>Se encuentren en situación de exclusión social severa.</w:t>
      </w:r>
    </w:p>
    <w:p>
      <w:pPr>
        <w:autoSpaceDE w:val="0"/>
        <w:autoSpaceDN w:val="0"/>
        <w:spacing w:after="0" w:line="360" w:lineRule="auto"/>
        <w:jc w:val="both"/>
        <w:rPr>
          <w:rFonts w:ascii="Arial" w:hAnsi="Arial" w:cs="Arial"/>
          <w:sz w:val="24"/>
          <w:szCs w:val="24"/>
        </w:rPr>
      </w:pPr>
    </w:p>
    <w:p>
      <w:pPr>
        <w:spacing w:line="360" w:lineRule="auto"/>
        <w:jc w:val="both"/>
        <w:rPr>
          <w:rFonts w:ascii="Arial" w:hAnsi="Arial" w:cs="Arial"/>
          <w:sz w:val="24"/>
          <w:szCs w:val="24"/>
        </w:rPr>
      </w:pPr>
      <w:r>
        <w:rPr>
          <w:rFonts w:ascii="Arial" w:hAnsi="Arial" w:cs="Arial"/>
          <w:sz w:val="24"/>
          <w:szCs w:val="24"/>
        </w:rPr>
        <w:lastRenderedPageBreak/>
        <w:t>Las mujeres durante su estancia en este servicio alojativo y, teniendo en cuenta sus circunstancias personales y el plan de trabajo que cada una establece, son acompañadas por profesionales y voluntariado, especializado, desde las distintas áreas de intervención, con el fin de empoderarlas y dotarlas de habilidades que posibiliten su reinserción social y el reconocimiento de su ciudadanía.</w:t>
      </w:r>
    </w:p>
    <w:p>
      <w:pPr>
        <w:spacing w:line="360" w:lineRule="auto"/>
        <w:jc w:val="both"/>
        <w:rPr>
          <w:rFonts w:ascii="Arial" w:hAnsi="Arial" w:cs="Arial"/>
          <w:sz w:val="24"/>
          <w:szCs w:val="24"/>
        </w:rPr>
      </w:pPr>
      <w:r>
        <w:rPr>
          <w:rFonts w:ascii="Arial" w:hAnsi="Arial" w:cs="Arial"/>
          <w:sz w:val="24"/>
          <w:szCs w:val="24"/>
        </w:rPr>
        <w:t>Desde una intervención integral que les facilite la toma de conciencia de su propia realidad y las alternativas que pueden ir afrontando para lograr su autonomía y su incorporación, como protagonistas de su propia existencia, a la sociedad, desde el conocimiento y el ejercicio de sus derechos y obligaciones como ciudadanas.</w:t>
      </w:r>
    </w:p>
    <w:p>
      <w:pPr>
        <w:spacing w:line="360" w:lineRule="auto"/>
        <w:jc w:val="both"/>
        <w:rPr>
          <w:rFonts w:ascii="Arial" w:hAnsi="Arial" w:cs="Arial"/>
          <w:sz w:val="24"/>
          <w:szCs w:val="24"/>
        </w:rPr>
      </w:pPr>
      <w:r>
        <w:rPr>
          <w:rFonts w:ascii="Arial" w:hAnsi="Arial" w:cs="Arial"/>
          <w:sz w:val="24"/>
          <w:szCs w:val="24"/>
        </w:rPr>
        <w:t>Para las mujeres que han conseguido un grado de autonomía personal, pero que aún carecen de ingresos económicos suficientes para su total independencia, existe la posibilidad de derivación al piso de autonomía del que dispone la entidad.  y el cual cuenta con una capacidad de 4 plazas para mujeres y sus hijos/as.</w:t>
      </w:r>
    </w:p>
    <w:p>
      <w:pPr>
        <w:autoSpaceDE w:val="0"/>
        <w:autoSpaceDN w:val="0"/>
        <w:spacing w:after="0" w:line="360" w:lineRule="auto"/>
        <w:ind w:left="720"/>
        <w:jc w:val="both"/>
        <w:rPr>
          <w:rFonts w:ascii="Arial" w:hAnsi="Arial" w:cs="Arial"/>
          <w:sz w:val="24"/>
          <w:szCs w:val="24"/>
        </w:rPr>
      </w:pPr>
    </w:p>
    <w:p>
      <w:pPr>
        <w:shd w:val="clear" w:color="auto" w:fill="B2A1C7" w:themeFill="accent4" w:themeFillTint="99"/>
        <w:spacing w:line="360" w:lineRule="auto"/>
        <w:jc w:val="both"/>
        <w:rPr>
          <w:rFonts w:ascii="Arial" w:hAnsi="Arial" w:cs="Arial"/>
          <w:b/>
          <w:color w:val="B2A1C7" w:themeColor="accent4" w:themeTint="99"/>
          <w:sz w:val="24"/>
          <w:szCs w:val="24"/>
        </w:rPr>
      </w:pPr>
      <w:r>
        <w:rPr>
          <w:rFonts w:ascii="Arial" w:hAnsi="Arial" w:cs="Arial"/>
          <w:b/>
          <w:sz w:val="24"/>
          <w:szCs w:val="24"/>
        </w:rPr>
        <w:t>2.2.- OBJETIVOS:</w:t>
      </w:r>
    </w:p>
    <w:p>
      <w:pPr>
        <w:spacing w:line="360" w:lineRule="auto"/>
        <w:jc w:val="both"/>
        <w:outlineLvl w:val="0"/>
        <w:rPr>
          <w:rFonts w:ascii="Arial" w:hAnsi="Arial" w:cs="Arial"/>
          <w:b/>
          <w:sz w:val="24"/>
          <w:szCs w:val="24"/>
        </w:rPr>
      </w:pPr>
      <w:r>
        <w:rPr>
          <w:rFonts w:ascii="Arial" w:hAnsi="Arial" w:cs="Arial"/>
          <w:b/>
          <w:sz w:val="24"/>
          <w:szCs w:val="24"/>
        </w:rPr>
        <w:t>OBJETIVO GENERAL:</w:t>
      </w:r>
    </w:p>
    <w:p>
      <w:pPr>
        <w:spacing w:line="360" w:lineRule="auto"/>
        <w:jc w:val="both"/>
        <w:rPr>
          <w:rFonts w:ascii="Arial" w:hAnsi="Arial" w:cs="Arial"/>
          <w:sz w:val="24"/>
          <w:szCs w:val="24"/>
        </w:rPr>
      </w:pPr>
      <w:r>
        <w:rPr>
          <w:rFonts w:ascii="Arial" w:hAnsi="Arial" w:cs="Arial"/>
          <w:sz w:val="24"/>
          <w:szCs w:val="24"/>
        </w:rPr>
        <w:t>Ofrecer un ámbito de acogida y protección a mujeres solas y/o con hijos/as, en situación o en riesgo de exclusión social severa, especialmente por prostitución y/o trata con fines de explotación sexual, laboral, matrimonio servil, etc., donde puedan tomar consciencia de la propia realidad e iniciar procesos de empoderamiento.</w:t>
      </w:r>
    </w:p>
    <w:p>
      <w:pPr>
        <w:spacing w:line="360" w:lineRule="auto"/>
        <w:jc w:val="both"/>
        <w:outlineLvl w:val="0"/>
        <w:rPr>
          <w:rFonts w:ascii="Arial" w:hAnsi="Arial" w:cs="Arial"/>
          <w:b/>
          <w:sz w:val="24"/>
          <w:szCs w:val="24"/>
        </w:rPr>
      </w:pPr>
      <w:r>
        <w:rPr>
          <w:rFonts w:ascii="Arial" w:hAnsi="Arial" w:cs="Arial"/>
          <w:b/>
          <w:sz w:val="24"/>
          <w:szCs w:val="24"/>
        </w:rPr>
        <w:t>OBJETIVOS ESPECÍFICOS:</w:t>
      </w:r>
    </w:p>
    <w:p>
      <w:pPr>
        <w:numPr>
          <w:ilvl w:val="0"/>
          <w:numId w:val="4"/>
        </w:numPr>
        <w:suppressAutoHyphens/>
        <w:spacing w:before="170" w:after="240" w:line="360" w:lineRule="auto"/>
        <w:ind w:left="709" w:hanging="283"/>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Ofrecer protección y las prestaciones propias de carácter residencial: acogida, alojamiento, manutención y atención de necesidades básicas para mujeres solas y /o con sus hijos/as.</w:t>
      </w:r>
    </w:p>
    <w:p>
      <w:pPr>
        <w:numPr>
          <w:ilvl w:val="0"/>
          <w:numId w:val="4"/>
        </w:numPr>
        <w:suppressAutoHyphens/>
        <w:spacing w:before="170" w:after="240" w:line="360" w:lineRule="auto"/>
        <w:ind w:left="709" w:hanging="283"/>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 xml:space="preserve">Motivar e implicar a las mujeres en su proceso personal y la de sus hijas/os, brindándoles herramientas que les ayuden a crecer en autonomía, mejorando la </w:t>
      </w:r>
      <w:r>
        <w:rPr>
          <w:rFonts w:ascii="Arial" w:eastAsia="Times New Roman" w:hAnsi="Arial" w:cs="Arial"/>
          <w:kern w:val="1"/>
          <w:sz w:val="24"/>
          <w:szCs w:val="24"/>
          <w:lang w:eastAsia="zh-CN"/>
        </w:rPr>
        <w:lastRenderedPageBreak/>
        <w:t>calidad de vida de la mujer e hijas/os mediante el apoyo socio-laboral, psicológico, jurídico y educativo, a través de la atención individualizada.</w:t>
      </w:r>
    </w:p>
    <w:p>
      <w:pPr>
        <w:numPr>
          <w:ilvl w:val="0"/>
          <w:numId w:val="4"/>
        </w:numPr>
        <w:suppressAutoHyphens/>
        <w:spacing w:before="170" w:after="240" w:line="360" w:lineRule="auto"/>
        <w:ind w:left="709" w:hanging="283"/>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Ofrecer acceso a diferentes espacios que posibiliten la adquisición de habilidades socioeducativas, conocimiento de la lengua y cultura española, apoyo en la búsqueda de vivienda y estrategias para la inserción socio-laboral.</w:t>
      </w:r>
    </w:p>
    <w:p>
      <w:pPr>
        <w:numPr>
          <w:ilvl w:val="0"/>
          <w:numId w:val="4"/>
        </w:numPr>
        <w:suppressAutoHyphens/>
        <w:spacing w:before="170" w:after="240" w:line="360" w:lineRule="auto"/>
        <w:ind w:left="709" w:hanging="283"/>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Establecer acciones de coordinación con la red social, tanto para seguimiento o mediación de casos, como para visibilizar la realidad social de las mujeres en situación de exclusión y de prostitución.</w:t>
      </w:r>
    </w:p>
    <w:p>
      <w:pPr>
        <w:suppressAutoHyphens/>
        <w:spacing w:before="170" w:after="240"/>
        <w:ind w:left="709"/>
        <w:jc w:val="both"/>
        <w:textAlignment w:val="baseline"/>
        <w:rPr>
          <w:rFonts w:ascii="Arial" w:eastAsia="Times New Roman" w:hAnsi="Arial" w:cs="Arial"/>
          <w:kern w:val="1"/>
          <w:sz w:val="24"/>
          <w:szCs w:val="24"/>
          <w:lang w:eastAsia="zh-CN"/>
        </w:rPr>
      </w:pPr>
    </w:p>
    <w:p>
      <w:pPr>
        <w:shd w:val="clear" w:color="auto" w:fill="B2A1C7" w:themeFill="accent4" w:themeFillTint="99"/>
        <w:jc w:val="both"/>
        <w:rPr>
          <w:rFonts w:ascii="Arial" w:hAnsi="Arial" w:cs="Arial"/>
          <w:b/>
          <w:sz w:val="24"/>
          <w:szCs w:val="24"/>
        </w:rPr>
      </w:pPr>
      <w:r>
        <w:rPr>
          <w:rFonts w:ascii="Arial" w:hAnsi="Arial" w:cs="Arial"/>
          <w:b/>
          <w:sz w:val="24"/>
          <w:szCs w:val="24"/>
        </w:rPr>
        <w:t xml:space="preserve">2.3.- DESCRIPCIÓN DE LA POBLACIÓN ATENDIDA EN EL AÑO 2025: </w:t>
      </w:r>
    </w:p>
    <w:p>
      <w:pPr>
        <w:spacing w:line="360" w:lineRule="auto"/>
        <w:contextualSpacing/>
        <w:jc w:val="both"/>
        <w:rPr>
          <w:rFonts w:ascii="Arial" w:hAnsi="Arial" w:cs="Arial"/>
          <w:b/>
          <w:sz w:val="24"/>
          <w:szCs w:val="24"/>
        </w:rPr>
      </w:pPr>
    </w:p>
    <w:p>
      <w:pPr>
        <w:spacing w:line="360" w:lineRule="auto"/>
        <w:contextualSpacing/>
        <w:jc w:val="both"/>
        <w:rPr>
          <w:rFonts w:ascii="Arial" w:hAnsi="Arial" w:cs="Arial"/>
          <w:b/>
          <w:sz w:val="24"/>
          <w:szCs w:val="24"/>
        </w:rPr>
      </w:pPr>
      <w:r>
        <w:rPr>
          <w:rFonts w:ascii="Arial" w:hAnsi="Arial" w:cs="Arial"/>
          <w:b/>
          <w:sz w:val="24"/>
          <w:szCs w:val="24"/>
        </w:rPr>
        <w:t>PERSONAS ACOGIDAS EN EL PROYECTO:</w:t>
      </w:r>
    </w:p>
    <w:p>
      <w:pPr>
        <w:spacing w:line="360" w:lineRule="auto"/>
        <w:contextualSpacing/>
        <w:jc w:val="both"/>
        <w:rPr>
          <w:rFonts w:ascii="Arial" w:hAnsi="Arial" w:cs="Arial"/>
          <w:b/>
          <w:sz w:val="24"/>
          <w:szCs w:val="24"/>
        </w:rPr>
      </w:pPr>
    </w:p>
    <w:p>
      <w:pPr>
        <w:spacing w:line="360" w:lineRule="auto"/>
        <w:contextualSpacing/>
        <w:jc w:val="both"/>
        <w:rPr>
          <w:rFonts w:ascii="Arial" w:hAnsi="Arial" w:cs="Arial"/>
          <w:sz w:val="24"/>
          <w:szCs w:val="24"/>
        </w:rPr>
      </w:pPr>
      <w:r>
        <w:rPr>
          <w:rFonts w:ascii="Arial" w:hAnsi="Arial" w:cs="Arial"/>
          <w:sz w:val="24"/>
          <w:szCs w:val="24"/>
        </w:rPr>
        <w:t xml:space="preserve">El proyecto ha brindado un entorno seguro y protegido a un total de </w:t>
      </w:r>
      <w:r>
        <w:rPr>
          <w:rFonts w:ascii="Arial" w:hAnsi="Arial" w:cs="Arial"/>
          <w:b/>
          <w:sz w:val="24"/>
          <w:szCs w:val="24"/>
        </w:rPr>
        <w:t>18 personas</w:t>
      </w:r>
      <w:r>
        <w:rPr>
          <w:rFonts w:ascii="Arial" w:hAnsi="Arial" w:cs="Arial"/>
          <w:sz w:val="24"/>
          <w:szCs w:val="24"/>
        </w:rPr>
        <w:t>: 15 mujeres, 2 niños y 1 niña, garantizando su alejamiento de contextos violentos vinculados a la prostitución y/o a la trata de seres humanos.</w:t>
      </w:r>
    </w:p>
    <w:p>
      <w:pPr>
        <w:spacing w:line="360" w:lineRule="auto"/>
        <w:contextualSpacing/>
        <w:jc w:val="both"/>
        <w:rPr>
          <w:rFonts w:ascii="Arial" w:hAnsi="Arial" w:cs="Arial"/>
          <w:sz w:val="24"/>
          <w:szCs w:val="24"/>
        </w:rPr>
      </w:pPr>
    </w:p>
    <w:p>
      <w:pPr>
        <w:spacing w:line="360" w:lineRule="auto"/>
        <w:contextualSpacing/>
        <w:jc w:val="both"/>
        <w:rPr>
          <w:rFonts w:ascii="Arial" w:hAnsi="Arial" w:cs="Arial"/>
          <w:b/>
          <w:sz w:val="24"/>
          <w:szCs w:val="24"/>
        </w:rPr>
      </w:pPr>
      <w:r>
        <w:rPr>
          <w:rFonts w:ascii="Arial" w:hAnsi="Arial" w:cs="Arial"/>
          <w:b/>
          <w:sz w:val="24"/>
          <w:szCs w:val="24"/>
        </w:rPr>
        <w:t xml:space="preserve">SITUACIÓN SOCIAL INICIAL- PRINCIPAL PROBLEMÁTICA DETECTADA: </w:t>
      </w:r>
    </w:p>
    <w:p>
      <w:pPr>
        <w:spacing w:line="360" w:lineRule="auto"/>
        <w:contextualSpacing/>
        <w:jc w:val="both"/>
        <w:rPr>
          <w:rFonts w:ascii="Arial" w:hAnsi="Arial" w:cs="Arial"/>
          <w:b/>
          <w:sz w:val="24"/>
          <w:szCs w:val="24"/>
        </w:rPr>
      </w:pPr>
    </w:p>
    <w:p>
      <w:pPr>
        <w:spacing w:line="360" w:lineRule="auto"/>
        <w:contextualSpacing/>
        <w:jc w:val="both"/>
        <w:rPr>
          <w:rFonts w:ascii="Arial" w:hAnsi="Arial" w:cs="Arial"/>
          <w:sz w:val="24"/>
          <w:szCs w:val="24"/>
        </w:rPr>
      </w:pPr>
      <w:r>
        <w:rPr>
          <w:rFonts w:ascii="Arial" w:hAnsi="Arial" w:cs="Arial"/>
          <w:sz w:val="24"/>
          <w:szCs w:val="24"/>
        </w:rPr>
        <w:t>Este ítem es fundamental en la caracterización de las mujeres con las que se trabaja, así como a la hora de enfocar el tipo de intervención a realizar más acorde a la situación inicial que presenta cada mujer.</w:t>
      </w:r>
    </w:p>
    <w:p>
      <w:pPr>
        <w:spacing w:line="360" w:lineRule="auto"/>
        <w:contextualSpacing/>
        <w:jc w:val="both"/>
        <w:rPr>
          <w:rFonts w:ascii="Arial" w:hAnsi="Arial" w:cs="Arial"/>
          <w:sz w:val="24"/>
          <w:szCs w:val="24"/>
        </w:rPr>
      </w:pPr>
    </w:p>
    <w:p>
      <w:pPr>
        <w:spacing w:line="360" w:lineRule="auto"/>
        <w:contextualSpacing/>
        <w:jc w:val="both"/>
        <w:rPr>
          <w:rFonts w:ascii="Arial" w:hAnsi="Arial" w:cs="Arial"/>
          <w:sz w:val="24"/>
          <w:szCs w:val="24"/>
        </w:rPr>
      </w:pPr>
      <w:r>
        <w:rPr>
          <w:rFonts w:ascii="Arial" w:hAnsi="Arial" w:cs="Arial"/>
          <w:sz w:val="24"/>
          <w:szCs w:val="24"/>
        </w:rPr>
        <w:t>En el momento de entrada en la Casa de Acogida, las mujeres presentaban las siguientes características:</w:t>
      </w:r>
    </w:p>
    <w:p>
      <w:pPr>
        <w:spacing w:line="360" w:lineRule="auto"/>
        <w:contextualSpacing/>
        <w:jc w:val="both"/>
        <w:rPr>
          <w:rFonts w:ascii="Arial" w:hAnsi="Arial" w:cs="Arial"/>
          <w:sz w:val="24"/>
          <w:szCs w:val="24"/>
        </w:rPr>
      </w:pPr>
    </w:p>
    <w:p>
      <w:pPr>
        <w:contextualSpacing/>
        <w:jc w:val="center"/>
        <w:rPr>
          <w:rFonts w:ascii="Arial" w:hAnsi="Arial" w:cs="Arial"/>
          <w:sz w:val="24"/>
          <w:szCs w:val="24"/>
        </w:rPr>
      </w:pPr>
      <w:r>
        <w:rPr>
          <w:noProof/>
          <w:lang w:eastAsia="es-ES"/>
        </w:rPr>
        <w:lastRenderedPageBreak/>
        <w:drawing>
          <wp:inline distT="0" distB="0" distL="0" distR="0">
            <wp:extent cx="4572000" cy="2743200"/>
            <wp:effectExtent l="0" t="0" r="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contextualSpacing/>
        <w:jc w:val="center"/>
        <w:rPr>
          <w:rFonts w:ascii="Arial" w:hAnsi="Arial" w:cs="Arial"/>
          <w:sz w:val="24"/>
          <w:szCs w:val="24"/>
        </w:rPr>
      </w:pPr>
    </w:p>
    <w:p>
      <w:pPr>
        <w:suppressAutoHyphens/>
        <w:spacing w:after="0" w:line="360" w:lineRule="auto"/>
        <w:contextualSpacing/>
        <w:jc w:val="both"/>
        <w:rPr>
          <w:rFonts w:ascii="Arial" w:hAnsi="Arial" w:cs="Arial"/>
          <w:sz w:val="24"/>
          <w:szCs w:val="24"/>
        </w:rPr>
      </w:pPr>
      <w:r>
        <w:rPr>
          <w:rFonts w:ascii="Arial" w:hAnsi="Arial" w:cs="Arial"/>
          <w:sz w:val="24"/>
          <w:szCs w:val="24"/>
        </w:rPr>
        <w:t>Como se observa en la distribución de la problemática principal, la mayoría de las mujeres atendidas presentaron situaciones vinculadas a la trata de seres humanos o a contextos de explotación.</w:t>
      </w:r>
      <w:r>
        <w:t xml:space="preserve"> </w:t>
      </w:r>
      <w:r>
        <w:rPr>
          <w:rFonts w:ascii="Arial" w:hAnsi="Arial" w:cs="Arial"/>
          <w:sz w:val="24"/>
          <w:szCs w:val="24"/>
        </w:rPr>
        <w:t>En concreto, 7 mujeres fueron identificadas como víctimas de trata con fines de explotación sexual, 2 presentaban indicadores compatibles con dicha situación y una mujer víctima de trata con fines de explotación laboral, lo que supone un total de 10 mujeres afectadas por esta problemática. Esto equivale al 67 % de las mujeres atendidas durante el año 2025, tomando como referencia el total de 15 mujeres.</w:t>
      </w:r>
    </w:p>
    <w:p>
      <w:pPr>
        <w:suppressAutoHyphens/>
        <w:spacing w:after="0"/>
        <w:contextualSpacing/>
        <w:jc w:val="both"/>
        <w:rPr>
          <w:rFonts w:ascii="Arial" w:hAnsi="Arial" w:cs="Arial"/>
          <w:sz w:val="24"/>
          <w:szCs w:val="24"/>
        </w:rPr>
      </w:pPr>
    </w:p>
    <w:p>
      <w:pPr>
        <w:suppressAutoHyphens/>
        <w:spacing w:after="0"/>
        <w:contextualSpacing/>
        <w:jc w:val="both"/>
        <w:rPr>
          <w:rFonts w:ascii="Arial" w:eastAsia="Times New Roman" w:hAnsi="Arial" w:cs="Arial"/>
          <w:b/>
          <w:sz w:val="24"/>
          <w:szCs w:val="24"/>
          <w:lang w:eastAsia="zh-CN"/>
        </w:rPr>
      </w:pPr>
      <w:r>
        <w:rPr>
          <w:rFonts w:ascii="Arial" w:eastAsia="Times New Roman" w:hAnsi="Arial" w:cs="Arial"/>
          <w:b/>
          <w:sz w:val="24"/>
          <w:szCs w:val="24"/>
          <w:lang w:eastAsia="zh-CN"/>
        </w:rPr>
        <w:t>PAÍS DE PROCEDENCIA DE LAS MUJERES ATENDIDAS:</w:t>
      </w: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center"/>
        <w:rPr>
          <w:rFonts w:ascii="Arial" w:eastAsia="Times New Roman" w:hAnsi="Arial" w:cs="Arial"/>
          <w:b/>
          <w:sz w:val="24"/>
          <w:szCs w:val="24"/>
          <w:lang w:eastAsia="zh-CN"/>
        </w:rPr>
      </w:pPr>
      <w:r>
        <w:rPr>
          <w:noProof/>
          <w:lang w:eastAsia="es-ES"/>
        </w:rPr>
        <w:drawing>
          <wp:inline distT="0" distB="0" distL="0" distR="0">
            <wp:extent cx="4178760" cy="2346691"/>
            <wp:effectExtent l="0" t="0" r="12700" b="15875"/>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uppressAutoHyphens/>
        <w:spacing w:after="0"/>
        <w:contextualSpacing/>
        <w:jc w:val="both"/>
        <w:rPr>
          <w:rFonts w:ascii="Arial" w:eastAsia="Times New Roman" w:hAnsi="Arial" w:cs="Arial"/>
          <w:b/>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r>
        <w:rPr>
          <w:rFonts w:ascii="Arial" w:eastAsia="Times New Roman" w:hAnsi="Arial" w:cs="Arial"/>
          <w:sz w:val="24"/>
          <w:szCs w:val="24"/>
          <w:lang w:eastAsia="zh-CN"/>
        </w:rPr>
        <w:t>El perfil de procedencia de las mujeres acogidas en la Casa de Acogida Daniela durante el año 2025 refleja una marcada diversidad geográfica, característica habitual en los contextos de trata, explotación y prostitución. En total, se registraron mujeres provenientes de 10 países diferentes, lo que evidencia la dimensión transnacional de los procesos migratorios y de las violencias vinculadas a la trata de seres humanos.</w:t>
      </w: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r>
        <w:rPr>
          <w:rFonts w:ascii="Arial" w:eastAsia="Times New Roman" w:hAnsi="Arial" w:cs="Arial"/>
          <w:sz w:val="24"/>
          <w:szCs w:val="24"/>
          <w:lang w:eastAsia="zh-CN"/>
        </w:rPr>
        <w:t>El grupo mayoritario estuvo conformado por mujeres de Colombia (5 casos) y Venezuela (2 casos). Estos países concentran un número significativo de mujeres en situación de movilidad forzada o en trayectorias migratorias precarizadas, lo cual incrementa su vulnerabilidad ante redes de trata o dinámicas de explotación. La presencia de mujeres procedentes de América Latina (Colombia, Venezuela, Honduras, Paraguay y Perú) representa más de la mitad del total, lo que refuerza la idea de que la ruta latinoamericana sigue siendo una de las más relevantes en la llegada de mujeres a Canarias.</w:t>
      </w: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r>
        <w:rPr>
          <w:rFonts w:ascii="Arial" w:eastAsia="Times New Roman" w:hAnsi="Arial" w:cs="Arial"/>
          <w:sz w:val="24"/>
          <w:szCs w:val="24"/>
          <w:lang w:eastAsia="zh-CN"/>
        </w:rPr>
        <w:t>Además, se acogió a mujeres originarias de África (Nigeria, Gambia y Marruecos), donde se identifican contextos de captación y explotación asociados tanto a redes criminales como a situaciones de exclusión extrema en los países de origen. La procedencia de Europa también estuvo representada con mujeres de España y Alemania, lo que confirma que la trata o la explotación no afectan únicamente a mujeres migrantes extracomunitarias, sino que también pueden involucrar a mujeres europeas en situaciones de vulnerabilidad.</w:t>
      </w: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both"/>
        <w:rPr>
          <w:rFonts w:ascii="Arial" w:eastAsia="Times New Roman" w:hAnsi="Arial" w:cs="Arial"/>
          <w:b/>
          <w:sz w:val="24"/>
          <w:szCs w:val="24"/>
          <w:lang w:eastAsia="zh-CN"/>
        </w:rPr>
      </w:pPr>
      <w:r>
        <w:rPr>
          <w:rFonts w:ascii="Arial" w:eastAsia="Times New Roman" w:hAnsi="Arial" w:cs="Arial"/>
          <w:b/>
          <w:sz w:val="24"/>
          <w:szCs w:val="24"/>
          <w:lang w:eastAsia="zh-CN"/>
        </w:rPr>
        <w:lastRenderedPageBreak/>
        <w:t>EDAD DE LAS MUJERES:</w:t>
      </w: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center"/>
        <w:rPr>
          <w:rFonts w:ascii="Arial" w:eastAsia="Times New Roman" w:hAnsi="Arial" w:cs="Arial"/>
          <w:b/>
          <w:sz w:val="24"/>
          <w:szCs w:val="24"/>
          <w:lang w:eastAsia="zh-CN"/>
        </w:rPr>
      </w:pPr>
      <w:r>
        <w:rPr>
          <w:noProof/>
          <w:lang w:eastAsia="es-ES"/>
        </w:rPr>
        <w:drawing>
          <wp:inline distT="0" distB="0" distL="0" distR="0">
            <wp:extent cx="4572000" cy="27432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uppressAutoHyphens/>
        <w:spacing w:after="0"/>
        <w:contextualSpacing/>
        <w:jc w:val="both"/>
        <w:rPr>
          <w:rFonts w:ascii="Arial" w:eastAsia="Times New Roman" w:hAnsi="Arial" w:cs="Arial"/>
          <w:sz w:val="24"/>
          <w:szCs w:val="24"/>
          <w:lang w:eastAsia="zh-CN"/>
        </w:rPr>
      </w:pPr>
    </w:p>
    <w:p>
      <w:pPr>
        <w:spacing w:after="0"/>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El análisis de las edades de las mujeres acogidas en 2025 muestra una clara concentración en etapas jóvenes y adultas tempranas. De las 15 mujeres atendidas, 7 se encuentran entre los 18 y 25 años y otras 6 entre los 26 y 35, lo que supone el 87 % del total. Este predominio refleja perfiles en plena construcción vital y elevados niveles de vulnerabilidad frente a situaciones de explotación. En los rangos superiores solo se registró una mujer entre 36 y 45 años y otra de 46 años o más, lo que confirma una presencia minoritaria de mujeres de mayor edad.</w:t>
      </w:r>
    </w:p>
    <w:p>
      <w:pPr>
        <w:autoSpaceDE w:val="0"/>
        <w:autoSpaceDN w:val="0"/>
        <w:adjustRightInd w:val="0"/>
        <w:spacing w:after="0"/>
        <w:ind w:right="142"/>
        <w:jc w:val="both"/>
        <w:rPr>
          <w:rFonts w:ascii="Arial" w:eastAsia="Times New Roman" w:hAnsi="Arial" w:cs="Arial"/>
          <w:b/>
          <w:color w:val="000000"/>
          <w:sz w:val="24"/>
          <w:szCs w:val="24"/>
          <w:lang w:eastAsia="es-ES"/>
        </w:rPr>
      </w:pPr>
    </w:p>
    <w:p>
      <w:pPr>
        <w:autoSpaceDE w:val="0"/>
        <w:autoSpaceDN w:val="0"/>
        <w:adjustRightInd w:val="0"/>
        <w:spacing w:after="0"/>
        <w:ind w:right="142"/>
        <w:jc w:val="both"/>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ESTUDIOS REALIZADOS:</w:t>
      </w:r>
    </w:p>
    <w:p>
      <w:pPr>
        <w:autoSpaceDE w:val="0"/>
        <w:autoSpaceDN w:val="0"/>
        <w:adjustRightInd w:val="0"/>
        <w:spacing w:after="0"/>
        <w:ind w:right="142"/>
        <w:jc w:val="both"/>
        <w:rPr>
          <w:rFonts w:ascii="Arial" w:eastAsia="Times New Roman" w:hAnsi="Arial" w:cs="Arial"/>
          <w:b/>
          <w:color w:val="000000"/>
          <w:sz w:val="24"/>
          <w:szCs w:val="24"/>
          <w:lang w:eastAsia="es-ES"/>
        </w:rPr>
      </w:pPr>
    </w:p>
    <w:p>
      <w:pPr>
        <w:spacing w:after="0"/>
        <w:jc w:val="center"/>
        <w:rPr>
          <w:rFonts w:ascii="Arial" w:hAnsi="Arial" w:cs="Arial"/>
          <w:b/>
          <w:sz w:val="24"/>
          <w:szCs w:val="24"/>
        </w:rPr>
      </w:pPr>
      <w:r>
        <w:rPr>
          <w:noProof/>
          <w:lang w:eastAsia="es-ES"/>
        </w:rPr>
        <w:drawing>
          <wp:inline distT="0" distB="0" distL="0" distR="0">
            <wp:extent cx="3975735" cy="2133600"/>
            <wp:effectExtent l="0" t="0" r="5715"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after="0"/>
        <w:jc w:val="both"/>
        <w:rPr>
          <w:rFonts w:ascii="Arial" w:hAnsi="Arial" w:cs="Arial"/>
          <w:b/>
          <w:sz w:val="24"/>
          <w:szCs w:val="24"/>
        </w:rPr>
      </w:pPr>
    </w:p>
    <w:p>
      <w:pPr>
        <w:spacing w:after="0" w:line="360" w:lineRule="auto"/>
        <w:jc w:val="both"/>
        <w:rPr>
          <w:rFonts w:ascii="Arial" w:hAnsi="Arial" w:cs="Arial"/>
          <w:sz w:val="24"/>
          <w:szCs w:val="24"/>
        </w:rPr>
      </w:pPr>
      <w:r>
        <w:rPr>
          <w:rFonts w:ascii="Arial" w:hAnsi="Arial" w:cs="Arial"/>
          <w:sz w:val="24"/>
          <w:szCs w:val="24"/>
        </w:rPr>
        <w:t>En total, 9 de las 15 mujeres (65 %) cuentan con bachillerato cursado en su país de origen, pero sin reconocimiento oficial en el Estado español. Esta situación constituye una barrera significativa para la incorporación al mercado laboral formal y limita el acceso a formación reglada, obligando en muchos casos a reiniciar itinerarios educativos o a depender de procesos largos de homologación o acreditación de competencias.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Por otra parte, se registra una presencia menor de otros niveles educativos: 1 mujer con estudios universitarios, 1 con formación profesional y 1 con estudios primarios, lo que muestra una diversidad formativa que requiere intervenciones individualizadas. Asimismo, 3 mujeres no aportaron información (NS/NC).</w:t>
      </w:r>
    </w:p>
    <w:p>
      <w:pPr>
        <w:spacing w:after="0"/>
        <w:jc w:val="both"/>
        <w:rPr>
          <w:rFonts w:ascii="Arial" w:hAnsi="Arial" w:cs="Arial"/>
          <w:sz w:val="24"/>
          <w:szCs w:val="24"/>
        </w:rPr>
      </w:pPr>
    </w:p>
    <w:p>
      <w:pPr>
        <w:spacing w:after="0"/>
        <w:jc w:val="both"/>
        <w:rPr>
          <w:rFonts w:ascii="Arial" w:hAnsi="Arial" w:cs="Arial"/>
          <w:b/>
          <w:sz w:val="24"/>
          <w:szCs w:val="24"/>
        </w:rPr>
      </w:pPr>
    </w:p>
    <w:p>
      <w:pPr>
        <w:spacing w:after="0"/>
        <w:jc w:val="both"/>
        <w:rPr>
          <w:rFonts w:ascii="Arial" w:hAnsi="Arial" w:cs="Arial"/>
          <w:b/>
          <w:sz w:val="24"/>
          <w:szCs w:val="24"/>
        </w:rPr>
      </w:pPr>
      <w:r>
        <w:rPr>
          <w:rFonts w:ascii="Arial" w:hAnsi="Arial" w:cs="Arial"/>
          <w:b/>
          <w:sz w:val="24"/>
          <w:szCs w:val="24"/>
        </w:rPr>
        <w:t xml:space="preserve">CANTIDAD DE HIJOS/AS POR MUJER </w:t>
      </w:r>
    </w:p>
    <w:p>
      <w:pPr>
        <w:spacing w:after="0"/>
        <w:jc w:val="both"/>
        <w:rPr>
          <w:rFonts w:ascii="Arial" w:hAnsi="Arial" w:cs="Arial"/>
          <w:sz w:val="24"/>
          <w:szCs w:val="24"/>
        </w:rPr>
      </w:pPr>
    </w:p>
    <w:p>
      <w:pPr>
        <w:spacing w:after="0"/>
        <w:jc w:val="center"/>
        <w:rPr>
          <w:rFonts w:ascii="Arial" w:hAnsi="Arial" w:cs="Arial"/>
          <w:sz w:val="24"/>
          <w:szCs w:val="24"/>
        </w:rPr>
      </w:pPr>
      <w:r>
        <w:rPr>
          <w:noProof/>
          <w:lang w:eastAsia="es-ES"/>
        </w:rPr>
        <w:drawing>
          <wp:inline distT="0" distB="0" distL="0" distR="0">
            <wp:extent cx="4572000" cy="2743200"/>
            <wp:effectExtent l="0" t="0" r="0" b="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jc w:val="both"/>
        <w:rPr>
          <w:rFonts w:ascii="Arial" w:hAnsi="Arial" w:cs="Arial"/>
          <w:sz w:val="24"/>
          <w:szCs w:val="24"/>
        </w:rPr>
      </w:pPr>
    </w:p>
    <w:p>
      <w:pPr>
        <w:spacing w:after="0"/>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De las mujeres acogidas 12 tienen hijos (el 80 %,) a pesar de ser mayoritariamente mujeres muy jóvenes.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lastRenderedPageBreak/>
        <w:t>La mayoría de las mujeres tienen 1 hijo/a (8 mujeres, 53,3 %). Tres mujeres no tienen hijos, mientras que otras tres son madres de 3 hijos, y solo una mujer tiene 2 hijos. Esto muestra una carga familiar diversa, con presencia significativa de unidades monoparentales que requieren acompañamiento específico.</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El análisis general del año 2025 muestra que la Casa de Acogida atendió a un perfil de mujeres caracterizado por una alta vulnerabilidad y una marcada diversidad cultural.</w:t>
      </w:r>
    </w:p>
    <w:p>
      <w:pPr>
        <w:spacing w:after="0" w:line="360" w:lineRule="auto"/>
        <w:jc w:val="both"/>
        <w:rPr>
          <w:rFonts w:ascii="Arial" w:hAnsi="Arial" w:cs="Arial"/>
          <w:b/>
          <w:sz w:val="24"/>
          <w:szCs w:val="24"/>
        </w:rPr>
      </w:pPr>
    </w:p>
    <w:p>
      <w:pPr>
        <w:suppressAutoHyphens/>
        <w:spacing w:after="0" w:line="360" w:lineRule="auto"/>
        <w:contextualSpacing/>
        <w:jc w:val="both"/>
        <w:rPr>
          <w:rFonts w:ascii="Arial" w:eastAsia="Times New Roman" w:hAnsi="Arial" w:cs="Arial"/>
          <w:b/>
          <w:sz w:val="24"/>
          <w:szCs w:val="24"/>
          <w:lang w:eastAsia="zh-CN"/>
        </w:rPr>
      </w:pPr>
      <w:r>
        <w:rPr>
          <w:rFonts w:ascii="Arial" w:eastAsia="Times New Roman" w:hAnsi="Arial" w:cs="Arial"/>
          <w:b/>
          <w:sz w:val="24"/>
          <w:szCs w:val="24"/>
          <w:lang w:eastAsia="zh-CN"/>
        </w:rPr>
        <w:t xml:space="preserve">PERIODOS DE ESTANCIA EN LA CASA DE ACOGIDA DE MUJERES Y MENORES: </w:t>
      </w:r>
    </w:p>
    <w:p>
      <w:pPr>
        <w:suppressAutoHyphens/>
        <w:spacing w:after="0" w:line="360" w:lineRule="auto"/>
        <w:contextualSpacing/>
        <w:jc w:val="both"/>
        <w:rPr>
          <w:rFonts w:ascii="Arial" w:eastAsia="Times New Roman" w:hAnsi="Arial" w:cs="Arial"/>
          <w:b/>
          <w:sz w:val="24"/>
          <w:szCs w:val="24"/>
          <w:lang w:eastAsia="zh-CN"/>
        </w:rPr>
      </w:pPr>
    </w:p>
    <w:p>
      <w:pPr>
        <w:spacing w:line="360" w:lineRule="auto"/>
        <w:jc w:val="both"/>
        <w:rPr>
          <w:rFonts w:ascii="Arial" w:eastAsia="Times New Roman" w:hAnsi="Arial" w:cs="Arial"/>
          <w:sz w:val="24"/>
          <w:szCs w:val="24"/>
        </w:rPr>
      </w:pPr>
      <w:r>
        <w:rPr>
          <w:rFonts w:ascii="Arial" w:eastAsia="Times New Roman" w:hAnsi="Arial" w:cs="Arial"/>
          <w:sz w:val="24"/>
          <w:szCs w:val="24"/>
        </w:rPr>
        <w:t xml:space="preserve">A continuación, se muestran los periodos de estancia de cada mujer y sus hijos/as en el recurso alojativo, pudiendo observarse también en el cuadro el grado o índice de ocupación del recurso y personas acogidas por meses. </w:t>
      </w:r>
    </w:p>
    <w:tbl>
      <w:tblPr>
        <w:tblW w:w="9595" w:type="dxa"/>
        <w:tblInd w:w="-5" w:type="dxa"/>
        <w:tblLayout w:type="fixed"/>
        <w:tblCellMar>
          <w:left w:w="10" w:type="dxa"/>
          <w:right w:w="10" w:type="dxa"/>
        </w:tblCellMar>
        <w:tblLook w:val="0000" w:firstRow="0" w:lastRow="0" w:firstColumn="0" w:lastColumn="0" w:noHBand="0" w:noVBand="0"/>
      </w:tblPr>
      <w:tblGrid>
        <w:gridCol w:w="1422"/>
        <w:gridCol w:w="682"/>
        <w:gridCol w:w="681"/>
        <w:gridCol w:w="681"/>
        <w:gridCol w:w="681"/>
        <w:gridCol w:w="681"/>
        <w:gridCol w:w="681"/>
        <w:gridCol w:w="681"/>
        <w:gridCol w:w="681"/>
        <w:gridCol w:w="681"/>
        <w:gridCol w:w="681"/>
        <w:gridCol w:w="681"/>
        <w:gridCol w:w="681"/>
      </w:tblGrid>
      <w:tr>
        <w:trPr>
          <w:trHeight w:val="681"/>
        </w:trPr>
        <w:tc>
          <w:tcPr>
            <w:tcW w:w="1418"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MESES</w:t>
            </w: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EN</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FE</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MA</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AB</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MY</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JN</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JL</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AG</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SE</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OC</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NO</w:t>
            </w:r>
          </w:p>
          <w:p>
            <w:pPr>
              <w:suppressAutoHyphens/>
              <w:autoSpaceDN w:val="0"/>
              <w:spacing w:after="160"/>
              <w:jc w:val="center"/>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vAlign w:val="center"/>
          </w:tcPr>
          <w:p>
            <w:pPr>
              <w:suppressAutoHyphens/>
              <w:autoSpaceDN w:val="0"/>
              <w:spacing w:after="160"/>
              <w:jc w:val="center"/>
              <w:textAlignment w:val="baseline"/>
              <w:rPr>
                <w:rFonts w:ascii="Arial" w:eastAsia="SimSun" w:hAnsi="Arial" w:cs="Arial"/>
                <w:kern w:val="3"/>
                <w:sz w:val="24"/>
                <w:szCs w:val="24"/>
              </w:rPr>
            </w:pPr>
            <w:r>
              <w:rPr>
                <w:rFonts w:ascii="Arial" w:eastAsia="SimSun" w:hAnsi="Arial" w:cs="Arial"/>
                <w:b/>
                <w:kern w:val="3"/>
                <w:sz w:val="24"/>
                <w:szCs w:val="24"/>
              </w:rPr>
              <w:t>DI</w:t>
            </w:r>
          </w:p>
          <w:p>
            <w:pPr>
              <w:suppressAutoHyphens/>
              <w:autoSpaceDN w:val="0"/>
              <w:spacing w:after="160"/>
              <w:jc w:val="center"/>
              <w:textAlignment w:val="baseline"/>
              <w:rPr>
                <w:rFonts w:ascii="Arial" w:eastAsia="SimSun" w:hAnsi="Arial" w:cs="Arial"/>
                <w:b/>
                <w:kern w:val="3"/>
                <w:sz w:val="24"/>
                <w:szCs w:val="24"/>
              </w:rPr>
            </w:pPr>
          </w:p>
        </w:tc>
      </w:tr>
      <w:tr>
        <w:trPr>
          <w:trHeight w:val="691"/>
        </w:trPr>
        <w:tc>
          <w:tcPr>
            <w:tcW w:w="1418"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tcPr>
          <w:p>
            <w:pPr>
              <w:suppressAutoHyphens/>
              <w:autoSpaceDN w:val="0"/>
              <w:spacing w:after="160"/>
              <w:ind w:left="-105"/>
              <w:textAlignment w:val="baseline"/>
              <w:rPr>
                <w:rFonts w:ascii="Arial" w:eastAsia="SimSun" w:hAnsi="Arial" w:cs="Arial"/>
                <w:kern w:val="3"/>
                <w:sz w:val="20"/>
                <w:szCs w:val="20"/>
              </w:rPr>
            </w:pPr>
            <w:r>
              <w:rPr>
                <w:rFonts w:ascii="Arial" w:eastAsia="SimSun" w:hAnsi="Arial" w:cs="Arial"/>
                <w:b/>
                <w:kern w:val="3"/>
                <w:sz w:val="20"/>
                <w:szCs w:val="20"/>
              </w:rPr>
              <w:t>TOTAL OCUPACIÓN</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4</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27 %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5</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33 %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6</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40  %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6</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40 %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12</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80 %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 xml:space="preserve"> 12</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80 %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 xml:space="preserve"> 10</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67 %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8</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53  %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 xml:space="preserve">  8</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53  %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 xml:space="preserve"> 10</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 xml:space="preserve"> 67 %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11</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73  %</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11</w:t>
            </w:r>
          </w:p>
          <w:p>
            <w:pPr>
              <w:suppressAutoHyphens/>
              <w:autoSpaceDN w:val="0"/>
              <w:spacing w:after="160"/>
              <w:jc w:val="both"/>
              <w:textAlignment w:val="baseline"/>
              <w:rPr>
                <w:rFonts w:ascii="Arial" w:eastAsia="SimSun" w:hAnsi="Arial" w:cs="Arial"/>
                <w:kern w:val="3"/>
                <w:sz w:val="24"/>
                <w:szCs w:val="24"/>
              </w:rPr>
            </w:pPr>
            <w:r>
              <w:rPr>
                <w:rFonts w:ascii="Arial" w:eastAsia="SimSun" w:hAnsi="Arial" w:cs="Arial"/>
                <w:b/>
                <w:kern w:val="3"/>
                <w:sz w:val="24"/>
                <w:szCs w:val="24"/>
              </w:rPr>
              <w:t>73  %</w:t>
            </w: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1</w:t>
            </w: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2</w:t>
            </w: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3</w:t>
            </w: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4</w:t>
            </w: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5</w:t>
            </w: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6</w:t>
            </w: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7</w:t>
            </w: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8</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9</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b/>
                <w:kern w:val="3"/>
              </w:rPr>
            </w:pPr>
            <w:r>
              <w:rPr>
                <w:rFonts w:ascii="Arial" w:eastAsia="SimSun" w:hAnsi="Arial" w:cs="Arial"/>
                <w:b/>
                <w:kern w:val="3"/>
              </w:rPr>
              <w:t>Menor 1</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lastRenderedPageBreak/>
              <w:t>Mujer 10</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b/>
                <w:kern w:val="3"/>
              </w:rPr>
            </w:pPr>
            <w:r>
              <w:rPr>
                <w:rFonts w:ascii="Arial" w:eastAsia="SimSun" w:hAnsi="Arial" w:cs="Arial"/>
                <w:b/>
                <w:kern w:val="3"/>
              </w:rPr>
              <w:t>Menor 2</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b/>
                <w:kern w:val="3"/>
              </w:rPr>
            </w:pPr>
            <w:r>
              <w:rPr>
                <w:rFonts w:ascii="Arial" w:eastAsia="SimSun" w:hAnsi="Arial" w:cs="Arial"/>
                <w:b/>
                <w:kern w:val="3"/>
              </w:rPr>
              <w:t>Menor 3</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11</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12</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13</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kern w:val="3"/>
              </w:rPr>
            </w:pPr>
            <w:r>
              <w:rPr>
                <w:rFonts w:ascii="Arial" w:eastAsia="SimSun" w:hAnsi="Arial" w:cs="Arial"/>
                <w:b/>
                <w:kern w:val="3"/>
              </w:rPr>
              <w:t>Mujer 14</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r>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ind w:left="-105"/>
              <w:jc w:val="center"/>
              <w:textAlignment w:val="baseline"/>
              <w:rPr>
                <w:rFonts w:ascii="Arial" w:eastAsia="SimSun" w:hAnsi="Arial" w:cs="Arial"/>
                <w:b/>
                <w:kern w:val="3"/>
              </w:rPr>
            </w:pPr>
            <w:r>
              <w:rPr>
                <w:rFonts w:ascii="Arial" w:eastAsia="SimSun" w:hAnsi="Arial" w:cs="Arial"/>
                <w:b/>
                <w:kern w:val="3"/>
              </w:rPr>
              <w:t>Mujer 15</w:t>
            </w: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c>
          <w:tcPr>
            <w:tcW w:w="680" w:type="dxa"/>
            <w:tcBorders>
              <w:top w:val="single" w:sz="4" w:space="0" w:color="00000A"/>
              <w:left w:val="single" w:sz="4" w:space="0" w:color="00000A"/>
              <w:bottom w:val="single" w:sz="4" w:space="0" w:color="00000A"/>
              <w:right w:val="single" w:sz="4" w:space="0" w:color="00000A"/>
            </w:tcBorders>
            <w:shd w:val="clear" w:color="auto" w:fill="2E74B5"/>
            <w:tcMar>
              <w:top w:w="0" w:type="dxa"/>
              <w:left w:w="108" w:type="dxa"/>
              <w:bottom w:w="0" w:type="dxa"/>
              <w:right w:w="108" w:type="dxa"/>
            </w:tcMar>
            <w:vAlign w:val="center"/>
          </w:tcPr>
          <w:p>
            <w:pPr>
              <w:suppressAutoHyphens/>
              <w:autoSpaceDN w:val="0"/>
              <w:spacing w:after="160"/>
              <w:jc w:val="both"/>
              <w:textAlignment w:val="baseline"/>
              <w:rPr>
                <w:rFonts w:ascii="Arial" w:eastAsia="SimSun" w:hAnsi="Arial" w:cs="Arial"/>
                <w:b/>
                <w:kern w:val="3"/>
                <w:sz w:val="24"/>
                <w:szCs w:val="24"/>
              </w:rPr>
            </w:pPr>
          </w:p>
        </w:tc>
      </w:tr>
    </w:tbl>
    <w:p>
      <w:pPr>
        <w:autoSpaceDE w:val="0"/>
        <w:autoSpaceDN w:val="0"/>
        <w:adjustRightInd w:val="0"/>
        <w:spacing w:after="0"/>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 ocupación del recurso aumentó significativamente a partir de mayo, alcanzando su punto máximo en mayo y junio (12 personas), y manteniéndose estable entre 8 y 11 personas durante el segundo semestre, lo que refleja una demanda sostenida y un elevado nivel de trabajo técnico.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b/>
          <w:kern w:val="3"/>
          <w:sz w:val="24"/>
          <w:szCs w:val="24"/>
        </w:rPr>
        <w:t xml:space="preserve">SOLICITUDES DE ALOJAMIENTO (con y sin informes de derivación): </w:t>
      </w:r>
      <w:r>
        <w:rPr>
          <w:rFonts w:ascii="Arial" w:eastAsia="SimSun" w:hAnsi="Arial" w:cs="Arial"/>
          <w:b/>
          <w:kern w:val="3"/>
          <w:sz w:val="24"/>
          <w:szCs w:val="24"/>
          <w:u w:val="single"/>
        </w:rPr>
        <w:t>26 solicitudes.</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b/>
          <w:kern w:val="3"/>
          <w:sz w:val="24"/>
          <w:szCs w:val="24"/>
        </w:rPr>
        <w:t xml:space="preserve">-ENTRADAS NUEVAS EN 2025: </w:t>
      </w:r>
      <w:r>
        <w:rPr>
          <w:rFonts w:ascii="Arial" w:eastAsia="SimSun" w:hAnsi="Arial" w:cs="Arial"/>
          <w:kern w:val="3"/>
          <w:sz w:val="24"/>
          <w:szCs w:val="24"/>
        </w:rPr>
        <w:t xml:space="preserve"> fueron entradas nuevas en 2025, 14 personas:  11 mujeres, 2 niños y 1 niña. </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b/>
          <w:kern w:val="3"/>
          <w:sz w:val="24"/>
          <w:szCs w:val="24"/>
        </w:rPr>
        <w:t xml:space="preserve">-CAUSAS DE NO ENTRADA EN EL RECURSO: </w:t>
      </w:r>
      <w:r>
        <w:rPr>
          <w:rFonts w:ascii="Arial" w:eastAsia="SimSun" w:hAnsi="Arial" w:cs="Arial"/>
          <w:kern w:val="3"/>
          <w:sz w:val="24"/>
          <w:szCs w:val="24"/>
        </w:rPr>
        <w:t>Las causas mayoritarias de no entrada en el recurso han sido que no se correspondían o no se ajustaban al perfil al que se destina la Casa de Acogida. Así como casos en que las mujeres presentaban problemas de salud mental graves y/o consumo actual de sustancias adictivas. También en algún caso se priorizó cuidar de la seguridad y del sigilo para el resto de personas ya acogidas en la Casa.</w:t>
      </w:r>
    </w:p>
    <w:p>
      <w:pPr>
        <w:suppressAutoHyphens/>
        <w:autoSpaceDN w:val="0"/>
        <w:spacing w:after="160" w:line="360" w:lineRule="auto"/>
        <w:jc w:val="both"/>
        <w:textAlignment w:val="baseline"/>
        <w:rPr>
          <w:rFonts w:ascii="Arial" w:eastAsia="SimSun" w:hAnsi="Arial" w:cs="Arial"/>
          <w:kern w:val="3"/>
          <w:sz w:val="24"/>
          <w:szCs w:val="24"/>
        </w:rPr>
      </w:pP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b/>
          <w:kern w:val="3"/>
          <w:sz w:val="24"/>
          <w:szCs w:val="24"/>
        </w:rPr>
        <w:t>-</w:t>
      </w:r>
      <w:r>
        <w:rPr>
          <w:rFonts w:ascii="Arial" w:eastAsia="SimSun" w:hAnsi="Arial" w:cs="Arial"/>
          <w:b/>
          <w:kern w:val="3"/>
          <w:sz w:val="24"/>
          <w:szCs w:val="24"/>
          <w:u w:val="single"/>
        </w:rPr>
        <w:t>Nº DE BAJAS DEL RECURSO:</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Durante el año causaron baja 10 personas: 9 mujeres y 1 menor a su cargo</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b/>
          <w:kern w:val="3"/>
          <w:sz w:val="24"/>
          <w:szCs w:val="24"/>
        </w:rPr>
        <w:lastRenderedPageBreak/>
        <w:t>-</w:t>
      </w:r>
      <w:r>
        <w:rPr>
          <w:rFonts w:ascii="Arial" w:eastAsia="SimSun" w:hAnsi="Arial" w:cs="Arial"/>
          <w:b/>
          <w:kern w:val="3"/>
          <w:sz w:val="24"/>
          <w:szCs w:val="24"/>
          <w:u w:val="single"/>
        </w:rPr>
        <w:t>CAUSAS DE LAS BAJAS:</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Voluntarias:</w:t>
      </w:r>
    </w:p>
    <w:p>
      <w:pPr>
        <w:numPr>
          <w:ilvl w:val="0"/>
          <w:numId w:val="72"/>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Entrada en el Piso de Autonomía: 3 mujeres.</w:t>
      </w:r>
    </w:p>
    <w:p>
      <w:pPr>
        <w:numPr>
          <w:ilvl w:val="0"/>
          <w:numId w:val="72"/>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Salida voluntaria (no adaptación al recurso): 3 mujeres y 1 niña.</w:t>
      </w:r>
    </w:p>
    <w:p>
      <w:pPr>
        <w:numPr>
          <w:ilvl w:val="0"/>
          <w:numId w:val="72"/>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Consigue vivienda con familiares o amigos: 1 mujer.</w:t>
      </w:r>
    </w:p>
    <w:p>
      <w:pPr>
        <w:numPr>
          <w:ilvl w:val="0"/>
          <w:numId w:val="72"/>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xml:space="preserve">Retorno voluntario a su país: 1 mujer </w:t>
      </w:r>
    </w:p>
    <w:p>
      <w:pPr>
        <w:numPr>
          <w:ilvl w:val="0"/>
          <w:numId w:val="72"/>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Consigue empleo en otra ciudad: 1 mujer</w:t>
      </w:r>
    </w:p>
    <w:p>
      <w:pPr>
        <w:suppressAutoHyphens/>
        <w:spacing w:after="0"/>
        <w:jc w:val="both"/>
        <w:rPr>
          <w:rFonts w:ascii="Arial" w:eastAsia="Times New Roman" w:hAnsi="Arial" w:cs="Arial"/>
          <w:b/>
          <w:color w:val="5F497A"/>
          <w:sz w:val="24"/>
          <w:szCs w:val="24"/>
          <w:lang w:eastAsia="zh-CN"/>
        </w:rPr>
      </w:pPr>
    </w:p>
    <w:p>
      <w:pPr>
        <w:shd w:val="clear" w:color="auto" w:fill="B2A1C7" w:themeFill="accent4" w:themeFillTint="99"/>
        <w:jc w:val="both"/>
        <w:rPr>
          <w:rFonts w:ascii="Arial" w:hAnsi="Arial" w:cs="Arial"/>
          <w:b/>
          <w:sz w:val="24"/>
          <w:szCs w:val="24"/>
        </w:rPr>
      </w:pPr>
      <w:r>
        <w:rPr>
          <w:rFonts w:ascii="Arial" w:hAnsi="Arial" w:cs="Arial"/>
          <w:b/>
          <w:sz w:val="24"/>
          <w:szCs w:val="24"/>
        </w:rPr>
        <w:t>2.4   METODOLOGÍA:</w:t>
      </w:r>
    </w:p>
    <w:p>
      <w:pPr>
        <w:spacing w:after="0" w:line="360" w:lineRule="auto"/>
        <w:jc w:val="both"/>
        <w:rPr>
          <w:rFonts w:ascii="Arial" w:hAnsi="Arial" w:cs="Arial"/>
          <w:sz w:val="24"/>
          <w:szCs w:val="24"/>
        </w:rPr>
      </w:pPr>
      <w:r>
        <w:rPr>
          <w:rFonts w:ascii="Arial" w:hAnsi="Arial" w:cs="Arial"/>
          <w:sz w:val="24"/>
          <w:szCs w:val="24"/>
        </w:rPr>
        <w:t xml:space="preserve">Previo al desarrollo de la metodología se halla el estilo con el que se quiere intervenir y sobre el que se sustenta el pilar de valores que da forma al Proyecto Oblatas Daniela, pues sirve de inspiración y justificación a todo lo que acontece. Como Programa amparado en la filosofía Oblata debe caracterizarse por su cercanía, respeto, comprensión… En el establecimiento de una relación-comunicación capaz de potenciar el crecimiento personal de las mujeres de forma saludable y ajustada psicológica y socialmente.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En el trabajo diario se enfatiza en el análisis y reflexión de la relación entre las variables del comportamiento y las estrategias educativas que favorecen el bienestar de las mujeres y con ello, el logro de los objetivos propuestos. Es por ello, que se realiza una apuesta por un estilo de intervención democrático, conjugando la supervisión de las mujeres con el cariño y afecto que se les demuestra. De este modo, el trato se caracteriza por elevados niveles de exigencia y de afecto, encaminado al fomento de la autonomía. El periodo de convivencia en la Casa Daniela es una etapa de transición, esto supone hacer un esfuerzo por mantener la cercanía al mismo tiempo que estimular su independencia y animar a crecer de forma autónoma, a tomar decisiones y a asumir las consecuencias de sus actos.</w:t>
      </w:r>
    </w:p>
    <w:p>
      <w:pPr>
        <w:spacing w:after="0" w:line="360" w:lineRule="auto"/>
        <w:jc w:val="both"/>
        <w:rPr>
          <w:rFonts w:ascii="Arial" w:hAnsi="Arial" w:cs="Arial"/>
          <w:sz w:val="24"/>
          <w:szCs w:val="24"/>
        </w:rPr>
      </w:pPr>
      <w:r>
        <w:rPr>
          <w:rFonts w:ascii="Arial" w:hAnsi="Arial" w:cs="Arial"/>
          <w:sz w:val="24"/>
          <w:szCs w:val="24"/>
        </w:rPr>
        <w:lastRenderedPageBreak/>
        <w:t>Tener presente a la mujer como protagonista de la intervención es actuar dentro de sus parámetros, respetar sus procesos individualizados y los ritmos de motivación. Consiste en reconocer que las mujeres son sujetos de su propio desarrollo, en términos de su propia realidad, de sus expectativas y desde la percepción de las soluciones posibles. Bajo esta premisa, se desarrolla un mecanismo de intervención basada en una Metodología de Relación de Ayuda</w:t>
      </w:r>
      <w:r>
        <w:rPr>
          <w:rFonts w:ascii="Arial" w:hAnsi="Arial" w:cs="Arial"/>
          <w:b/>
          <w:sz w:val="24"/>
          <w:szCs w:val="24"/>
        </w:rPr>
        <w:t xml:space="preserve"> </w:t>
      </w:r>
      <w:r>
        <w:rPr>
          <w:rFonts w:ascii="Arial" w:hAnsi="Arial" w:cs="Arial"/>
          <w:sz w:val="24"/>
          <w:szCs w:val="24"/>
        </w:rPr>
        <w:t xml:space="preserve">que, en palabras de Carl Rogers, “Es aquella en la que uno de los participantes intenta hacer surgir, de una o ambas partes, una mejor apreciación y expresión de los recursos latentes del individuo, y un uso más funcional de éstos”.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intervención se basa en la pedagogía de igual a igual, esto es mirarnos como profesionales que acompañan y cuidan a otros. Una relación de persona a persona, en la que se establece confianza, comprensión, sensación de independencia con las que la mujer toma sus decisiones y elecciones.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De este proceder, se trasmite una actitud de querer comprender, de respeto mutuo, pues la confianza es la condición fundamental del éxito de la relación. La confianza se establece con la comprensión, con la actitud de escucha, del lenguaje verbal y no verbal. Se establece con el respeto, y solo si la mujer se siente respetada, se producirá la apertura.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El objetivo por tanto es provocar cambios, motivando para el cambio. Ésta es la base de la relación de ayuda, siempre devolver a la mujer su capacidad de decisión y posicionarnos como acompañantes y apoyos a los que poder recurrir. El Programa Oblatas Daniela, entiende que la mujer ha de favorecer sus propios cambios mediante la estimulación de alternativas que por la situación de crisis tiene bloqueadas, pero no por ello inexistentes. Nuestra función es conducir a su deslumbramiento para favorecer su propio cambio. Es una aproximación, que permite a la persona usar sus propios recursos para afrontar los propios problemas. Para afrontar estas realidades, sin caer en el posicionamiento autoritario o paternal, se debe partir de las prioridades que marcan las mujeres en sus procesos, se debe fomentar desde los puntos de interés </w:t>
      </w:r>
      <w:r>
        <w:rPr>
          <w:rFonts w:ascii="Arial" w:hAnsi="Arial" w:cs="Arial"/>
          <w:sz w:val="24"/>
          <w:szCs w:val="24"/>
        </w:rPr>
        <w:lastRenderedPageBreak/>
        <w:t xml:space="preserve">que favorezcan y lo motiven para éste. De esta manera el cambio será auténtico y duradero, el impulso ha de venir de dentro, pues se han producido aprendizajes significativos.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comunicación eficaz constituye el núcleo de la relación de ayuda. Una comunicación integral de ambas partes en todas las formas de comunicar. La persona que está en disposición empática será capaz de escuchar, comprender, sentir a través del lenguaje no verbal, del lenguaje verbal, de las acciones y de los silencios, pues de manera metafórica las mujeres hablan su propio idioma y nuestra labor es estar atentas para que la interpretación sea lo más verás posible. De ahí la importancia de la escucha activa, a través de la cual comprendemos si estamos entendiendo bien lo que nos quieren transmitir. Se trata de crear un clima de respeto, centrado en sus necesidades, centrada en la persona, no en su problema; esto permitirá la comprensión de su globalidad.</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Esta es la base de la escucha y del respeto. No podemos aproximarnos pensando que vamos a aportar nuevas experiencias. Nuestra aproximación, estimula al aprendizaje a buscar y mostrar alternativas y posibilidades desatendidas. Hay que saber escuchar y valorar los objetivos que la persona se marca en su proceso y los que no se marca también. Solo será efectiva la relación de ayuda si los objetivos por los que se trabaja son asumidos por quién recibe la intervención. </w:t>
      </w:r>
    </w:p>
    <w:p>
      <w:pPr>
        <w:spacing w:after="0" w:line="360" w:lineRule="auto"/>
        <w:jc w:val="both"/>
        <w:rPr>
          <w:rFonts w:ascii="Arial" w:hAnsi="Arial" w:cs="Arial"/>
          <w:sz w:val="24"/>
          <w:szCs w:val="24"/>
        </w:rPr>
      </w:pPr>
    </w:p>
    <w:p>
      <w:pPr>
        <w:spacing w:line="360" w:lineRule="auto"/>
        <w:jc w:val="both"/>
        <w:rPr>
          <w:rFonts w:ascii="Arial" w:hAnsi="Arial" w:cs="Arial"/>
          <w:sz w:val="24"/>
          <w:szCs w:val="24"/>
        </w:rPr>
      </w:pPr>
      <w:r>
        <w:rPr>
          <w:rFonts w:ascii="Arial" w:hAnsi="Arial" w:cs="Arial"/>
          <w:sz w:val="24"/>
          <w:szCs w:val="24"/>
        </w:rPr>
        <w:t xml:space="preserve">La intervención del equipo se organiza en torno a cinco ejes o áreas de intervención: social, jurídica, educativa, psicológica y laboral. </w:t>
      </w:r>
      <w:r>
        <w:rPr>
          <w:rFonts w:ascii="Arial" w:hAnsi="Arial" w:cs="Arial"/>
          <w:bCs/>
          <w:sz w:val="24"/>
          <w:szCs w:val="24"/>
        </w:rPr>
        <w:t>La Atención Integral está estructurada en tres fases:</w:t>
      </w: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noProof/>
          <w:sz w:val="24"/>
          <w:szCs w:val="24"/>
          <w:lang w:eastAsia="es-ES"/>
        </w:rPr>
      </w:pPr>
    </w:p>
    <w:p>
      <w:pPr>
        <w:jc w:val="both"/>
        <w:rPr>
          <w:rFonts w:ascii="Arial" w:hAnsi="Arial" w:cs="Arial"/>
          <w:sz w:val="24"/>
          <w:szCs w:val="24"/>
        </w:rPr>
      </w:pPr>
      <w:r>
        <w:rPr>
          <w:rFonts w:ascii="Arial" w:hAnsi="Arial" w:cs="Arial"/>
          <w:noProof/>
          <w:sz w:val="24"/>
          <w:szCs w:val="24"/>
          <w:lang w:eastAsia="es-ES"/>
        </w:rPr>
        <w:lastRenderedPageBreak/>
        <w:drawing>
          <wp:inline distT="0" distB="0" distL="0" distR="0">
            <wp:extent cx="6268720" cy="4670373"/>
            <wp:effectExtent l="0" t="19050" r="0" b="35560"/>
            <wp:docPr id="15" name="Diagrama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pPr>
        <w:shd w:val="clear" w:color="auto" w:fill="B2A1C7" w:themeFill="accent4" w:themeFillTint="99"/>
        <w:autoSpaceDE w:val="0"/>
        <w:autoSpaceDN w:val="0"/>
        <w:adjustRightInd w:val="0"/>
        <w:spacing w:after="0"/>
        <w:jc w:val="both"/>
        <w:rPr>
          <w:rFonts w:ascii="Arial" w:hAnsi="Arial" w:cs="Arial"/>
          <w:b/>
          <w:sz w:val="24"/>
          <w:szCs w:val="24"/>
          <w:lang w:eastAsia="es-ES"/>
        </w:rPr>
      </w:pPr>
      <w:r>
        <w:rPr>
          <w:rFonts w:ascii="Arial" w:hAnsi="Arial" w:cs="Arial"/>
          <w:b/>
          <w:sz w:val="24"/>
          <w:szCs w:val="24"/>
          <w:lang w:eastAsia="es-ES"/>
        </w:rPr>
        <w:t>2.5. ACTIVIDADES REALIZADAS:</w:t>
      </w:r>
    </w:p>
    <w:p>
      <w:pPr>
        <w:jc w:val="both"/>
        <w:rPr>
          <w:rFonts w:ascii="Arial" w:hAnsi="Arial" w:cs="Arial"/>
          <w:sz w:val="24"/>
          <w:szCs w:val="24"/>
        </w:rPr>
      </w:pPr>
    </w:p>
    <w:tbl>
      <w:tblPr>
        <w:tblW w:w="9214" w:type="dxa"/>
        <w:tblInd w:w="70" w:type="dxa"/>
        <w:tblBorders>
          <w:top w:val="single" w:sz="12" w:space="0" w:color="000000"/>
          <w:left w:val="single" w:sz="12" w:space="0" w:color="000000"/>
          <w:bottom w:val="single" w:sz="12" w:space="0" w:color="000000"/>
          <w:right w:val="single" w:sz="12" w:space="0" w:color="000000"/>
        </w:tblBorders>
        <w:tblLayout w:type="fixed"/>
        <w:tblCellMar>
          <w:left w:w="70" w:type="dxa"/>
          <w:right w:w="70" w:type="dxa"/>
        </w:tblCellMar>
        <w:tblLook w:val="00A0" w:firstRow="1" w:lastRow="0" w:firstColumn="1" w:lastColumn="0" w:noHBand="0" w:noVBand="0"/>
      </w:tblPr>
      <w:tblGrid>
        <w:gridCol w:w="9214"/>
      </w:tblGrid>
      <w:tr>
        <w:trPr>
          <w:cantSplit/>
          <w:trHeight w:val="537"/>
        </w:trPr>
        <w:tc>
          <w:tcPr>
            <w:tcW w:w="9214" w:type="dxa"/>
            <w:vMerge w:val="restart"/>
            <w:tcBorders>
              <w:top w:val="single" w:sz="12" w:space="0" w:color="000000"/>
              <w:bottom w:val="single" w:sz="12" w:space="0" w:color="000000"/>
              <w:right w:val="single" w:sz="12" w:space="0" w:color="000000"/>
            </w:tcBorders>
            <w:shd w:val="clear" w:color="auto" w:fill="auto"/>
            <w:vAlign w:val="center"/>
          </w:tcPr>
          <w:p>
            <w:pPr>
              <w:tabs>
                <w:tab w:val="left" w:pos="284"/>
                <w:tab w:val="left" w:pos="567"/>
                <w:tab w:val="left" w:pos="851"/>
                <w:tab w:val="left" w:pos="1134"/>
              </w:tabs>
              <w:jc w:val="center"/>
              <w:rPr>
                <w:rFonts w:ascii="Arial" w:hAnsi="Arial" w:cs="Arial"/>
                <w:b/>
                <w:sz w:val="24"/>
                <w:szCs w:val="24"/>
              </w:rPr>
            </w:pPr>
            <w:r>
              <w:rPr>
                <w:rFonts w:ascii="Arial" w:hAnsi="Arial" w:cs="Arial"/>
                <w:b/>
                <w:sz w:val="24"/>
                <w:szCs w:val="24"/>
              </w:rPr>
              <w:t>DESCRIPCIÓN ACTIVIDADES DEL PROYECTO</w:t>
            </w:r>
          </w:p>
        </w:tc>
      </w:tr>
      <w:tr>
        <w:trPr>
          <w:cantSplit/>
          <w:trHeight w:val="517"/>
        </w:trPr>
        <w:tc>
          <w:tcPr>
            <w:tcW w:w="9214" w:type="dxa"/>
            <w:vMerge/>
            <w:tcBorders>
              <w:top w:val="single" w:sz="12" w:space="0" w:color="000000"/>
              <w:bottom w:val="single" w:sz="12" w:space="0" w:color="000000"/>
              <w:right w:val="single" w:sz="12" w:space="0" w:color="000000"/>
            </w:tcBorders>
            <w:shd w:val="clear" w:color="auto" w:fill="auto"/>
            <w:vAlign w:val="center"/>
          </w:tcPr>
          <w:p>
            <w:pPr>
              <w:jc w:val="both"/>
              <w:rPr>
                <w:rFonts w:ascii="Arial" w:hAnsi="Arial" w:cs="Arial"/>
                <w:sz w:val="24"/>
                <w:szCs w:val="24"/>
              </w:rPr>
            </w:pPr>
          </w:p>
        </w:tc>
      </w:tr>
      <w:tr>
        <w:trPr>
          <w:cantSplit/>
          <w:trHeight w:val="290"/>
        </w:trPr>
        <w:tc>
          <w:tcPr>
            <w:tcW w:w="9214" w:type="dxa"/>
            <w:tcBorders>
              <w:top w:val="single" w:sz="12" w:space="0" w:color="000000"/>
              <w:bottom w:val="single" w:sz="12" w:space="0" w:color="000000"/>
              <w:right w:val="single" w:sz="12" w:space="0" w:color="000000"/>
            </w:tcBorders>
            <w:shd w:val="clear" w:color="auto" w:fill="8DB3E2" w:themeFill="text2" w:themeFillTint="66"/>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FASE 1: ACOGIDA Y VALORACIÓN INICIAL:</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9"/>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Acogida e información.</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9"/>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Valoración y estudio individualizado de la situación global de las mujeres solicitantes de   alojamiento.</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9"/>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Derivación a otros recursos sociales (casos que lo precisen)</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8DB3E2" w:themeFill="text2" w:themeFillTint="66"/>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FASE 2: PROPUESTA DE ENTRADA A LA CASA DE ACOGIDA</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2.1. Valoración del equipo interdisciplinar de incorporación al programa.</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lastRenderedPageBreak/>
              <w:t>2.2. Entrevista inicial de entrada a la Casa de Acogida.</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8DB3E2" w:themeFill="text2" w:themeFillTint="66"/>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FASE 3: ACOGIDA EN EL RECURSO Y DESARROLLO DE LA INTERVENCIÓN.</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0"/>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Elaboración y ejecución conjunta del PTIC con las mujeres acogidas:</w:t>
            </w:r>
          </w:p>
        </w:tc>
      </w:tr>
      <w:tr>
        <w:trPr>
          <w:cantSplit/>
          <w:trHeight w:val="461"/>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 xml:space="preserve">      3.1. Cobertura de las necesidades básicas (alojamiento, manutención, higiene, medicamentos, etc.).</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Facilitar la incorporación a los sistemas públicos de bienestar:</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Empadronamiento.</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Registro en los Servicios Sociales Municipales.</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Acceso al sistema público de salud.</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Acceso al sistema educativo.</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Participación social/Ocio y tiempo libre.</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Intervención integral desde distintas áreas (educativa, social, psicológica, jurídica y laboral).</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 xml:space="preserve">Actividades de formación laboral </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Actividades de preformación y formación no laboral.</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Atención e intervenciones de carácter social individual</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Entrevistas individuales de seguimiento y evaluación de objetivos establecidos en el PTIC.</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Asesoramiento para gestión de ayudas económicas y documentación.</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Orientación, coordinación y derivación a recursos y/o actividades formativas psicosociales, educativas, culturales y lúdicas.</w:t>
            </w:r>
          </w:p>
          <w:p>
            <w:pPr>
              <w:tabs>
                <w:tab w:val="left" w:pos="284"/>
                <w:tab w:val="left" w:pos="567"/>
                <w:tab w:val="left" w:pos="851"/>
                <w:tab w:val="left" w:pos="1134"/>
              </w:tabs>
              <w:spacing w:after="0"/>
              <w:ind w:left="900"/>
              <w:contextualSpacing/>
              <w:jc w:val="both"/>
              <w:rPr>
                <w:rFonts w:ascii="Arial" w:hAnsi="Arial" w:cs="Arial"/>
                <w:sz w:val="24"/>
                <w:szCs w:val="24"/>
              </w:rPr>
            </w:pPr>
          </w:p>
        </w:tc>
      </w:tr>
      <w:tr>
        <w:trPr>
          <w:cantSplit/>
          <w:trHeight w:val="153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Intervenciones desde el área educativa:</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Valoración de las necesidades educativas que presentan las mujeres y sus hijas/os.</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Atención y orientación educativa a las mujeres e hijas/os en las actividades y tareas cotidianas.</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Actividades de organización y de gestión para el funcionamiento de la Casa.</w:t>
            </w:r>
          </w:p>
          <w:p>
            <w:pPr>
              <w:tabs>
                <w:tab w:val="left" w:pos="284"/>
                <w:tab w:val="left" w:pos="567"/>
                <w:tab w:val="left" w:pos="851"/>
                <w:tab w:val="left" w:pos="1134"/>
              </w:tabs>
              <w:spacing w:after="0"/>
              <w:jc w:val="both"/>
              <w:rPr>
                <w:rFonts w:ascii="Arial" w:hAnsi="Arial" w:cs="Arial"/>
                <w:sz w:val="24"/>
                <w:szCs w:val="24"/>
              </w:rPr>
            </w:pP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Apoyo e intervención psicológica individual y grupal con mujeres y menores.</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Terapias individuales de seguimiento a las mujeres residentes y menores.</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Terapia familiar.</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Terapia grupal de mujeres residentes.</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Intervención en crisis.</w:t>
            </w:r>
          </w:p>
          <w:p>
            <w:pPr>
              <w:tabs>
                <w:tab w:val="left" w:pos="284"/>
                <w:tab w:val="left" w:pos="567"/>
                <w:tab w:val="left" w:pos="851"/>
                <w:tab w:val="left" w:pos="1134"/>
              </w:tabs>
              <w:spacing w:after="0"/>
              <w:ind w:left="900"/>
              <w:contextualSpacing/>
              <w:jc w:val="both"/>
              <w:rPr>
                <w:rFonts w:ascii="Arial" w:hAnsi="Arial" w:cs="Arial"/>
                <w:sz w:val="24"/>
                <w:szCs w:val="24"/>
              </w:rPr>
            </w:pP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lastRenderedPageBreak/>
              <w:t>Información y orientación jurídica.</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Estudio individualizado de la situación jurídica y/o administrativa de cada mujer.</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Entrevistas de información, asesoramiento, orientación jurídica y/o administrativa individual.</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Tramitación de documentación jurídica y/o administrativa de la mujer.</w:t>
            </w:r>
          </w:p>
          <w:p>
            <w:pPr>
              <w:numPr>
                <w:ilvl w:val="0"/>
                <w:numId w:val="7"/>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Seguimiento del proceso penal y/o administrativo para informar a la mujer sobre las resoluciones adoptadas en relación con su caso.</w:t>
            </w:r>
          </w:p>
          <w:p>
            <w:pPr>
              <w:tabs>
                <w:tab w:val="left" w:pos="284"/>
                <w:tab w:val="left" w:pos="567"/>
                <w:tab w:val="left" w:pos="851"/>
                <w:tab w:val="left" w:pos="1134"/>
              </w:tabs>
              <w:spacing w:after="0"/>
              <w:ind w:left="900"/>
              <w:contextualSpacing/>
              <w:jc w:val="both"/>
              <w:rPr>
                <w:rFonts w:ascii="Arial" w:hAnsi="Arial" w:cs="Arial"/>
                <w:sz w:val="24"/>
                <w:szCs w:val="24"/>
              </w:rPr>
            </w:pP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2"/>
                <w:numId w:val="10"/>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Otros talleres dirigidos a las mujeres acogidas, según necesidades detectadas</w:t>
            </w:r>
          </w:p>
          <w:p>
            <w:pPr>
              <w:tabs>
                <w:tab w:val="left" w:pos="284"/>
                <w:tab w:val="left" w:pos="567"/>
                <w:tab w:val="left" w:pos="851"/>
                <w:tab w:val="left" w:pos="1134"/>
              </w:tabs>
              <w:spacing w:after="0"/>
              <w:ind w:left="900"/>
              <w:contextualSpacing/>
              <w:jc w:val="both"/>
              <w:rPr>
                <w:rFonts w:ascii="Arial" w:hAnsi="Arial" w:cs="Arial"/>
                <w:sz w:val="24"/>
                <w:szCs w:val="24"/>
              </w:rPr>
            </w:pPr>
          </w:p>
        </w:tc>
      </w:tr>
      <w:tr>
        <w:trPr>
          <w:cantSplit/>
          <w:trHeight w:val="290"/>
        </w:trPr>
        <w:tc>
          <w:tcPr>
            <w:tcW w:w="9214" w:type="dxa"/>
            <w:tcBorders>
              <w:top w:val="single" w:sz="12" w:space="0" w:color="000000"/>
              <w:bottom w:val="single" w:sz="12" w:space="0" w:color="000000"/>
              <w:right w:val="single" w:sz="12" w:space="0" w:color="000000"/>
            </w:tcBorders>
            <w:shd w:val="clear" w:color="auto" w:fill="8DB3E2" w:themeFill="text2" w:themeFillTint="66"/>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FASE 4: FINALIZACIÓN DE LA INTERVENCIÓN.</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33"/>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Finalización de la intervención: salida de la Casa de Acogida.</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numPr>
                <w:ilvl w:val="1"/>
                <w:numId w:val="33"/>
              </w:numPr>
              <w:tabs>
                <w:tab w:val="left" w:pos="284"/>
                <w:tab w:val="left" w:pos="567"/>
                <w:tab w:val="left" w:pos="851"/>
                <w:tab w:val="left" w:pos="1134"/>
              </w:tabs>
              <w:spacing w:after="0"/>
              <w:contextualSpacing/>
              <w:jc w:val="both"/>
              <w:rPr>
                <w:rFonts w:ascii="Arial" w:hAnsi="Arial" w:cs="Arial"/>
                <w:sz w:val="24"/>
                <w:szCs w:val="24"/>
              </w:rPr>
            </w:pPr>
            <w:r>
              <w:rPr>
                <w:rFonts w:ascii="Arial" w:hAnsi="Arial" w:cs="Arial"/>
                <w:sz w:val="24"/>
                <w:szCs w:val="24"/>
              </w:rPr>
              <w:t>Seguimiento y apoyo posterior a la salida.</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8DB3E2" w:themeFill="text2" w:themeFillTint="66"/>
          </w:tcPr>
          <w:p>
            <w:pPr>
              <w:tabs>
                <w:tab w:val="left" w:pos="284"/>
                <w:tab w:val="left" w:pos="567"/>
                <w:tab w:val="left" w:pos="851"/>
                <w:tab w:val="left" w:pos="1134"/>
              </w:tabs>
              <w:jc w:val="both"/>
              <w:rPr>
                <w:rFonts w:ascii="Arial" w:hAnsi="Arial" w:cs="Arial"/>
                <w:sz w:val="24"/>
                <w:szCs w:val="24"/>
              </w:rPr>
            </w:pPr>
            <w:r>
              <w:rPr>
                <w:rFonts w:ascii="Arial" w:hAnsi="Arial" w:cs="Arial"/>
                <w:sz w:val="24"/>
                <w:szCs w:val="24"/>
              </w:rPr>
              <w:t>ACTIVIDADES FORMATIVAS DEL PERSONAL DEL PROYECTO (VOLUNTARIADO Y EQUIPO TÉCNICO):</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Planificación, diseño e implementación de la formación interna del Equipo de trabajo.</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Asistencia del equipo de trabajo a acciones formativas organizadas por otros recursos.</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8DB3E2" w:themeFill="text2" w:themeFillTint="66"/>
          </w:tcPr>
          <w:p>
            <w:pPr>
              <w:tabs>
                <w:tab w:val="left" w:pos="284"/>
                <w:tab w:val="left" w:pos="567"/>
                <w:tab w:val="left" w:pos="851"/>
                <w:tab w:val="left" w:pos="1134"/>
              </w:tabs>
              <w:spacing w:after="0"/>
              <w:jc w:val="both"/>
              <w:rPr>
                <w:rFonts w:ascii="Arial" w:hAnsi="Arial" w:cs="Arial"/>
                <w:sz w:val="24"/>
                <w:szCs w:val="24"/>
              </w:rPr>
            </w:pPr>
            <w:r>
              <w:rPr>
                <w:rFonts w:ascii="Arial" w:hAnsi="Arial" w:cs="Arial"/>
                <w:sz w:val="24"/>
                <w:szCs w:val="24"/>
              </w:rPr>
              <w:t>ELEMENTOS TRASVERSALES A TODA LA INTERVENCIÓN</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Gestión de la infraestructura y economía de la Casa de Acogida.</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Acompañamientos a recursos comunitarios en el área de salud, educación, social, laboral, jurídico u otros.</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Preparación y dirección de asambleas ordinarias con las mujeres.</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Reuniones de coordinación interna (voluntariado y personal técnico de las distintas áreas).</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Reuniones de coordinación externa con otros recursos sociales.</w:t>
            </w:r>
          </w:p>
        </w:tc>
      </w:tr>
      <w:tr>
        <w:trPr>
          <w:cantSplit/>
          <w:trHeight w:val="290"/>
        </w:trPr>
        <w:tc>
          <w:tcPr>
            <w:tcW w:w="9214" w:type="dxa"/>
            <w:tcBorders>
              <w:top w:val="single" w:sz="12" w:space="0" w:color="000000"/>
              <w:bottom w:val="single" w:sz="12" w:space="0" w:color="000000"/>
              <w:right w:val="single" w:sz="12" w:space="0" w:color="000000"/>
            </w:tcBorders>
            <w:shd w:val="clear" w:color="auto" w:fill="auto"/>
          </w:tcPr>
          <w:p>
            <w:pPr>
              <w:tabs>
                <w:tab w:val="left" w:pos="284"/>
                <w:tab w:val="left" w:pos="567"/>
                <w:tab w:val="left" w:pos="851"/>
                <w:tab w:val="left" w:pos="1134"/>
              </w:tabs>
              <w:spacing w:after="0"/>
              <w:ind w:left="360"/>
              <w:contextualSpacing/>
              <w:jc w:val="both"/>
              <w:rPr>
                <w:rFonts w:ascii="Arial" w:hAnsi="Arial" w:cs="Arial"/>
                <w:sz w:val="24"/>
                <w:szCs w:val="24"/>
              </w:rPr>
            </w:pPr>
            <w:r>
              <w:rPr>
                <w:rFonts w:ascii="Arial" w:hAnsi="Arial" w:cs="Arial"/>
                <w:sz w:val="24"/>
                <w:szCs w:val="24"/>
              </w:rPr>
              <w:t>Seguimiento y evaluación continua del proyecto.</w:t>
            </w:r>
          </w:p>
        </w:tc>
      </w:tr>
    </w:tbl>
    <w:p>
      <w:pPr>
        <w:jc w:val="both"/>
        <w:rPr>
          <w:rFonts w:ascii="Arial" w:hAnsi="Arial" w:cs="Arial"/>
          <w:sz w:val="24"/>
          <w:szCs w:val="24"/>
          <w:highlight w:val="yellow"/>
        </w:rPr>
      </w:pPr>
    </w:p>
    <w:p>
      <w:pPr>
        <w:jc w:val="both"/>
        <w:rPr>
          <w:rFonts w:ascii="Arial" w:hAnsi="Arial" w:cs="Arial"/>
          <w:sz w:val="24"/>
          <w:szCs w:val="24"/>
          <w:highlight w:val="yellow"/>
        </w:rPr>
      </w:pPr>
    </w:p>
    <w:p>
      <w:pPr>
        <w:jc w:val="both"/>
        <w:rPr>
          <w:rFonts w:ascii="Arial" w:hAnsi="Arial" w:cs="Arial"/>
          <w:sz w:val="24"/>
          <w:szCs w:val="24"/>
          <w:highlight w:val="yellow"/>
        </w:rPr>
      </w:pPr>
    </w:p>
    <w:p>
      <w:pPr>
        <w:jc w:val="both"/>
        <w:rPr>
          <w:rFonts w:ascii="Arial" w:hAnsi="Arial" w:cs="Arial"/>
          <w:sz w:val="24"/>
          <w:szCs w:val="24"/>
          <w:highlight w:val="yellow"/>
        </w:rPr>
      </w:pPr>
    </w:p>
    <w:p>
      <w:pPr>
        <w:jc w:val="both"/>
        <w:rPr>
          <w:rFonts w:ascii="Arial" w:hAnsi="Arial" w:cs="Arial"/>
          <w:sz w:val="24"/>
          <w:szCs w:val="24"/>
          <w:highlight w:val="yellow"/>
        </w:rPr>
      </w:pPr>
    </w:p>
    <w:p>
      <w:pPr>
        <w:shd w:val="clear" w:color="auto" w:fill="B2A1C7" w:themeFill="accent4" w:themeFillTint="99"/>
        <w:jc w:val="both"/>
        <w:rPr>
          <w:rFonts w:ascii="Arial" w:hAnsi="Arial" w:cs="Arial"/>
          <w:b/>
          <w:sz w:val="24"/>
          <w:szCs w:val="24"/>
        </w:rPr>
      </w:pPr>
      <w:r>
        <w:rPr>
          <w:rFonts w:ascii="Arial" w:hAnsi="Arial" w:cs="Arial"/>
          <w:b/>
          <w:sz w:val="24"/>
          <w:szCs w:val="24"/>
        </w:rPr>
        <w:lastRenderedPageBreak/>
        <w:t>2.6. RECURSOS HUMANOS</w:t>
      </w:r>
    </w:p>
    <w:p>
      <w:pPr>
        <w:suppressAutoHyphens/>
        <w:spacing w:before="170" w:after="0"/>
        <w:jc w:val="both"/>
        <w:textAlignment w:val="baseline"/>
        <w:outlineLvl w:val="0"/>
        <w:rPr>
          <w:rFonts w:ascii="Arial" w:hAnsi="Arial" w:cs="Arial"/>
          <w:b/>
          <w:i/>
          <w:sz w:val="24"/>
          <w:szCs w:val="24"/>
          <w:u w:val="single"/>
        </w:rPr>
      </w:pPr>
    </w:p>
    <w:p>
      <w:pPr>
        <w:suppressAutoHyphens/>
        <w:spacing w:before="170" w:after="0"/>
        <w:jc w:val="both"/>
        <w:textAlignment w:val="baseline"/>
        <w:outlineLvl w:val="0"/>
        <w:rPr>
          <w:rFonts w:ascii="Arial" w:hAnsi="Arial" w:cs="Arial"/>
          <w:b/>
          <w:sz w:val="24"/>
          <w:szCs w:val="24"/>
          <w:u w:val="single"/>
        </w:rPr>
      </w:pPr>
      <w:r>
        <w:rPr>
          <w:rFonts w:ascii="Arial" w:hAnsi="Arial" w:cs="Arial"/>
          <w:b/>
          <w:i/>
          <w:sz w:val="24"/>
          <w:szCs w:val="24"/>
          <w:u w:val="single"/>
        </w:rPr>
        <w:t>PERSONAL LABORAL Y EN PRESTACIÓN DE SERVICIOS</w:t>
      </w:r>
      <w:r>
        <w:rPr>
          <w:rFonts w:ascii="Arial" w:hAnsi="Arial" w:cs="Arial"/>
          <w:b/>
          <w:sz w:val="24"/>
          <w:szCs w:val="24"/>
          <w:u w:val="single"/>
        </w:rPr>
        <w:t>:</w:t>
      </w:r>
    </w:p>
    <w:p>
      <w:pPr>
        <w:suppressAutoHyphens/>
        <w:spacing w:before="170" w:after="0"/>
        <w:jc w:val="both"/>
        <w:textAlignment w:val="baseline"/>
        <w:outlineLvl w:val="0"/>
        <w:rPr>
          <w:rFonts w:ascii="Arial" w:hAnsi="Arial" w:cs="Arial"/>
          <w:b/>
          <w:sz w:val="24"/>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9"/>
        <w:gridCol w:w="6693"/>
      </w:tblGrid>
      <w:tr>
        <w:tc>
          <w:tcPr>
            <w:tcW w:w="2515" w:type="dxa"/>
            <w:shd w:val="clear" w:color="auto" w:fill="95B3D7" w:themeFill="accent1" w:themeFillTint="99"/>
          </w:tcPr>
          <w:p>
            <w:pPr>
              <w:suppressAutoHyphens/>
              <w:spacing w:before="170" w:after="0"/>
              <w:jc w:val="both"/>
              <w:textAlignment w:val="baseline"/>
              <w:rPr>
                <w:rFonts w:ascii="Arial" w:eastAsia="Times New Roman" w:hAnsi="Arial" w:cs="Arial"/>
                <w:b/>
                <w:kern w:val="1"/>
                <w:sz w:val="24"/>
                <w:szCs w:val="24"/>
                <w:lang w:eastAsia="zh-CN"/>
              </w:rPr>
            </w:pPr>
            <w:r>
              <w:rPr>
                <w:rFonts w:ascii="Arial" w:eastAsia="Times New Roman" w:hAnsi="Arial" w:cs="Arial"/>
                <w:b/>
                <w:kern w:val="1"/>
                <w:sz w:val="24"/>
                <w:szCs w:val="24"/>
                <w:lang w:eastAsia="zh-CN"/>
              </w:rPr>
              <w:t>Nº DE PROFESIONALES</w:t>
            </w:r>
          </w:p>
        </w:tc>
        <w:tc>
          <w:tcPr>
            <w:tcW w:w="6807" w:type="dxa"/>
            <w:shd w:val="clear" w:color="auto" w:fill="95B3D7" w:themeFill="accent1" w:themeFillTint="99"/>
          </w:tcPr>
          <w:p>
            <w:pPr>
              <w:suppressAutoHyphens/>
              <w:spacing w:before="170" w:after="0"/>
              <w:jc w:val="both"/>
              <w:textAlignment w:val="baseline"/>
              <w:rPr>
                <w:rFonts w:ascii="Arial" w:eastAsia="Times New Roman" w:hAnsi="Arial" w:cs="Arial"/>
                <w:b/>
                <w:kern w:val="1"/>
                <w:sz w:val="24"/>
                <w:szCs w:val="24"/>
                <w:lang w:eastAsia="zh-CN"/>
              </w:rPr>
            </w:pPr>
            <w:r>
              <w:rPr>
                <w:rFonts w:ascii="Arial" w:eastAsia="Times New Roman" w:hAnsi="Arial" w:cs="Arial"/>
                <w:b/>
                <w:kern w:val="1"/>
                <w:sz w:val="24"/>
                <w:szCs w:val="24"/>
                <w:lang w:eastAsia="zh-CN"/>
              </w:rPr>
              <w:t>CATEGORÍA PROFESIONAL</w:t>
            </w:r>
          </w:p>
        </w:tc>
      </w:tr>
      <w:tr>
        <w:tc>
          <w:tcPr>
            <w:tcW w:w="2515" w:type="dxa"/>
          </w:tcPr>
          <w:p>
            <w:pPr>
              <w:suppressAutoHyphens/>
              <w:spacing w:before="170" w:after="0"/>
              <w:jc w:val="center"/>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6</w:t>
            </w:r>
          </w:p>
        </w:tc>
        <w:tc>
          <w:tcPr>
            <w:tcW w:w="6807" w:type="dxa"/>
          </w:tcPr>
          <w:p>
            <w:pPr>
              <w:suppressAutoHyphens/>
              <w:spacing w:before="170" w:after="0"/>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Educadoras sociales (una de ellas en situación de baja y otra realizando sustituciones por bajas laborales o en periodo de vacaciones).</w:t>
            </w:r>
          </w:p>
        </w:tc>
      </w:tr>
      <w:tr>
        <w:tc>
          <w:tcPr>
            <w:tcW w:w="2515" w:type="dxa"/>
          </w:tcPr>
          <w:p>
            <w:pPr>
              <w:suppressAutoHyphens/>
              <w:spacing w:before="170" w:after="0"/>
              <w:jc w:val="center"/>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1</w:t>
            </w:r>
          </w:p>
        </w:tc>
        <w:tc>
          <w:tcPr>
            <w:tcW w:w="6807" w:type="dxa"/>
          </w:tcPr>
          <w:p>
            <w:pPr>
              <w:suppressAutoHyphens/>
              <w:spacing w:before="170" w:after="0"/>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 xml:space="preserve">Integradora social </w:t>
            </w:r>
          </w:p>
        </w:tc>
      </w:tr>
      <w:tr>
        <w:tc>
          <w:tcPr>
            <w:tcW w:w="2515" w:type="dxa"/>
          </w:tcPr>
          <w:p>
            <w:pPr>
              <w:suppressAutoHyphens/>
              <w:spacing w:before="170" w:after="0"/>
              <w:jc w:val="center"/>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1</w:t>
            </w:r>
          </w:p>
        </w:tc>
        <w:tc>
          <w:tcPr>
            <w:tcW w:w="6807" w:type="dxa"/>
          </w:tcPr>
          <w:p>
            <w:pPr>
              <w:suppressAutoHyphens/>
              <w:spacing w:before="170" w:after="0"/>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Trabajadora social</w:t>
            </w:r>
          </w:p>
        </w:tc>
      </w:tr>
      <w:tr>
        <w:tc>
          <w:tcPr>
            <w:tcW w:w="2515" w:type="dxa"/>
          </w:tcPr>
          <w:p>
            <w:pPr>
              <w:suppressAutoHyphens/>
              <w:spacing w:before="170" w:after="0"/>
              <w:jc w:val="center"/>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1</w:t>
            </w:r>
          </w:p>
        </w:tc>
        <w:tc>
          <w:tcPr>
            <w:tcW w:w="6807" w:type="dxa"/>
          </w:tcPr>
          <w:p>
            <w:pPr>
              <w:suppressAutoHyphens/>
              <w:spacing w:before="170" w:after="0"/>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Contable</w:t>
            </w:r>
          </w:p>
        </w:tc>
      </w:tr>
      <w:tr>
        <w:tc>
          <w:tcPr>
            <w:tcW w:w="2515" w:type="dxa"/>
          </w:tcPr>
          <w:p>
            <w:pPr>
              <w:suppressAutoHyphens/>
              <w:spacing w:before="170" w:after="0"/>
              <w:jc w:val="center"/>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1</w:t>
            </w:r>
          </w:p>
        </w:tc>
        <w:tc>
          <w:tcPr>
            <w:tcW w:w="6807" w:type="dxa"/>
          </w:tcPr>
          <w:p>
            <w:pPr>
              <w:suppressAutoHyphens/>
              <w:spacing w:before="170" w:after="0"/>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Limpiadora</w:t>
            </w:r>
          </w:p>
        </w:tc>
      </w:tr>
      <w:tr>
        <w:tc>
          <w:tcPr>
            <w:tcW w:w="2515" w:type="dxa"/>
          </w:tcPr>
          <w:p>
            <w:pPr>
              <w:suppressAutoHyphens/>
              <w:spacing w:before="170" w:after="0"/>
              <w:jc w:val="center"/>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1</w:t>
            </w:r>
          </w:p>
        </w:tc>
        <w:tc>
          <w:tcPr>
            <w:tcW w:w="6807" w:type="dxa"/>
          </w:tcPr>
          <w:p>
            <w:pPr>
              <w:suppressAutoHyphens/>
              <w:spacing w:before="170" w:after="0"/>
              <w:jc w:val="both"/>
              <w:textAlignment w:val="baseline"/>
              <w:rPr>
                <w:rFonts w:ascii="Arial" w:eastAsia="Times New Roman" w:hAnsi="Arial" w:cs="Arial"/>
                <w:kern w:val="1"/>
                <w:sz w:val="24"/>
                <w:szCs w:val="24"/>
                <w:lang w:val="es-ES_tradnl" w:eastAsia="zh-CN"/>
              </w:rPr>
            </w:pPr>
            <w:r>
              <w:rPr>
                <w:rFonts w:ascii="Arial" w:eastAsia="Times New Roman" w:hAnsi="Arial" w:cs="Arial"/>
                <w:kern w:val="1"/>
                <w:sz w:val="24"/>
                <w:szCs w:val="24"/>
                <w:lang w:val="es-ES_tradnl" w:eastAsia="zh-CN"/>
              </w:rPr>
              <w:t>Educadora social (miembro de la Entidad. Prestación de servicios)</w:t>
            </w:r>
          </w:p>
        </w:tc>
      </w:tr>
    </w:tbl>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Para la realización de las actividades del proyecto, también se ha contado con la participación del personal del equipo de atención especializada de la entidad: psicóloga, abogada, orientadora laboral y trabajadoras sociales, así como la coordinadora y la directora.</w:t>
      </w: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line="360" w:lineRule="auto"/>
        <w:jc w:val="both"/>
        <w:textAlignment w:val="baseline"/>
        <w:rPr>
          <w:rFonts w:ascii="Arial" w:eastAsia="Times New Roman" w:hAnsi="Arial" w:cs="Arial"/>
          <w:kern w:val="1"/>
          <w:sz w:val="24"/>
          <w:szCs w:val="24"/>
          <w:lang w:eastAsia="zh-CN"/>
        </w:rPr>
      </w:pPr>
    </w:p>
    <w:p>
      <w:pPr>
        <w:suppressAutoHyphens/>
        <w:spacing w:before="170" w:after="0"/>
        <w:jc w:val="both"/>
        <w:textAlignment w:val="baseline"/>
        <w:outlineLvl w:val="0"/>
        <w:rPr>
          <w:rFonts w:ascii="Arial" w:eastAsia="Times New Roman" w:hAnsi="Arial" w:cs="Arial"/>
          <w:b/>
          <w:i/>
          <w:kern w:val="1"/>
          <w:sz w:val="24"/>
          <w:szCs w:val="24"/>
          <w:u w:val="single"/>
          <w:lang w:eastAsia="zh-CN"/>
        </w:rPr>
      </w:pPr>
      <w:r>
        <w:rPr>
          <w:rFonts w:ascii="Arial" w:eastAsia="Times New Roman" w:hAnsi="Arial" w:cs="Arial"/>
          <w:b/>
          <w:i/>
          <w:kern w:val="1"/>
          <w:sz w:val="24"/>
          <w:szCs w:val="24"/>
          <w:u w:val="single"/>
          <w:lang w:eastAsia="zh-CN"/>
        </w:rPr>
        <w:t>PERSONAL VOLUNTARIO:</w:t>
      </w:r>
    </w:p>
    <w:p>
      <w:pPr>
        <w:suppressAutoHyphens/>
        <w:spacing w:before="170" w:after="0"/>
        <w:jc w:val="both"/>
        <w:textAlignment w:val="baseline"/>
        <w:outlineLvl w:val="0"/>
        <w:rPr>
          <w:rFonts w:ascii="Arial" w:eastAsia="Times New Roman" w:hAnsi="Arial" w:cs="Arial"/>
          <w:b/>
          <w:i/>
          <w:kern w:val="1"/>
          <w:sz w:val="24"/>
          <w:szCs w:val="24"/>
          <w:u w:val="single"/>
          <w:lang w:eastAsia="zh-CN"/>
        </w:rPr>
      </w:pPr>
    </w:p>
    <w:tbl>
      <w:tblPr>
        <w:tblStyle w:val="Tablaconcuadrcula33"/>
        <w:tblW w:w="0" w:type="auto"/>
        <w:tblLook w:val="04A0" w:firstRow="1" w:lastRow="0" w:firstColumn="1" w:lastColumn="0" w:noHBand="0" w:noVBand="1"/>
      </w:tblPr>
      <w:tblGrid>
        <w:gridCol w:w="4957"/>
        <w:gridCol w:w="3537"/>
      </w:tblGrid>
      <w:tr>
        <w:tc>
          <w:tcPr>
            <w:tcW w:w="4957" w:type="dxa"/>
          </w:tcPr>
          <w:p>
            <w:pPr>
              <w:jc w:val="center"/>
              <w:rPr>
                <w:rFonts w:ascii="Arial" w:hAnsi="Arial" w:cs="Arial"/>
                <w:b/>
                <w:sz w:val="24"/>
                <w:szCs w:val="24"/>
              </w:rPr>
            </w:pPr>
            <w:r>
              <w:rPr>
                <w:rFonts w:ascii="Arial" w:hAnsi="Arial" w:cs="Arial"/>
                <w:b/>
                <w:sz w:val="24"/>
                <w:szCs w:val="24"/>
              </w:rPr>
              <w:t>Formación</w:t>
            </w:r>
          </w:p>
        </w:tc>
        <w:tc>
          <w:tcPr>
            <w:tcW w:w="3537" w:type="dxa"/>
          </w:tcPr>
          <w:p>
            <w:pPr>
              <w:jc w:val="center"/>
              <w:rPr>
                <w:rFonts w:ascii="Arial" w:hAnsi="Arial" w:cs="Arial"/>
                <w:b/>
                <w:sz w:val="24"/>
                <w:szCs w:val="24"/>
              </w:rPr>
            </w:pPr>
            <w:r>
              <w:rPr>
                <w:rFonts w:ascii="Arial" w:hAnsi="Arial" w:cs="Arial"/>
                <w:b/>
                <w:sz w:val="24"/>
                <w:szCs w:val="24"/>
              </w:rPr>
              <w:t>Personal voluntario</w:t>
            </w:r>
          </w:p>
        </w:tc>
      </w:tr>
      <w:tr>
        <w:tc>
          <w:tcPr>
            <w:tcW w:w="4957" w:type="dxa"/>
          </w:tcPr>
          <w:p>
            <w:pPr>
              <w:rPr>
                <w:rFonts w:ascii="Arial" w:hAnsi="Arial" w:cs="Arial"/>
                <w:sz w:val="24"/>
                <w:szCs w:val="24"/>
              </w:rPr>
            </w:pPr>
            <w:r>
              <w:rPr>
                <w:rFonts w:ascii="Arial" w:hAnsi="Arial" w:cs="Arial"/>
                <w:sz w:val="24"/>
                <w:szCs w:val="24"/>
              </w:rPr>
              <w:t>Licenciatura en Geografía e Historia</w:t>
            </w:r>
          </w:p>
        </w:tc>
        <w:tc>
          <w:tcPr>
            <w:tcW w:w="3537" w:type="dxa"/>
          </w:tcPr>
          <w:p>
            <w:pPr>
              <w:jc w:val="center"/>
              <w:rPr>
                <w:rFonts w:ascii="Arial" w:hAnsi="Arial" w:cs="Arial"/>
                <w:sz w:val="24"/>
                <w:szCs w:val="24"/>
              </w:rPr>
            </w:pPr>
            <w:r>
              <w:rPr>
                <w:rFonts w:ascii="Arial" w:hAnsi="Arial" w:cs="Arial"/>
                <w:sz w:val="24"/>
                <w:szCs w:val="24"/>
              </w:rPr>
              <w:t>3</w:t>
            </w:r>
          </w:p>
        </w:tc>
      </w:tr>
      <w:tr>
        <w:tc>
          <w:tcPr>
            <w:tcW w:w="4957" w:type="dxa"/>
          </w:tcPr>
          <w:p>
            <w:pPr>
              <w:rPr>
                <w:rFonts w:ascii="Arial" w:hAnsi="Arial" w:cs="Arial"/>
                <w:sz w:val="24"/>
                <w:szCs w:val="24"/>
              </w:rPr>
            </w:pPr>
            <w:r>
              <w:rPr>
                <w:rFonts w:ascii="Arial" w:hAnsi="Arial" w:cs="Arial"/>
                <w:sz w:val="24"/>
                <w:szCs w:val="24"/>
              </w:rPr>
              <w:t>Educación Social</w:t>
            </w:r>
          </w:p>
        </w:tc>
        <w:tc>
          <w:tcPr>
            <w:tcW w:w="3537" w:type="dxa"/>
          </w:tcPr>
          <w:p>
            <w:pPr>
              <w:jc w:val="center"/>
              <w:rPr>
                <w:rFonts w:ascii="Arial" w:hAnsi="Arial" w:cs="Arial"/>
                <w:sz w:val="24"/>
                <w:szCs w:val="24"/>
              </w:rPr>
            </w:pPr>
            <w:r>
              <w:rPr>
                <w:rFonts w:ascii="Arial" w:hAnsi="Arial" w:cs="Arial"/>
                <w:sz w:val="24"/>
                <w:szCs w:val="24"/>
              </w:rPr>
              <w:t>3</w:t>
            </w:r>
          </w:p>
        </w:tc>
      </w:tr>
      <w:tr>
        <w:tc>
          <w:tcPr>
            <w:tcW w:w="4957" w:type="dxa"/>
          </w:tcPr>
          <w:p>
            <w:pPr>
              <w:rPr>
                <w:rFonts w:ascii="Arial" w:hAnsi="Arial" w:cs="Arial"/>
                <w:sz w:val="24"/>
                <w:szCs w:val="24"/>
              </w:rPr>
            </w:pPr>
            <w:r>
              <w:rPr>
                <w:rFonts w:ascii="Arial" w:hAnsi="Arial" w:cs="Arial"/>
                <w:sz w:val="24"/>
                <w:szCs w:val="24"/>
              </w:rPr>
              <w:t>Medicina</w:t>
            </w:r>
          </w:p>
        </w:tc>
        <w:tc>
          <w:tcPr>
            <w:tcW w:w="3537" w:type="dxa"/>
          </w:tcPr>
          <w:p>
            <w:pPr>
              <w:jc w:val="center"/>
              <w:rPr>
                <w:rFonts w:ascii="Arial" w:hAnsi="Arial" w:cs="Arial"/>
                <w:sz w:val="24"/>
                <w:szCs w:val="24"/>
              </w:rPr>
            </w:pPr>
            <w:r>
              <w:rPr>
                <w:rFonts w:ascii="Arial" w:hAnsi="Arial" w:cs="Arial"/>
                <w:sz w:val="24"/>
                <w:szCs w:val="24"/>
              </w:rPr>
              <w:t>2</w:t>
            </w:r>
          </w:p>
        </w:tc>
      </w:tr>
      <w:tr>
        <w:tc>
          <w:tcPr>
            <w:tcW w:w="4957" w:type="dxa"/>
          </w:tcPr>
          <w:p>
            <w:pPr>
              <w:rPr>
                <w:rFonts w:ascii="Arial" w:hAnsi="Arial" w:cs="Arial"/>
                <w:sz w:val="24"/>
                <w:szCs w:val="24"/>
              </w:rPr>
            </w:pPr>
            <w:r>
              <w:rPr>
                <w:rFonts w:ascii="Arial" w:hAnsi="Arial" w:cs="Arial"/>
                <w:sz w:val="24"/>
                <w:szCs w:val="24"/>
              </w:rPr>
              <w:t>Profesoras</w:t>
            </w:r>
          </w:p>
        </w:tc>
        <w:tc>
          <w:tcPr>
            <w:tcW w:w="3537" w:type="dxa"/>
          </w:tcPr>
          <w:p>
            <w:pPr>
              <w:jc w:val="center"/>
              <w:rPr>
                <w:rFonts w:ascii="Arial" w:hAnsi="Arial" w:cs="Arial"/>
                <w:sz w:val="24"/>
                <w:szCs w:val="24"/>
              </w:rPr>
            </w:pPr>
            <w:r>
              <w:rPr>
                <w:rFonts w:ascii="Arial" w:hAnsi="Arial" w:cs="Arial"/>
                <w:sz w:val="24"/>
                <w:szCs w:val="24"/>
              </w:rPr>
              <w:t>2</w:t>
            </w:r>
          </w:p>
        </w:tc>
      </w:tr>
      <w:tr>
        <w:tc>
          <w:tcPr>
            <w:tcW w:w="4957" w:type="dxa"/>
          </w:tcPr>
          <w:p>
            <w:pPr>
              <w:rPr>
                <w:rFonts w:ascii="Arial" w:hAnsi="Arial" w:cs="Arial"/>
                <w:sz w:val="24"/>
                <w:szCs w:val="24"/>
              </w:rPr>
            </w:pPr>
            <w:r>
              <w:rPr>
                <w:rFonts w:ascii="Arial" w:hAnsi="Arial" w:cs="Arial"/>
                <w:sz w:val="24"/>
                <w:szCs w:val="24"/>
              </w:rPr>
              <w:t>Derecho</w:t>
            </w:r>
          </w:p>
        </w:tc>
        <w:tc>
          <w:tcPr>
            <w:tcW w:w="3537" w:type="dxa"/>
          </w:tcPr>
          <w:p>
            <w:pPr>
              <w:jc w:val="center"/>
              <w:rPr>
                <w:rFonts w:ascii="Arial" w:hAnsi="Arial" w:cs="Arial"/>
                <w:sz w:val="24"/>
                <w:szCs w:val="24"/>
              </w:rPr>
            </w:pPr>
            <w:r>
              <w:rPr>
                <w:rFonts w:ascii="Arial" w:hAnsi="Arial" w:cs="Arial"/>
                <w:sz w:val="24"/>
                <w:szCs w:val="24"/>
              </w:rPr>
              <w:t>2</w:t>
            </w:r>
          </w:p>
        </w:tc>
      </w:tr>
      <w:tr>
        <w:tc>
          <w:tcPr>
            <w:tcW w:w="4957" w:type="dxa"/>
          </w:tcPr>
          <w:p>
            <w:pPr>
              <w:rPr>
                <w:rFonts w:ascii="Arial" w:hAnsi="Arial" w:cs="Arial"/>
                <w:sz w:val="24"/>
                <w:szCs w:val="24"/>
              </w:rPr>
            </w:pPr>
            <w:r>
              <w:rPr>
                <w:rFonts w:ascii="Arial" w:hAnsi="Arial" w:cs="Arial"/>
                <w:sz w:val="24"/>
                <w:szCs w:val="24"/>
              </w:rPr>
              <w:t>Ciencias de la Comunicación / Técnico de Igualdad</w:t>
            </w:r>
          </w:p>
        </w:tc>
        <w:tc>
          <w:tcPr>
            <w:tcW w:w="3537" w:type="dxa"/>
          </w:tcPr>
          <w:p>
            <w:pPr>
              <w:jc w:val="center"/>
              <w:rPr>
                <w:rFonts w:ascii="Arial" w:hAnsi="Arial" w:cs="Arial"/>
                <w:sz w:val="24"/>
                <w:szCs w:val="24"/>
              </w:rPr>
            </w:pPr>
            <w:r>
              <w:rPr>
                <w:rFonts w:ascii="Arial" w:hAnsi="Arial" w:cs="Arial"/>
                <w:sz w:val="24"/>
                <w:szCs w:val="24"/>
              </w:rPr>
              <w:t>2</w:t>
            </w:r>
          </w:p>
        </w:tc>
      </w:tr>
      <w:tr>
        <w:tc>
          <w:tcPr>
            <w:tcW w:w="4957" w:type="dxa"/>
          </w:tcPr>
          <w:p>
            <w:pPr>
              <w:rPr>
                <w:rFonts w:ascii="Arial" w:hAnsi="Arial" w:cs="Arial"/>
                <w:sz w:val="24"/>
                <w:szCs w:val="24"/>
              </w:rPr>
            </w:pPr>
            <w:r>
              <w:rPr>
                <w:rFonts w:ascii="Arial" w:hAnsi="Arial" w:cs="Arial"/>
                <w:sz w:val="24"/>
                <w:szCs w:val="24"/>
              </w:rPr>
              <w:t>Bachiller</w:t>
            </w:r>
          </w:p>
        </w:tc>
        <w:tc>
          <w:tcPr>
            <w:tcW w:w="3537" w:type="dxa"/>
          </w:tcPr>
          <w:p>
            <w:pPr>
              <w:jc w:val="center"/>
              <w:rPr>
                <w:rFonts w:ascii="Arial" w:hAnsi="Arial" w:cs="Arial"/>
                <w:sz w:val="24"/>
                <w:szCs w:val="24"/>
              </w:rPr>
            </w:pPr>
            <w:r>
              <w:rPr>
                <w:rFonts w:ascii="Arial" w:hAnsi="Arial" w:cs="Arial"/>
                <w:sz w:val="24"/>
                <w:szCs w:val="24"/>
              </w:rPr>
              <w:t>2</w:t>
            </w:r>
          </w:p>
        </w:tc>
      </w:tr>
      <w:tr>
        <w:tc>
          <w:tcPr>
            <w:tcW w:w="4957" w:type="dxa"/>
          </w:tcPr>
          <w:p>
            <w:pPr>
              <w:rPr>
                <w:rFonts w:ascii="Arial" w:hAnsi="Arial" w:cs="Arial"/>
                <w:sz w:val="24"/>
                <w:szCs w:val="24"/>
              </w:rPr>
            </w:pPr>
            <w:r>
              <w:rPr>
                <w:rFonts w:ascii="Arial" w:hAnsi="Arial" w:cs="Arial"/>
                <w:sz w:val="24"/>
                <w:szCs w:val="24"/>
              </w:rPr>
              <w:t>Economía</w:t>
            </w:r>
          </w:p>
        </w:tc>
        <w:tc>
          <w:tcPr>
            <w:tcW w:w="3537" w:type="dxa"/>
          </w:tcPr>
          <w:p>
            <w:pPr>
              <w:jc w:val="center"/>
              <w:rPr>
                <w:rFonts w:ascii="Arial" w:hAnsi="Arial" w:cs="Arial"/>
                <w:sz w:val="24"/>
                <w:szCs w:val="24"/>
              </w:rPr>
            </w:pPr>
            <w:r>
              <w:rPr>
                <w:rFonts w:ascii="Arial" w:hAnsi="Arial" w:cs="Arial"/>
                <w:sz w:val="24"/>
                <w:szCs w:val="24"/>
              </w:rPr>
              <w:t>1</w:t>
            </w:r>
          </w:p>
        </w:tc>
      </w:tr>
      <w:tr>
        <w:tc>
          <w:tcPr>
            <w:tcW w:w="4957" w:type="dxa"/>
          </w:tcPr>
          <w:p>
            <w:pPr>
              <w:rPr>
                <w:rFonts w:ascii="Arial" w:hAnsi="Arial" w:cs="Arial"/>
                <w:sz w:val="24"/>
                <w:szCs w:val="24"/>
              </w:rPr>
            </w:pPr>
            <w:r>
              <w:rPr>
                <w:rFonts w:ascii="Arial" w:hAnsi="Arial" w:cs="Arial"/>
                <w:sz w:val="24"/>
                <w:szCs w:val="24"/>
              </w:rPr>
              <w:t>Enfermería</w:t>
            </w:r>
          </w:p>
        </w:tc>
        <w:tc>
          <w:tcPr>
            <w:tcW w:w="3537" w:type="dxa"/>
          </w:tcPr>
          <w:p>
            <w:pPr>
              <w:jc w:val="center"/>
              <w:rPr>
                <w:rFonts w:ascii="Arial" w:hAnsi="Arial" w:cs="Arial"/>
                <w:sz w:val="24"/>
                <w:szCs w:val="24"/>
              </w:rPr>
            </w:pPr>
            <w:r>
              <w:rPr>
                <w:rFonts w:ascii="Arial" w:hAnsi="Arial" w:cs="Arial"/>
                <w:sz w:val="24"/>
                <w:szCs w:val="24"/>
              </w:rPr>
              <w:t>1</w:t>
            </w:r>
          </w:p>
        </w:tc>
      </w:tr>
      <w:tr>
        <w:tc>
          <w:tcPr>
            <w:tcW w:w="4957" w:type="dxa"/>
          </w:tcPr>
          <w:p>
            <w:pPr>
              <w:rPr>
                <w:rFonts w:ascii="Arial" w:hAnsi="Arial" w:cs="Arial"/>
                <w:sz w:val="24"/>
                <w:szCs w:val="24"/>
              </w:rPr>
            </w:pPr>
            <w:r>
              <w:rPr>
                <w:rFonts w:ascii="Arial" w:hAnsi="Arial" w:cs="Arial"/>
                <w:sz w:val="24"/>
                <w:szCs w:val="24"/>
              </w:rPr>
              <w:t xml:space="preserve">Trabajo Social </w:t>
            </w:r>
          </w:p>
        </w:tc>
        <w:tc>
          <w:tcPr>
            <w:tcW w:w="3537" w:type="dxa"/>
          </w:tcPr>
          <w:p>
            <w:pPr>
              <w:jc w:val="center"/>
              <w:rPr>
                <w:rFonts w:ascii="Arial" w:hAnsi="Arial" w:cs="Arial"/>
                <w:sz w:val="24"/>
                <w:szCs w:val="24"/>
              </w:rPr>
            </w:pPr>
            <w:r>
              <w:rPr>
                <w:rFonts w:ascii="Arial" w:hAnsi="Arial" w:cs="Arial"/>
                <w:sz w:val="24"/>
                <w:szCs w:val="24"/>
              </w:rPr>
              <w:t>1</w:t>
            </w:r>
          </w:p>
        </w:tc>
      </w:tr>
      <w:tr>
        <w:tc>
          <w:tcPr>
            <w:tcW w:w="4957" w:type="dxa"/>
          </w:tcPr>
          <w:p>
            <w:pPr>
              <w:rPr>
                <w:rFonts w:ascii="Arial" w:hAnsi="Arial" w:cs="Arial"/>
                <w:sz w:val="24"/>
                <w:szCs w:val="24"/>
              </w:rPr>
            </w:pPr>
            <w:r>
              <w:rPr>
                <w:rFonts w:ascii="Arial" w:hAnsi="Arial" w:cs="Arial"/>
                <w:sz w:val="24"/>
                <w:szCs w:val="24"/>
              </w:rPr>
              <w:t xml:space="preserve">Administrativa </w:t>
            </w:r>
          </w:p>
        </w:tc>
        <w:tc>
          <w:tcPr>
            <w:tcW w:w="3537" w:type="dxa"/>
          </w:tcPr>
          <w:p>
            <w:pPr>
              <w:jc w:val="center"/>
              <w:rPr>
                <w:rFonts w:ascii="Arial" w:hAnsi="Arial" w:cs="Arial"/>
                <w:sz w:val="24"/>
                <w:szCs w:val="24"/>
              </w:rPr>
            </w:pPr>
            <w:r>
              <w:rPr>
                <w:rFonts w:ascii="Arial" w:hAnsi="Arial" w:cs="Arial"/>
                <w:sz w:val="24"/>
                <w:szCs w:val="24"/>
              </w:rPr>
              <w:t>1</w:t>
            </w:r>
          </w:p>
        </w:tc>
      </w:tr>
      <w:tr>
        <w:tc>
          <w:tcPr>
            <w:tcW w:w="4957" w:type="dxa"/>
          </w:tcPr>
          <w:p>
            <w:pPr>
              <w:rPr>
                <w:rFonts w:ascii="Arial" w:hAnsi="Arial" w:cs="Arial"/>
                <w:sz w:val="24"/>
                <w:szCs w:val="24"/>
              </w:rPr>
            </w:pPr>
            <w:r>
              <w:rPr>
                <w:rFonts w:ascii="Arial" w:hAnsi="Arial" w:cs="Arial"/>
                <w:sz w:val="24"/>
                <w:szCs w:val="24"/>
              </w:rPr>
              <w:t>Auxiliar de Intérprete</w:t>
            </w:r>
          </w:p>
        </w:tc>
        <w:tc>
          <w:tcPr>
            <w:tcW w:w="3537" w:type="dxa"/>
          </w:tcPr>
          <w:p>
            <w:pPr>
              <w:jc w:val="center"/>
              <w:rPr>
                <w:rFonts w:ascii="Arial" w:hAnsi="Arial" w:cs="Arial"/>
                <w:sz w:val="24"/>
                <w:szCs w:val="24"/>
              </w:rPr>
            </w:pPr>
            <w:r>
              <w:rPr>
                <w:rFonts w:ascii="Arial" w:hAnsi="Arial" w:cs="Arial"/>
                <w:sz w:val="24"/>
                <w:szCs w:val="24"/>
              </w:rPr>
              <w:t>1</w:t>
            </w:r>
          </w:p>
        </w:tc>
      </w:tr>
      <w:tr>
        <w:tc>
          <w:tcPr>
            <w:tcW w:w="4957" w:type="dxa"/>
          </w:tcPr>
          <w:p>
            <w:pPr>
              <w:rPr>
                <w:rFonts w:ascii="Arial" w:hAnsi="Arial" w:cs="Arial"/>
                <w:sz w:val="24"/>
                <w:szCs w:val="24"/>
              </w:rPr>
            </w:pPr>
            <w:r>
              <w:rPr>
                <w:rFonts w:ascii="Arial" w:hAnsi="Arial" w:cs="Arial"/>
                <w:sz w:val="24"/>
                <w:szCs w:val="24"/>
              </w:rPr>
              <w:t>Psicología</w:t>
            </w:r>
          </w:p>
        </w:tc>
        <w:tc>
          <w:tcPr>
            <w:tcW w:w="3537" w:type="dxa"/>
          </w:tcPr>
          <w:p>
            <w:pPr>
              <w:jc w:val="center"/>
              <w:rPr>
                <w:rFonts w:ascii="Arial" w:hAnsi="Arial" w:cs="Arial"/>
                <w:sz w:val="24"/>
                <w:szCs w:val="24"/>
              </w:rPr>
            </w:pPr>
            <w:r>
              <w:rPr>
                <w:rFonts w:ascii="Arial" w:hAnsi="Arial" w:cs="Arial"/>
                <w:sz w:val="24"/>
                <w:szCs w:val="24"/>
              </w:rPr>
              <w:t>1</w:t>
            </w:r>
          </w:p>
        </w:tc>
      </w:tr>
      <w:tr>
        <w:tc>
          <w:tcPr>
            <w:tcW w:w="4957" w:type="dxa"/>
          </w:tcPr>
          <w:p>
            <w:pPr>
              <w:rPr>
                <w:rFonts w:ascii="Arial" w:hAnsi="Arial" w:cs="Arial"/>
                <w:b/>
                <w:sz w:val="24"/>
                <w:szCs w:val="24"/>
              </w:rPr>
            </w:pPr>
            <w:r>
              <w:rPr>
                <w:rFonts w:ascii="Arial" w:hAnsi="Arial" w:cs="Arial"/>
                <w:b/>
                <w:sz w:val="24"/>
                <w:szCs w:val="24"/>
              </w:rPr>
              <w:t>TOTAL PERSONAS VOLUNTARIAS</w:t>
            </w:r>
          </w:p>
        </w:tc>
        <w:tc>
          <w:tcPr>
            <w:tcW w:w="3537" w:type="dxa"/>
          </w:tcPr>
          <w:p>
            <w:pPr>
              <w:jc w:val="center"/>
              <w:rPr>
                <w:rFonts w:ascii="Arial" w:hAnsi="Arial" w:cs="Arial"/>
                <w:b/>
                <w:sz w:val="24"/>
                <w:szCs w:val="24"/>
              </w:rPr>
            </w:pPr>
            <w:r>
              <w:rPr>
                <w:rFonts w:ascii="Arial" w:hAnsi="Arial" w:cs="Arial"/>
                <w:b/>
                <w:sz w:val="24"/>
                <w:szCs w:val="24"/>
              </w:rPr>
              <w:t>22</w:t>
            </w:r>
          </w:p>
        </w:tc>
      </w:tr>
    </w:tbl>
    <w:p>
      <w:pPr>
        <w:spacing w:line="360" w:lineRule="auto"/>
        <w:jc w:val="both"/>
        <w:rPr>
          <w:rFonts w:ascii="Arial" w:eastAsia="Times New Roman" w:hAnsi="Arial" w:cs="Arial"/>
          <w:kern w:val="1"/>
          <w:sz w:val="24"/>
          <w:szCs w:val="24"/>
          <w:lang w:eastAsia="zh-CN"/>
        </w:rPr>
      </w:pPr>
    </w:p>
    <w:p>
      <w:pPr>
        <w:spacing w:line="360" w:lineRule="auto"/>
        <w:jc w:val="both"/>
        <w:rPr>
          <w:rFonts w:ascii="Arial" w:eastAsia="Times New Roman" w:hAnsi="Arial" w:cs="Arial"/>
          <w:kern w:val="1"/>
          <w:sz w:val="24"/>
          <w:szCs w:val="24"/>
          <w:lang w:eastAsia="zh-CN"/>
        </w:rPr>
      </w:pPr>
      <w:r>
        <w:rPr>
          <w:rFonts w:ascii="Arial" w:eastAsia="Times New Roman" w:hAnsi="Arial" w:cs="Arial"/>
          <w:kern w:val="1"/>
          <w:sz w:val="24"/>
          <w:szCs w:val="24"/>
          <w:lang w:eastAsia="zh-CN"/>
        </w:rPr>
        <w:t>En la realización del proyecto ha sido fundamental la colaboración de otras tres religiosas de la Comunidad Oblatas en Las Palmas conjuntamente con personal voluntario/a compuesto por un total de 22 personas, las cuales han realizado fundamentalmente apoyo educativo en la Casa, actividades de gestión, apoyo en oficinas, acompañamientos, formación y/o talleres educativos, de educación para la salud, realización de compra semanal, mantenimiento de infraestructuras, etc.</w:t>
      </w:r>
    </w:p>
    <w:p>
      <w:pPr>
        <w:shd w:val="clear" w:color="auto" w:fill="B2A1C7" w:themeFill="accent4" w:themeFillTint="99"/>
        <w:jc w:val="both"/>
        <w:rPr>
          <w:rFonts w:ascii="Arial" w:hAnsi="Arial" w:cs="Arial"/>
          <w:b/>
          <w:sz w:val="24"/>
          <w:szCs w:val="24"/>
        </w:rPr>
      </w:pPr>
      <w:r>
        <w:rPr>
          <w:rFonts w:ascii="Arial" w:hAnsi="Arial" w:cs="Arial"/>
          <w:b/>
          <w:sz w:val="24"/>
          <w:szCs w:val="24"/>
        </w:rPr>
        <w:lastRenderedPageBreak/>
        <w:t>2.7.- RECURSOS MATERIALES:</w:t>
      </w:r>
    </w:p>
    <w:p>
      <w:pPr>
        <w:autoSpaceDE w:val="0"/>
        <w:autoSpaceDN w:val="0"/>
        <w:adjustRightInd w:val="0"/>
        <w:spacing w:after="0" w:line="360" w:lineRule="auto"/>
        <w:ind w:right="260"/>
        <w:jc w:val="both"/>
        <w:rPr>
          <w:rFonts w:ascii="Arial" w:eastAsia="Times New Roman" w:hAnsi="Arial" w:cs="Arial"/>
          <w:color w:val="000000"/>
          <w:sz w:val="24"/>
          <w:szCs w:val="24"/>
          <w:lang w:eastAsia="es-ES"/>
        </w:rPr>
      </w:pPr>
    </w:p>
    <w:p>
      <w:pPr>
        <w:autoSpaceDE w:val="0"/>
        <w:autoSpaceDN w:val="0"/>
        <w:adjustRightInd w:val="0"/>
        <w:spacing w:after="0" w:line="360" w:lineRule="auto"/>
        <w:ind w:right="260"/>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Para el desarrollo del proyecto se ha contado con la siguiente infraestructura:</w:t>
      </w:r>
    </w:p>
    <w:p>
      <w:pPr>
        <w:autoSpaceDE w:val="0"/>
        <w:autoSpaceDN w:val="0"/>
        <w:adjustRightInd w:val="0"/>
        <w:spacing w:after="0" w:line="360" w:lineRule="auto"/>
        <w:jc w:val="both"/>
        <w:rPr>
          <w:rFonts w:ascii="Arial" w:eastAsia="Times New Roman" w:hAnsi="Arial" w:cs="Arial"/>
          <w:sz w:val="24"/>
          <w:szCs w:val="24"/>
          <w:lang w:eastAsia="es-ES"/>
        </w:rPr>
      </w:pPr>
      <w:r>
        <w:rPr>
          <w:rFonts w:ascii="Arial" w:eastAsia="Times New Roman" w:hAnsi="Arial" w:cs="Arial"/>
          <w:b/>
          <w:sz w:val="24"/>
          <w:szCs w:val="24"/>
          <w:u w:val="single"/>
          <w:lang w:eastAsia="es-ES"/>
        </w:rPr>
        <w:t>Una vivienda de tres plantas</w:t>
      </w:r>
      <w:r>
        <w:rPr>
          <w:rFonts w:ascii="Arial" w:eastAsia="Times New Roman" w:hAnsi="Arial" w:cs="Arial"/>
          <w:sz w:val="24"/>
          <w:szCs w:val="24"/>
          <w:lang w:eastAsia="es-ES"/>
        </w:rPr>
        <w:t xml:space="preserve"> en régimen de cesión y con una capacidad alojativa de 15 plazas.</w:t>
      </w:r>
    </w:p>
    <w:p>
      <w:pPr>
        <w:autoSpaceDE w:val="0"/>
        <w:autoSpaceDN w:val="0"/>
        <w:adjustRightInd w:val="0"/>
        <w:spacing w:after="0" w:line="360" w:lineRule="auto"/>
        <w:jc w:val="both"/>
        <w:rPr>
          <w:rFonts w:ascii="Arial" w:eastAsia="Times New Roman" w:hAnsi="Arial" w:cs="Arial"/>
          <w:sz w:val="24"/>
          <w:szCs w:val="24"/>
          <w:lang w:eastAsia="es-ES"/>
        </w:rPr>
      </w:pPr>
    </w:p>
    <w:p>
      <w:pPr>
        <w:autoSpaceDE w:val="0"/>
        <w:autoSpaceDN w:val="0"/>
        <w:adjustRightInd w:val="0"/>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Consta de 3 plantas y está distribuida de la siguiente manera:</w:t>
      </w:r>
    </w:p>
    <w:p>
      <w:pPr>
        <w:autoSpaceDE w:val="0"/>
        <w:autoSpaceDN w:val="0"/>
        <w:adjustRightInd w:val="0"/>
        <w:spacing w:after="0" w:line="360" w:lineRule="auto"/>
        <w:jc w:val="both"/>
        <w:rPr>
          <w:rFonts w:ascii="Arial" w:eastAsia="Times New Roman" w:hAnsi="Arial" w:cs="Arial"/>
          <w:sz w:val="24"/>
          <w:szCs w:val="24"/>
          <w:lang w:eastAsia="es-ES"/>
        </w:rPr>
      </w:pPr>
    </w:p>
    <w:p>
      <w:pPr>
        <w:pStyle w:val="Prrafodelista"/>
        <w:numPr>
          <w:ilvl w:val="0"/>
          <w:numId w:val="138"/>
        </w:numPr>
        <w:autoSpaceDE w:val="0"/>
        <w:autoSpaceDN w:val="0"/>
        <w:adjustRightInd w:val="0"/>
        <w:spacing w:after="0" w:line="360" w:lineRule="auto"/>
        <w:jc w:val="both"/>
        <w:rPr>
          <w:rFonts w:ascii="Arial" w:eastAsia="Times New Roman" w:hAnsi="Arial" w:cs="Arial"/>
          <w:sz w:val="24"/>
          <w:szCs w:val="24"/>
          <w:lang w:eastAsia="es-ES"/>
        </w:rPr>
      </w:pPr>
      <w:r>
        <w:rPr>
          <w:rFonts w:ascii="Arial" w:eastAsia="Times New Roman" w:hAnsi="Arial" w:cs="Arial"/>
          <w:sz w:val="24"/>
          <w:szCs w:val="24"/>
          <w:u w:val="single"/>
          <w:lang w:eastAsia="es-ES"/>
        </w:rPr>
        <w:t>1ª Planta</w:t>
      </w:r>
      <w:r>
        <w:rPr>
          <w:rFonts w:ascii="Arial" w:eastAsia="Times New Roman" w:hAnsi="Arial" w:cs="Arial"/>
          <w:sz w:val="24"/>
          <w:szCs w:val="24"/>
          <w:lang w:eastAsia="es-ES"/>
        </w:rPr>
        <w:t>: Salón-comedor / Sala polivalente/ Habitación /Cocina equipada/Dos baños completos/ Porche / Despensa/ Cuarto trastero.</w:t>
      </w:r>
    </w:p>
    <w:p>
      <w:pPr>
        <w:pStyle w:val="Prrafodelista"/>
        <w:numPr>
          <w:ilvl w:val="0"/>
          <w:numId w:val="138"/>
        </w:numPr>
        <w:autoSpaceDE w:val="0"/>
        <w:autoSpaceDN w:val="0"/>
        <w:adjustRightInd w:val="0"/>
        <w:spacing w:after="0" w:line="360" w:lineRule="auto"/>
        <w:jc w:val="both"/>
        <w:rPr>
          <w:rFonts w:ascii="Arial" w:eastAsia="Times New Roman" w:hAnsi="Arial" w:cs="Arial"/>
          <w:sz w:val="24"/>
          <w:szCs w:val="24"/>
          <w:lang w:eastAsia="es-ES"/>
        </w:rPr>
      </w:pPr>
      <w:r>
        <w:rPr>
          <w:rFonts w:ascii="Arial" w:eastAsia="Times New Roman" w:hAnsi="Arial" w:cs="Arial"/>
          <w:sz w:val="24"/>
          <w:szCs w:val="24"/>
          <w:u w:val="single"/>
          <w:lang w:eastAsia="es-ES"/>
        </w:rPr>
        <w:t>2ª Planta</w:t>
      </w:r>
      <w:r>
        <w:rPr>
          <w:rFonts w:ascii="Arial" w:eastAsia="Times New Roman" w:hAnsi="Arial" w:cs="Arial"/>
          <w:sz w:val="24"/>
          <w:szCs w:val="24"/>
          <w:lang w:eastAsia="es-ES"/>
        </w:rPr>
        <w:t>: Cinco habitaciones /Dos Baños completos /Terraza multiusos.</w:t>
      </w:r>
    </w:p>
    <w:p>
      <w:pPr>
        <w:pStyle w:val="Prrafodelista"/>
        <w:numPr>
          <w:ilvl w:val="0"/>
          <w:numId w:val="138"/>
        </w:numPr>
        <w:autoSpaceDE w:val="0"/>
        <w:autoSpaceDN w:val="0"/>
        <w:adjustRightInd w:val="0"/>
        <w:spacing w:after="0" w:line="360" w:lineRule="auto"/>
        <w:jc w:val="both"/>
        <w:rPr>
          <w:rFonts w:ascii="Arial" w:eastAsia="Times New Roman" w:hAnsi="Arial" w:cs="Arial"/>
          <w:sz w:val="24"/>
          <w:szCs w:val="24"/>
          <w:lang w:eastAsia="es-ES"/>
        </w:rPr>
      </w:pPr>
      <w:r>
        <w:rPr>
          <w:rFonts w:ascii="Arial" w:eastAsia="Times New Roman" w:hAnsi="Arial" w:cs="Arial"/>
          <w:sz w:val="24"/>
          <w:szCs w:val="24"/>
          <w:u w:val="single"/>
          <w:lang w:eastAsia="es-ES"/>
        </w:rPr>
        <w:t>3ª Planta</w:t>
      </w:r>
      <w:r>
        <w:rPr>
          <w:rFonts w:ascii="Arial" w:eastAsia="Times New Roman" w:hAnsi="Arial" w:cs="Arial"/>
          <w:sz w:val="24"/>
          <w:szCs w:val="24"/>
          <w:lang w:eastAsia="es-ES"/>
        </w:rPr>
        <w:t>: Tres habitaciones /Baño, zona de lavandería y terraza.</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Además, la casa dispone de un terreno en la parte trasera de la vivienda la cual se utiliza como huerto.</w:t>
      </w:r>
    </w:p>
    <w:p>
      <w:pPr>
        <w:autoSpaceDE w:val="0"/>
        <w:autoSpaceDN w:val="0"/>
        <w:adjustRightInd w:val="0"/>
        <w:spacing w:after="0" w:line="360" w:lineRule="auto"/>
        <w:jc w:val="both"/>
        <w:rPr>
          <w:rFonts w:ascii="Arial" w:eastAsia="Times New Roman" w:hAnsi="Arial" w:cs="Arial"/>
          <w:color w:val="000000"/>
          <w:sz w:val="24"/>
          <w:szCs w:val="24"/>
          <w:u w:val="single"/>
          <w:lang w:eastAsia="es-ES"/>
        </w:rPr>
      </w:pPr>
    </w:p>
    <w:p>
      <w:pPr>
        <w:autoSpaceDE w:val="0"/>
        <w:autoSpaceDN w:val="0"/>
        <w:adjustRightInd w:val="0"/>
        <w:spacing w:after="0" w:line="360" w:lineRule="auto"/>
        <w:jc w:val="both"/>
        <w:rPr>
          <w:rFonts w:ascii="Arial" w:eastAsia="Times New Roman" w:hAnsi="Arial" w:cs="Arial"/>
          <w:color w:val="000000"/>
          <w:sz w:val="24"/>
          <w:szCs w:val="24"/>
          <w:u w:val="single"/>
          <w:lang w:eastAsia="es-ES"/>
        </w:rPr>
      </w:pPr>
      <w:r>
        <w:rPr>
          <w:rFonts w:ascii="Arial" w:eastAsia="Times New Roman" w:hAnsi="Arial" w:cs="Arial"/>
          <w:color w:val="000000"/>
          <w:sz w:val="24"/>
          <w:szCs w:val="24"/>
          <w:u w:val="single"/>
          <w:lang w:eastAsia="es-ES"/>
        </w:rPr>
        <w:t>Materiales y equipamiento de la Casa de Acogida:</w:t>
      </w:r>
    </w:p>
    <w:p>
      <w:pPr>
        <w:autoSpaceDE w:val="0"/>
        <w:autoSpaceDN w:val="0"/>
        <w:adjustRightInd w:val="0"/>
        <w:spacing w:after="0" w:line="360" w:lineRule="auto"/>
        <w:jc w:val="both"/>
        <w:rPr>
          <w:rFonts w:ascii="Arial" w:eastAsia="Times New Roman" w:hAnsi="Arial" w:cs="Arial"/>
          <w:color w:val="000000"/>
          <w:sz w:val="24"/>
          <w:szCs w:val="24"/>
          <w:u w:val="single"/>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5 ordenadores, 1 impresora-escáner-fotocopiadora, 1 línea de teléfono e internet, 1 televisor, 1 DVD, 1 aparato de música, 1 cocina  , 1 horno, 1 microondas, 1 lavavajillas semi-industrial, 2 sofás grandes de salón, 1 depuradora de agua, 2 frigoríficos, 1 congelador vertical, 1 arcón congelador, 1 lavadora, 1 secadora,     17 camas, 17 colchones, 2 cunas, 14 armarios para ropa, 14 mesillas, 1 mesa grande plegable, 1 mesa de comedor, 1 mesa auxiliar plegable de comedor, 1 aparador comedor, 8 sillas de comedor, 10 sillas plegables, 1 mueble de salón.</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Además, se dispone de: material fungible y de oficina, libros de consulta y lectura, vajilla, menaje e instrumentos de cocina, lencería de hogar, productos de alimentación, higiene personal y limpieza.          </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                 </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 xml:space="preserve">Por otro lado, se tiene habilitado otro espacio, configurado como </w:t>
      </w:r>
      <w:r>
        <w:rPr>
          <w:rFonts w:ascii="Arial" w:eastAsia="Times New Roman" w:hAnsi="Arial" w:cs="Arial"/>
          <w:b/>
          <w:color w:val="000000"/>
          <w:sz w:val="24"/>
          <w:szCs w:val="24"/>
          <w:u w:val="single"/>
          <w:lang w:eastAsia="es-ES"/>
        </w:rPr>
        <w:t>Oficinas de atención integral</w:t>
      </w:r>
      <w:r>
        <w:rPr>
          <w:rFonts w:ascii="Arial" w:eastAsia="Times New Roman" w:hAnsi="Arial" w:cs="Arial"/>
          <w:color w:val="000000"/>
          <w:sz w:val="24"/>
          <w:szCs w:val="24"/>
          <w:lang w:eastAsia="es-ES"/>
        </w:rPr>
        <w:t>, en régimen de alquiler, donde están situados los despachos para la coordinación del Programa y la atención integral de las mujeres beneficiarias del proyecto.</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Está distribuido de la siguiente manera:</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u w:val="single"/>
          <w:lang w:val="es-ES_tradnl" w:eastAsia="es-ES"/>
        </w:rPr>
      </w:pPr>
      <w:r>
        <w:rPr>
          <w:rFonts w:ascii="Arial" w:eastAsia="Times New Roman" w:hAnsi="Arial" w:cs="Arial"/>
          <w:color w:val="000000"/>
          <w:sz w:val="24"/>
          <w:szCs w:val="24"/>
          <w:u w:val="single"/>
          <w:lang w:val="es-ES_tradnl" w:eastAsia="es-ES"/>
        </w:rPr>
        <w:t>Infraestructura de las oficinas de atención integral:</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-Seis despachos</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-Sala recibidor</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-Sala de atención infantil</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-Dos salas polivalentes</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-Tres baños completos </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-Una cocina   </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u w:val="single"/>
          <w:lang w:val="es-ES_tradnl" w:eastAsia="es-ES"/>
        </w:rPr>
      </w:pPr>
      <w:r>
        <w:rPr>
          <w:rFonts w:ascii="Arial" w:eastAsia="Times New Roman" w:hAnsi="Arial" w:cs="Arial"/>
          <w:color w:val="000000"/>
          <w:sz w:val="24"/>
          <w:szCs w:val="24"/>
          <w:u w:val="single"/>
          <w:lang w:val="es-ES_tradnl" w:eastAsia="es-ES"/>
        </w:rPr>
        <w:t>Materiales y equipamiento de las oficinas para la atención integral:</w:t>
      </w:r>
    </w:p>
    <w:p>
      <w:pPr>
        <w:autoSpaceDE w:val="0"/>
        <w:autoSpaceDN w:val="0"/>
        <w:adjustRightInd w:val="0"/>
        <w:spacing w:after="0" w:line="360" w:lineRule="auto"/>
        <w:jc w:val="both"/>
        <w:rPr>
          <w:rFonts w:ascii="Arial" w:eastAsia="Times New Roman" w:hAnsi="Arial" w:cs="Arial"/>
          <w:color w:val="000000"/>
          <w:sz w:val="24"/>
          <w:szCs w:val="24"/>
          <w:u w:val="single"/>
          <w:lang w:val="es-ES_tradnl"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Diez mesas de despacho, una mesa para acogida, cinco cajoneras, tres archivadores, diez sillas de despacho, catorce sillas de confidente, cinco armarios de despacho, un sofá, treinta sillas plegables, una nevera-office, un microondas, dos mesas grandes plegables, mobiliario infantil, ocho ordenadores de sobremesa, cuatro ordenadores portátiles, un retroproyector, una fotocopiadora-impresora-escáner, nueve teléfonos, material fungible, internet y dos líneas de teléfono.</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ind w:right="260"/>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También se cuenta con otra vivienda en régimen de cesión destinada a aquellas mujeres que terminan su proceso en el proyecto, pero precisan de un apoyo alojativo adicional por problemas económicos fundamentalmente, a esta vivienda se le denomina </w:t>
      </w:r>
      <w:r>
        <w:rPr>
          <w:rFonts w:ascii="Arial" w:eastAsia="Times New Roman" w:hAnsi="Arial" w:cs="Arial"/>
          <w:b/>
          <w:color w:val="000000"/>
          <w:sz w:val="24"/>
          <w:szCs w:val="24"/>
          <w:u w:val="single"/>
          <w:lang w:eastAsia="es-ES"/>
        </w:rPr>
        <w:t>Piso de Autonomía</w:t>
      </w:r>
      <w:r>
        <w:rPr>
          <w:rFonts w:ascii="Arial" w:eastAsia="Times New Roman" w:hAnsi="Arial" w:cs="Arial"/>
          <w:color w:val="000000"/>
          <w:sz w:val="24"/>
          <w:szCs w:val="24"/>
          <w:lang w:eastAsia="es-ES"/>
        </w:rPr>
        <w:t xml:space="preserve"> y dispone de cuatro plazas.</w:t>
      </w:r>
    </w:p>
    <w:p>
      <w:pPr>
        <w:autoSpaceDE w:val="0"/>
        <w:autoSpaceDN w:val="0"/>
        <w:adjustRightInd w:val="0"/>
        <w:spacing w:after="0" w:line="360" w:lineRule="auto"/>
        <w:ind w:right="260"/>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Consta de la siguiente distribución: sala de estar, cocina, baño, cuatro dormitorios, azotea-terraza, cuarto de lavandería y cuarto trastero.</w:t>
      </w:r>
    </w:p>
    <w:p>
      <w:pPr>
        <w:autoSpaceDE w:val="0"/>
        <w:autoSpaceDN w:val="0"/>
        <w:adjustRightInd w:val="0"/>
        <w:spacing w:after="0" w:line="360" w:lineRule="auto"/>
        <w:jc w:val="both"/>
        <w:rPr>
          <w:rFonts w:ascii="Arial" w:eastAsia="Times New Roman" w:hAnsi="Arial" w:cs="Arial"/>
          <w:color w:val="000000"/>
          <w:sz w:val="24"/>
          <w:szCs w:val="24"/>
          <w:lang w:eastAsia="es-ES"/>
        </w:rPr>
      </w:pP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Además, la entidad cuenta con </w:t>
      </w:r>
      <w:r>
        <w:rPr>
          <w:rFonts w:ascii="Arial" w:eastAsia="Times New Roman" w:hAnsi="Arial" w:cs="Arial"/>
          <w:b/>
          <w:color w:val="000000"/>
          <w:sz w:val="24"/>
          <w:szCs w:val="24"/>
          <w:u w:val="single"/>
          <w:lang w:eastAsia="es-ES"/>
        </w:rPr>
        <w:t>un vehículo</w:t>
      </w:r>
      <w:r>
        <w:rPr>
          <w:rFonts w:ascii="Arial" w:eastAsia="Times New Roman" w:hAnsi="Arial" w:cs="Arial"/>
          <w:color w:val="000000"/>
          <w:sz w:val="24"/>
          <w:szCs w:val="24"/>
          <w:lang w:eastAsia="es-ES"/>
        </w:rPr>
        <w:t xml:space="preserve"> para el uso por parte del proyecto “Programa de Atención a la Mujer. Casa de Acogida Daniela” cuando sea preciso.</w:t>
      </w:r>
    </w:p>
    <w:p>
      <w:pPr>
        <w:autoSpaceDE w:val="0"/>
        <w:autoSpaceDN w:val="0"/>
        <w:adjustRightInd w:val="0"/>
        <w:spacing w:after="0"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Señalar que también se cuenta con línea de </w:t>
      </w:r>
      <w:r>
        <w:rPr>
          <w:rFonts w:ascii="Arial" w:eastAsia="Times New Roman" w:hAnsi="Arial" w:cs="Arial"/>
          <w:b/>
          <w:sz w:val="24"/>
          <w:szCs w:val="24"/>
          <w:u w:val="single"/>
          <w:lang w:eastAsia="es-ES"/>
        </w:rPr>
        <w:t>teléfono de emergencia con disponibilidad 24 horas</w:t>
      </w:r>
      <w:r>
        <w:rPr>
          <w:rFonts w:ascii="Arial" w:eastAsia="Times New Roman" w:hAnsi="Arial" w:cs="Arial"/>
          <w:color w:val="000000"/>
          <w:sz w:val="24"/>
          <w:szCs w:val="24"/>
          <w:lang w:eastAsia="es-ES"/>
        </w:rPr>
        <w:t>.</w:t>
      </w:r>
    </w:p>
    <w:p>
      <w:pPr>
        <w:spacing w:after="0"/>
        <w:jc w:val="both"/>
        <w:rPr>
          <w:rFonts w:ascii="Arial" w:hAnsi="Arial" w:cs="Arial"/>
          <w:sz w:val="24"/>
          <w:szCs w:val="24"/>
        </w:rPr>
      </w:pPr>
    </w:p>
    <w:p>
      <w:pPr>
        <w:shd w:val="clear" w:color="auto" w:fill="4F81BD" w:themeFill="accent1"/>
        <w:jc w:val="center"/>
        <w:outlineLvl w:val="0"/>
        <w:rPr>
          <w:rFonts w:ascii="Arial" w:hAnsi="Arial" w:cs="Arial"/>
          <w:b/>
          <w:color w:val="FFFFFF"/>
          <w:sz w:val="24"/>
          <w:szCs w:val="24"/>
        </w:rPr>
      </w:pPr>
      <w:r>
        <w:rPr>
          <w:rFonts w:ascii="Arial" w:hAnsi="Arial" w:cs="Arial"/>
          <w:b/>
          <w:color w:val="FFFFFF"/>
          <w:sz w:val="24"/>
          <w:szCs w:val="24"/>
        </w:rPr>
        <w:t>AREA SOCIAL</w:t>
      </w:r>
    </w:p>
    <w:p>
      <w:pPr>
        <w:jc w:val="both"/>
        <w:rPr>
          <w:rFonts w:ascii="Arial" w:hAnsi="Arial" w:cs="Arial"/>
          <w:sz w:val="24"/>
          <w:szCs w:val="24"/>
        </w:rPr>
      </w:pPr>
    </w:p>
    <w:p>
      <w:pPr>
        <w:widowControl w:val="0"/>
        <w:shd w:val="clear" w:color="auto" w:fill="B2A1C7" w:themeFill="accent4" w:themeFillTint="99"/>
        <w:tabs>
          <w:tab w:val="left" w:pos="1080"/>
        </w:tabs>
        <w:spacing w:after="0" w:line="360" w:lineRule="auto"/>
        <w:jc w:val="both"/>
        <w:outlineLvl w:val="0"/>
        <w:rPr>
          <w:rFonts w:ascii="Arial" w:hAnsi="Arial" w:cs="Arial"/>
          <w:b/>
          <w:sz w:val="24"/>
          <w:szCs w:val="24"/>
        </w:rPr>
      </w:pPr>
      <w:r>
        <w:rPr>
          <w:rFonts w:ascii="Arial" w:hAnsi="Arial" w:cs="Arial"/>
          <w:b/>
          <w:sz w:val="24"/>
          <w:szCs w:val="24"/>
        </w:rPr>
        <w:t>A. OBJETIVO GENERAL:</w:t>
      </w:r>
    </w:p>
    <w:p>
      <w:pPr>
        <w:spacing w:after="0" w:line="360" w:lineRule="auto"/>
        <w:ind w:left="426"/>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Ofrecer a las mujeres una atención integral centrada en la persona y en la búsqueda de soluciones desarrollada mediante el recurso residencial de casa de acogida, f</w:t>
      </w:r>
      <w:r>
        <w:rPr>
          <w:rFonts w:ascii="Arial" w:hAnsi="Arial" w:cs="Arial"/>
          <w:bCs/>
          <w:sz w:val="24"/>
          <w:szCs w:val="24"/>
        </w:rPr>
        <w:t>avoreciendo procesos de restablecimiento, ofreciendo desde el ámbito social un espacio de aceptación y reconocimiento de su valor como persona.</w:t>
      </w:r>
    </w:p>
    <w:p>
      <w:pPr>
        <w:autoSpaceDE w:val="0"/>
        <w:autoSpaceDN w:val="0"/>
        <w:adjustRightInd w:val="0"/>
        <w:spacing w:after="0" w:line="360" w:lineRule="auto"/>
        <w:ind w:left="786"/>
        <w:jc w:val="both"/>
        <w:rPr>
          <w:rFonts w:ascii="Arial" w:hAnsi="Arial" w:cs="Arial"/>
          <w:bCs/>
          <w:sz w:val="24"/>
          <w:szCs w:val="24"/>
        </w:rPr>
      </w:pPr>
    </w:p>
    <w:p>
      <w:pPr>
        <w:widowControl w:val="0"/>
        <w:shd w:val="clear" w:color="auto" w:fill="B2A1C7" w:themeFill="accent4" w:themeFillTint="99"/>
        <w:tabs>
          <w:tab w:val="left" w:pos="1080"/>
        </w:tabs>
        <w:spacing w:after="0" w:line="360" w:lineRule="auto"/>
        <w:jc w:val="both"/>
        <w:rPr>
          <w:rFonts w:ascii="Arial" w:eastAsia="Times New Roman" w:hAnsi="Arial" w:cs="Arial"/>
          <w:b/>
          <w:sz w:val="24"/>
          <w:szCs w:val="24"/>
        </w:rPr>
      </w:pPr>
      <w:r>
        <w:rPr>
          <w:rFonts w:ascii="Arial" w:hAnsi="Arial" w:cs="Arial"/>
          <w:b/>
          <w:sz w:val="24"/>
          <w:szCs w:val="24"/>
        </w:rPr>
        <w:t>B. OBJETIVOS ESPECÍFICOS:</w:t>
      </w:r>
    </w:p>
    <w:p>
      <w:pPr>
        <w:spacing w:after="0" w:line="360" w:lineRule="auto"/>
        <w:ind w:left="426"/>
        <w:jc w:val="both"/>
        <w:rPr>
          <w:rFonts w:ascii="Arial" w:eastAsia="Times New Roman" w:hAnsi="Arial" w:cs="Arial"/>
          <w:sz w:val="24"/>
          <w:szCs w:val="24"/>
        </w:rPr>
      </w:pPr>
    </w:p>
    <w:p>
      <w:pPr>
        <w:numPr>
          <w:ilvl w:val="0"/>
          <w:numId w:val="5"/>
        </w:numPr>
        <w:spacing w:line="360" w:lineRule="auto"/>
        <w:jc w:val="both"/>
        <w:rPr>
          <w:rFonts w:ascii="Arial" w:eastAsia="Times New Roman" w:hAnsi="Arial" w:cs="Arial"/>
          <w:sz w:val="24"/>
          <w:szCs w:val="24"/>
        </w:rPr>
      </w:pPr>
      <w:r>
        <w:rPr>
          <w:rFonts w:ascii="Arial" w:eastAsia="Times New Roman" w:hAnsi="Arial" w:cs="Arial"/>
          <w:sz w:val="24"/>
          <w:szCs w:val="24"/>
        </w:rPr>
        <w:t>Identificar y atender la problemática social de la mujer, prestando especial atención a las situaciones de prostitución y trata.</w:t>
      </w:r>
    </w:p>
    <w:p>
      <w:pPr>
        <w:numPr>
          <w:ilvl w:val="0"/>
          <w:numId w:val="5"/>
        </w:numPr>
        <w:spacing w:line="360" w:lineRule="auto"/>
        <w:jc w:val="both"/>
        <w:rPr>
          <w:rFonts w:ascii="Arial" w:eastAsia="Times New Roman" w:hAnsi="Arial" w:cs="Arial"/>
          <w:sz w:val="24"/>
          <w:szCs w:val="24"/>
        </w:rPr>
      </w:pPr>
      <w:r>
        <w:rPr>
          <w:rFonts w:ascii="Arial" w:eastAsia="Times New Roman" w:hAnsi="Arial" w:cs="Arial"/>
          <w:sz w:val="24"/>
          <w:szCs w:val="24"/>
        </w:rPr>
        <w:t xml:space="preserve"> Lograr una relación de empatía y confianza con la mujer que favorezca la comunicación y el acompañamiento en su proceso de mejora. </w:t>
      </w:r>
    </w:p>
    <w:p>
      <w:pPr>
        <w:numPr>
          <w:ilvl w:val="0"/>
          <w:numId w:val="5"/>
        </w:numPr>
        <w:spacing w:line="360" w:lineRule="auto"/>
        <w:jc w:val="both"/>
        <w:rPr>
          <w:rFonts w:ascii="Arial" w:eastAsia="Times New Roman" w:hAnsi="Arial" w:cs="Arial"/>
          <w:sz w:val="24"/>
          <w:szCs w:val="24"/>
        </w:rPr>
      </w:pPr>
      <w:r>
        <w:rPr>
          <w:rFonts w:ascii="Arial" w:eastAsia="Times New Roman" w:hAnsi="Arial" w:cs="Arial"/>
          <w:sz w:val="24"/>
          <w:szCs w:val="24"/>
        </w:rPr>
        <w:t>Identificar potencialidades de la mujer y facilitar las herramientas necesarias para su crecimiento personal, laboral, etc. con la finalidad de impulsar su plena autonomía.</w:t>
      </w:r>
    </w:p>
    <w:p>
      <w:pPr>
        <w:numPr>
          <w:ilvl w:val="0"/>
          <w:numId w:val="5"/>
        </w:numPr>
        <w:spacing w:line="360" w:lineRule="auto"/>
        <w:jc w:val="both"/>
        <w:rPr>
          <w:rFonts w:ascii="Arial" w:eastAsia="Times New Roman" w:hAnsi="Arial" w:cs="Arial"/>
          <w:sz w:val="24"/>
          <w:szCs w:val="24"/>
        </w:rPr>
      </w:pPr>
      <w:r>
        <w:rPr>
          <w:rFonts w:ascii="Arial" w:eastAsia="Times New Roman" w:hAnsi="Arial" w:cs="Arial"/>
          <w:sz w:val="24"/>
          <w:szCs w:val="24"/>
        </w:rPr>
        <w:t xml:space="preserve">Informar, asesorar y favorecer la integración y participación social de las mujeres en los recursos comunitarios. </w:t>
      </w:r>
    </w:p>
    <w:p>
      <w:pPr>
        <w:spacing w:line="360" w:lineRule="auto"/>
        <w:jc w:val="both"/>
        <w:rPr>
          <w:rFonts w:ascii="Arial" w:eastAsia="Times New Roman" w:hAnsi="Arial" w:cs="Arial"/>
          <w:sz w:val="24"/>
          <w:szCs w:val="24"/>
        </w:rPr>
      </w:pPr>
    </w:p>
    <w:p>
      <w:pPr>
        <w:spacing w:line="360" w:lineRule="auto"/>
        <w:jc w:val="both"/>
        <w:rPr>
          <w:rFonts w:ascii="Arial" w:eastAsia="Times New Roman" w:hAnsi="Arial" w:cs="Arial"/>
          <w:sz w:val="24"/>
          <w:szCs w:val="24"/>
        </w:rPr>
      </w:pPr>
    </w:p>
    <w:p>
      <w:pPr>
        <w:shd w:val="clear" w:color="auto" w:fill="B2A1C7" w:themeFill="accent4" w:themeFillTint="99"/>
        <w:spacing w:line="360" w:lineRule="auto"/>
        <w:jc w:val="both"/>
        <w:rPr>
          <w:rFonts w:ascii="Arial" w:hAnsi="Arial" w:cs="Arial"/>
          <w:b/>
          <w:sz w:val="24"/>
          <w:szCs w:val="24"/>
        </w:rPr>
      </w:pPr>
      <w:r>
        <w:rPr>
          <w:rFonts w:ascii="Arial" w:hAnsi="Arial" w:cs="Arial"/>
          <w:b/>
          <w:sz w:val="24"/>
          <w:szCs w:val="24"/>
        </w:rPr>
        <w:lastRenderedPageBreak/>
        <w:t>C. METODOLOGÍA:</w:t>
      </w:r>
    </w:p>
    <w:p>
      <w:pPr>
        <w:spacing w:after="0" w:line="360" w:lineRule="auto"/>
        <w:jc w:val="both"/>
        <w:rPr>
          <w:rFonts w:ascii="Arial" w:hAnsi="Arial" w:cs="Arial"/>
          <w:sz w:val="24"/>
          <w:szCs w:val="24"/>
        </w:rPr>
      </w:pPr>
      <w:r>
        <w:rPr>
          <w:rFonts w:ascii="Arial" w:hAnsi="Arial" w:cs="Arial"/>
          <w:sz w:val="24"/>
          <w:szCs w:val="24"/>
        </w:rPr>
        <w:t>La metodología de intervención se fundamenta en la misión y en los criterios de actuación del Programa Oblatas Daniela, integrados con el enfoque propio del Trabajo Social. Se prioriza el reconocimiento de la mujer como sujeto activo de su proceso, así como la adaptación continua a sus circunstancias vitales y al momento evolutivo en el que se encuentra. Este enfoque permite acompañamientos flexibles, centrados en las necesidades reales y cambiantes de cada mujer y su unidad familiar.</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En el área de trabajo social se emplea el método básico, entendido como un proceso circular que se retroalimenta de forma constante y que estructura la intervención en cinco fases interrelacionadas:</w:t>
      </w:r>
    </w:p>
    <w:p>
      <w:pPr>
        <w:spacing w:after="0" w:line="360" w:lineRule="auto"/>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b/>
          <w:sz w:val="24"/>
          <w:szCs w:val="24"/>
        </w:rPr>
        <w:t>Investigación y observación significativa</w:t>
      </w:r>
      <w:r>
        <w:rPr>
          <w:rFonts w:ascii="Arial" w:hAnsi="Arial" w:cs="Arial"/>
          <w:sz w:val="24"/>
          <w:szCs w:val="24"/>
        </w:rPr>
        <w:t>: Implica un conocimiento integral de la realidad de cada mujer, mediante la recogida continua de información y la aproximación sistemática a su contexto personal, social y migratorio. Incluye, además, la investigación permanente sobre las dinámicas y transformaciones vinculadas a la prostitución y la trata.</w:t>
      </w:r>
    </w:p>
    <w:p>
      <w:pPr>
        <w:spacing w:after="0" w:line="360" w:lineRule="auto"/>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b/>
          <w:sz w:val="24"/>
          <w:szCs w:val="24"/>
        </w:rPr>
        <w:t>Establecimiento de la relación de ayuda</w:t>
      </w:r>
      <w:r>
        <w:rPr>
          <w:rFonts w:ascii="Arial" w:hAnsi="Arial" w:cs="Arial"/>
          <w:sz w:val="24"/>
          <w:szCs w:val="24"/>
        </w:rPr>
        <w:t>: Constituye la base de todo el proceso de intervención. Supone la construcción de un espacio seguro, empático y de aceptación incondicional, donde la trabajadora social expresa de manera clara su disposición a acompañar, sostener y apoyar a la mujer en su proceso.</w:t>
      </w:r>
    </w:p>
    <w:p>
      <w:pPr>
        <w:spacing w:after="0" w:line="360" w:lineRule="auto"/>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b/>
          <w:sz w:val="24"/>
          <w:szCs w:val="24"/>
        </w:rPr>
        <w:t>Interpretación diagnóstica:</w:t>
      </w:r>
      <w:r>
        <w:rPr>
          <w:rFonts w:ascii="Arial" w:hAnsi="Arial" w:cs="Arial"/>
          <w:sz w:val="24"/>
          <w:szCs w:val="24"/>
        </w:rPr>
        <w:t xml:space="preserve"> Consiste en la identificación y análisis de las necesidades prioritarias, la definición del problema social y la jerarquización de aquellos aspectos que requieren una intervención inmediata, a partir de la interpretación rigurosa de la información recogida.</w:t>
      </w:r>
    </w:p>
    <w:p>
      <w:pPr>
        <w:spacing w:after="0" w:line="360" w:lineRule="auto"/>
        <w:ind w:left="720"/>
        <w:contextualSpacing/>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b/>
          <w:sz w:val="24"/>
          <w:szCs w:val="24"/>
        </w:rPr>
        <w:lastRenderedPageBreak/>
        <w:t>Planificación</w:t>
      </w:r>
      <w:r>
        <w:rPr>
          <w:rFonts w:ascii="Arial" w:hAnsi="Arial" w:cs="Arial"/>
          <w:sz w:val="24"/>
          <w:szCs w:val="24"/>
        </w:rPr>
        <w:t>: En esta fase se diseña el Plan de Trabajo Individual y Comunitario (PTIC), en el que se concretan los objetivos, los recursos disponibles, las actividades propuestas, la temporalidad y los criterios de seguimiento.</w:t>
      </w:r>
    </w:p>
    <w:p>
      <w:pPr>
        <w:spacing w:after="0" w:line="360" w:lineRule="auto"/>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b/>
          <w:sz w:val="24"/>
          <w:szCs w:val="24"/>
        </w:rPr>
        <w:t>Ejecución</w:t>
      </w:r>
      <w:r>
        <w:rPr>
          <w:rFonts w:ascii="Arial" w:hAnsi="Arial" w:cs="Arial"/>
          <w:sz w:val="24"/>
          <w:szCs w:val="24"/>
        </w:rPr>
        <w:t>: Comprende la puesta en marcha de las acciones planificadas, implicando acompañamientos individuales, coordinación con otros recursos, gestión documental y todas las actuaciones necesarias para apoyar el proceso de la mujer.</w:t>
      </w:r>
    </w:p>
    <w:p>
      <w:pPr>
        <w:spacing w:after="0" w:line="360" w:lineRule="auto"/>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b/>
          <w:sz w:val="24"/>
          <w:szCs w:val="24"/>
        </w:rPr>
        <w:t>Evaluación</w:t>
      </w:r>
      <w:r>
        <w:rPr>
          <w:rFonts w:ascii="Arial" w:hAnsi="Arial" w:cs="Arial"/>
          <w:sz w:val="24"/>
          <w:szCs w:val="24"/>
        </w:rPr>
        <w:t>: Supone confrontar lo realizado con lo planificado, revisar el proceso de intervención, detectar posibles desviaciones o dificultades y replantear las estrategias de acompañamiento. Esta fase cierra el ciclo y, a su vez, lo reinicia, permitiendo ajustar la intervención de acuerdo con la evolución de cada caso. La trabajadora social del equipo de atención residencial actúa interdisciplinariamente para garantizar una atención integral de la mujer sola y/o con hijos/as apoyándose en el método básico de trabajo social para la elaboración conjunta con la mujer de su PTIC (Proyecto de trabajo individualizado compartido), siendo las protagonistas de sus cambios las mujeres y orientando toda intervención a una transformación de las causas generadoras de la realidad.</w:t>
      </w:r>
    </w:p>
    <w:p>
      <w:pPr>
        <w:spacing w:after="0" w:line="360" w:lineRule="auto"/>
        <w:ind w:left="720"/>
        <w:contextualSpacing/>
        <w:jc w:val="both"/>
        <w:rPr>
          <w:rFonts w:ascii="Arial" w:hAnsi="Arial" w:cs="Arial"/>
          <w:b/>
          <w:sz w:val="24"/>
          <w:szCs w:val="24"/>
        </w:rPr>
      </w:pPr>
    </w:p>
    <w:p>
      <w:pPr>
        <w:spacing w:after="0" w:line="360" w:lineRule="auto"/>
        <w:jc w:val="both"/>
        <w:rPr>
          <w:rFonts w:ascii="Arial" w:hAnsi="Arial" w:cs="Arial"/>
          <w:sz w:val="24"/>
          <w:szCs w:val="24"/>
        </w:rPr>
      </w:pPr>
      <w:r>
        <w:rPr>
          <w:rFonts w:ascii="Arial" w:hAnsi="Arial" w:cs="Arial"/>
          <w:sz w:val="24"/>
          <w:szCs w:val="24"/>
        </w:rPr>
        <w:t>El Programa Oblatas Daniela, a través de su recurso residencial, se ha consolidado como un referente en la atención especializada a mujeres en contextos de prostitución y/o víctimas de trata de seres humanos. La casa de acogida constituye un espacio seguro y protegido que ofrece acompañamiento integral a mujeres que enfrentan situaciones de violencia de género vinculada a la prostitución, explotación sexual o laboral, o procesos de exclusión social. Este entorno favorece que cada mujer pueda avanzar en su proceso de recuperación, fortalecimiento personal e integración social. Cabe señalar que se trata del recurso especializado con mayor trayectoria en la Comunidad Autónoma Canaria.</w:t>
      </w:r>
    </w:p>
    <w:p>
      <w:pPr>
        <w:spacing w:after="0" w:line="360" w:lineRule="auto"/>
        <w:jc w:val="both"/>
        <w:rPr>
          <w:rFonts w:ascii="Arial" w:hAnsi="Arial" w:cs="Arial"/>
          <w:sz w:val="24"/>
          <w:szCs w:val="24"/>
        </w:rPr>
      </w:pPr>
      <w:r>
        <w:rPr>
          <w:rFonts w:ascii="Arial" w:hAnsi="Arial" w:cs="Arial"/>
          <w:sz w:val="24"/>
          <w:szCs w:val="24"/>
        </w:rPr>
        <w:lastRenderedPageBreak/>
        <w:t>Desde el área social se inicia el proceso de acogida de la mujer y, en caso de existir, de sus hijas e hijos. Este procedimiento comienza con el estudio de la derivación, que habitualmente llega mediante un informe social procedente de recursos públicos o privados. Posteriormente, se realiza una entrevista individual con la mujer para profundizar en su situación y, finalmente, la solicitud es valorada de manera conjunta por el equipo técnico, garantizando una decisión integral y ajustada a las necesidades detectadas.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Las vías de derivación hacia la casa de acogida pueden darse a través de diversas entidades y dispositivos, entre ellos:</w:t>
      </w:r>
    </w:p>
    <w:p>
      <w:pPr>
        <w:spacing w:after="0" w:line="360" w:lineRule="auto"/>
        <w:jc w:val="both"/>
        <w:rPr>
          <w:rFonts w:ascii="Arial" w:hAnsi="Arial" w:cs="Arial"/>
          <w:sz w:val="24"/>
          <w:szCs w:val="24"/>
        </w:rPr>
      </w:pPr>
    </w:p>
    <w:p>
      <w:pPr>
        <w:numPr>
          <w:ilvl w:val="0"/>
          <w:numId w:val="70"/>
        </w:numPr>
        <w:spacing w:after="0" w:line="360" w:lineRule="auto"/>
        <w:contextualSpacing/>
        <w:jc w:val="both"/>
        <w:rPr>
          <w:rFonts w:ascii="Arial" w:hAnsi="Arial" w:cs="Arial"/>
          <w:sz w:val="24"/>
          <w:szCs w:val="24"/>
        </w:rPr>
      </w:pPr>
      <w:r>
        <w:rPr>
          <w:rFonts w:ascii="Arial" w:hAnsi="Arial" w:cs="Arial"/>
          <w:sz w:val="24"/>
          <w:szCs w:val="24"/>
        </w:rPr>
        <w:t>Recursos sociosanitarios y cuerpos y fuerzas de seguridad del Estado.</w:t>
      </w:r>
    </w:p>
    <w:p>
      <w:pPr>
        <w:numPr>
          <w:ilvl w:val="0"/>
          <w:numId w:val="70"/>
        </w:numPr>
        <w:spacing w:after="0" w:line="360" w:lineRule="auto"/>
        <w:contextualSpacing/>
        <w:jc w:val="both"/>
        <w:rPr>
          <w:rFonts w:ascii="Arial" w:hAnsi="Arial" w:cs="Arial"/>
          <w:sz w:val="24"/>
          <w:szCs w:val="24"/>
        </w:rPr>
      </w:pPr>
      <w:r>
        <w:rPr>
          <w:rFonts w:ascii="Arial" w:hAnsi="Arial" w:cs="Arial"/>
          <w:sz w:val="24"/>
          <w:szCs w:val="24"/>
        </w:rPr>
        <w:t>Entidades públicas o privadas con competencias en intervención social.</w:t>
      </w:r>
    </w:p>
    <w:p>
      <w:pPr>
        <w:numPr>
          <w:ilvl w:val="0"/>
          <w:numId w:val="70"/>
        </w:numPr>
        <w:spacing w:after="0" w:line="360" w:lineRule="auto"/>
        <w:contextualSpacing/>
        <w:jc w:val="both"/>
        <w:rPr>
          <w:rFonts w:ascii="Arial" w:hAnsi="Arial" w:cs="Arial"/>
          <w:sz w:val="24"/>
          <w:szCs w:val="24"/>
        </w:rPr>
      </w:pPr>
      <w:r>
        <w:rPr>
          <w:rFonts w:ascii="Arial" w:hAnsi="Arial" w:cs="Arial"/>
          <w:sz w:val="24"/>
          <w:szCs w:val="24"/>
        </w:rPr>
        <w:t>Contacto directo con el Proyecto Daniela Participa, mediante intervenciones de trabajo de calle en contextos de prostitución.</w:t>
      </w:r>
    </w:p>
    <w:p>
      <w:pPr>
        <w:spacing w:after="0" w:line="360" w:lineRule="auto"/>
        <w:ind w:left="720"/>
        <w:contextualSpacing/>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El área de trabajo social forma parte del equipo de atención especializada y multidisciplinar del Programa Oblatas Daniela y, como tal, participa en la planificación, ejecución y evaluación conjunta del trabajo técnico, integrando en su ámbito de actuación las aportaciones del resto de profesionales. La intervención se orienta a la restitución y garantía de derechos, la reparación de las consecuencias derivadas de la violencia y la trata, y al fortalecimiento personal de las mujeres, promoviendo procesos de empoderamiento y de reposicionamiento subjetivo frente a las experiencias traumáticas vividas.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Una vez que la mujer accede al recurso residencial, las intervenciones interdisciplinares se enfocan en acompañar los diferentes aspectos de su proceso de recuperación, autonomía y protección. Este acompañamiento contempla la atención social, psicológica, jurídica, educativa y sanitaria, articulada de manera coordinada para responder a las múltiples necesidades que puedan surgir a lo largo de la estancia. Las actuaciones se ajustan a la situación particular de cada mujer, a su historia de vida, a </w:t>
      </w:r>
      <w:r>
        <w:rPr>
          <w:rFonts w:ascii="Arial" w:hAnsi="Arial" w:cs="Arial"/>
          <w:sz w:val="24"/>
          <w:szCs w:val="24"/>
        </w:rPr>
        <w:lastRenderedPageBreak/>
        <w:t>los factores de vulnerabilidad presentes y a los objetivos definidos en su plan de trabajo individual.</w:t>
      </w:r>
    </w:p>
    <w:p>
      <w:pPr>
        <w:spacing w:after="0" w:line="360" w:lineRule="auto"/>
        <w:jc w:val="both"/>
        <w:rPr>
          <w:rFonts w:ascii="Arial" w:hAnsi="Arial" w:cs="Arial"/>
          <w:sz w:val="24"/>
          <w:szCs w:val="24"/>
        </w:rPr>
      </w:pPr>
    </w:p>
    <w:p>
      <w:pPr>
        <w:numPr>
          <w:ilvl w:val="0"/>
          <w:numId w:val="15"/>
        </w:numPr>
        <w:spacing w:line="360" w:lineRule="auto"/>
        <w:contextualSpacing/>
        <w:jc w:val="both"/>
        <w:rPr>
          <w:rFonts w:ascii="Arial" w:hAnsi="Arial" w:cs="Arial"/>
          <w:sz w:val="24"/>
          <w:szCs w:val="24"/>
        </w:rPr>
      </w:pPr>
      <w:r>
        <w:rPr>
          <w:rFonts w:ascii="Arial" w:hAnsi="Arial" w:cs="Arial"/>
          <w:sz w:val="24"/>
          <w:szCs w:val="24"/>
          <w:u w:val="single"/>
        </w:rPr>
        <w:t>Fase I: Propuesta de entrada a la casa de acogida</w:t>
      </w:r>
      <w:r>
        <w:rPr>
          <w:rFonts w:ascii="Arial" w:hAnsi="Arial" w:cs="Arial"/>
          <w:sz w:val="24"/>
          <w:szCs w:val="24"/>
        </w:rPr>
        <w:t>. En esta etapa se recopila toda la información relevante sobre la mujer que solicita el acceso al recurso, a partir del informe social de derivación o mediante entrevista con la mujer solicitante. Paralelamente, se establece coordinación con las entidades derivantes con el fin de contrastar la información y valorar, de manera conjunta con el equipo técnico, la idoneidad de su incorporación al proyecto. Cuando el perfil de la mujer no se ajusta a los criterios del recurso, se contacta nuevamente con la entidad derivante para orientar una derivación más adecuada a su problemática o necesidades específicas. En el caso de mujeres víctimas de trata con fines de explotación sexual derivadas por las Fuerzas y Cuerpos de Seguridad del Estado, este procedimiento se adapta a un protocolo de urgencia, permitiendo su acceso inmediato a la casa debido a la situación de especial vulnerabilidad y riesgo.</w:t>
      </w:r>
    </w:p>
    <w:p>
      <w:pPr>
        <w:spacing w:after="0" w:line="360" w:lineRule="auto"/>
        <w:ind w:left="360"/>
        <w:jc w:val="both"/>
        <w:rPr>
          <w:rFonts w:ascii="Arial" w:hAnsi="Arial" w:cs="Arial"/>
          <w:sz w:val="24"/>
          <w:szCs w:val="24"/>
          <w:u w:val="single"/>
        </w:rPr>
      </w:pPr>
    </w:p>
    <w:p>
      <w:pPr>
        <w:numPr>
          <w:ilvl w:val="0"/>
          <w:numId w:val="15"/>
        </w:numPr>
        <w:spacing w:line="360" w:lineRule="auto"/>
        <w:contextualSpacing/>
        <w:jc w:val="both"/>
        <w:rPr>
          <w:rFonts w:ascii="Arial" w:hAnsi="Arial" w:cs="Arial"/>
          <w:sz w:val="24"/>
          <w:szCs w:val="24"/>
        </w:rPr>
      </w:pPr>
      <w:r>
        <w:rPr>
          <w:rFonts w:ascii="Arial" w:hAnsi="Arial" w:cs="Arial"/>
          <w:sz w:val="24"/>
          <w:szCs w:val="24"/>
          <w:u w:val="single"/>
        </w:rPr>
        <w:t>Fase II: Acogida y valoración inicial.</w:t>
      </w:r>
      <w:r>
        <w:rPr>
          <w:rFonts w:ascii="Arial" w:hAnsi="Arial" w:cs="Arial"/>
          <w:sz w:val="24"/>
          <w:szCs w:val="24"/>
        </w:rPr>
        <w:t xml:space="preserve"> Una vez y se ha valorado positivamente la entrada en el recurso, se establece una primera cita de contacto, en la que normalmente acude la mujer con el técnico de referencia. Las mujeres derivadas por la UCRIF o Grupo de Trata de la Guardia Civil, son acompañadas por la policía a la sede y se establece una primera entrevista de toma de contacto, de explicarles los objetivos del recurso, su funcionamiento, etc.; así como para confirmar que la mujer desea efectivamente entrar al recurso.</w:t>
      </w:r>
    </w:p>
    <w:p>
      <w:pPr>
        <w:spacing w:line="360" w:lineRule="auto"/>
        <w:jc w:val="both"/>
        <w:rPr>
          <w:rFonts w:ascii="Arial" w:hAnsi="Arial" w:cs="Arial"/>
          <w:sz w:val="24"/>
          <w:szCs w:val="24"/>
        </w:rPr>
      </w:pPr>
    </w:p>
    <w:p>
      <w:pPr>
        <w:numPr>
          <w:ilvl w:val="0"/>
          <w:numId w:val="15"/>
        </w:numPr>
        <w:spacing w:after="0" w:line="360" w:lineRule="auto"/>
        <w:jc w:val="both"/>
        <w:rPr>
          <w:rFonts w:ascii="Arial" w:hAnsi="Arial" w:cs="Arial"/>
          <w:sz w:val="24"/>
          <w:szCs w:val="24"/>
        </w:rPr>
      </w:pPr>
      <w:r>
        <w:rPr>
          <w:rFonts w:ascii="Arial" w:hAnsi="Arial" w:cs="Arial"/>
          <w:sz w:val="24"/>
          <w:szCs w:val="24"/>
          <w:u w:val="single"/>
        </w:rPr>
        <w:t>Fase III: Acogida en la Casa y desarrollo de la intervención</w:t>
      </w:r>
      <w:r>
        <w:rPr>
          <w:rFonts w:ascii="Arial" w:hAnsi="Arial" w:cs="Arial"/>
          <w:sz w:val="24"/>
          <w:szCs w:val="24"/>
        </w:rPr>
        <w:t>. Esta fase constituye el núcleo del proceso de acompañamiento, pues en ella se despliegan la mayoría de las actuaciones posteriores al diagnóstico social. La intervención se realiza de manera integral, especialmente en los ámbitos psicosocial y educativo, proporcionando apoyo, orientación y herramientas que favorecen la inclusión, el fortalecimiento personal y el empoderamiento de las mujeres.</w:t>
      </w:r>
    </w:p>
    <w:p>
      <w:pPr>
        <w:spacing w:after="0" w:line="360" w:lineRule="auto"/>
        <w:ind w:left="360"/>
        <w:jc w:val="both"/>
        <w:rPr>
          <w:rFonts w:ascii="Arial" w:hAnsi="Arial" w:cs="Arial"/>
          <w:sz w:val="24"/>
          <w:szCs w:val="24"/>
        </w:rPr>
      </w:pPr>
      <w:r>
        <w:rPr>
          <w:rFonts w:ascii="Arial" w:hAnsi="Arial" w:cs="Arial"/>
          <w:sz w:val="24"/>
          <w:szCs w:val="24"/>
        </w:rPr>
        <w:lastRenderedPageBreak/>
        <w:t>Las actuaciones se concretan en el Plan de Trabajo Individual Compartido, elaborado conjuntamente entre cada mujer y el equipo técnico. En este plan se definen objetivos que integran sus motivaciones, necesidades detectadas, expectativas, así como su momento emocional y vital, reconociendo a la mujer como sujeto activo de su proceso. Además, durante toda la estancia, se promueve su participación mediante espacios asamblearios mensuales y asambleas extraordinarias cuando es necesario, que permiten abordar cuestiones de convivencia, compartir información relevante y reforzar la dinámica del recurso.</w:t>
      </w:r>
    </w:p>
    <w:p>
      <w:pPr>
        <w:spacing w:after="0" w:line="360" w:lineRule="auto"/>
        <w:ind w:left="360"/>
        <w:jc w:val="both"/>
        <w:rPr>
          <w:rFonts w:ascii="Arial" w:hAnsi="Arial" w:cs="Arial"/>
          <w:sz w:val="24"/>
          <w:szCs w:val="24"/>
        </w:rPr>
      </w:pPr>
    </w:p>
    <w:p>
      <w:pPr>
        <w:spacing w:after="0" w:line="360" w:lineRule="auto"/>
        <w:ind w:left="360"/>
        <w:jc w:val="both"/>
        <w:rPr>
          <w:rFonts w:ascii="Arial" w:hAnsi="Arial" w:cs="Arial"/>
          <w:sz w:val="24"/>
          <w:szCs w:val="24"/>
        </w:rPr>
      </w:pPr>
      <w:r>
        <w:rPr>
          <w:rFonts w:ascii="Arial" w:hAnsi="Arial" w:cs="Arial"/>
          <w:sz w:val="24"/>
          <w:szCs w:val="24"/>
        </w:rPr>
        <w:t>Paralelamente, se realizan derivaciones a recursos sociales, sanitarios y formativos, acompañamientos, gestiones administrativas y diversas actividades educativas y de promoción de la salud, como clases de español, talleres y acciones orientadas a la autonomía. Todo ello se ajusta a las necesidades identificadas y al proceso individual de cada mujer.</w:t>
      </w:r>
    </w:p>
    <w:p>
      <w:pPr>
        <w:spacing w:after="0" w:line="360" w:lineRule="auto"/>
        <w:ind w:left="360"/>
        <w:jc w:val="both"/>
        <w:rPr>
          <w:rFonts w:ascii="Arial" w:hAnsi="Arial" w:cs="Arial"/>
          <w:sz w:val="24"/>
          <w:szCs w:val="24"/>
        </w:rPr>
      </w:pPr>
    </w:p>
    <w:p>
      <w:pPr>
        <w:numPr>
          <w:ilvl w:val="0"/>
          <w:numId w:val="15"/>
        </w:numPr>
        <w:spacing w:after="0" w:line="360" w:lineRule="auto"/>
        <w:jc w:val="both"/>
        <w:rPr>
          <w:rFonts w:ascii="Arial" w:hAnsi="Arial" w:cs="Arial"/>
          <w:sz w:val="24"/>
          <w:szCs w:val="24"/>
        </w:rPr>
      </w:pPr>
      <w:r>
        <w:rPr>
          <w:rFonts w:ascii="Arial" w:hAnsi="Arial" w:cs="Arial"/>
          <w:sz w:val="24"/>
          <w:szCs w:val="24"/>
          <w:u w:val="single"/>
        </w:rPr>
        <w:t>Fase IV: Finalización de la Intervención:</w:t>
      </w:r>
      <w:r>
        <w:rPr>
          <w:rFonts w:ascii="Arial" w:hAnsi="Arial" w:cs="Arial"/>
          <w:sz w:val="24"/>
          <w:szCs w:val="24"/>
        </w:rPr>
        <w:t xml:space="preserve"> La intervención integral desarrollada por el equipo técnico se evalúa en función de los objetivos establecidos al inicio del proceso y del grado de avance alcanzado en cada área. Esta valoración permite identificar los logros de la mujer en la adquisición y consolidación de competencias psicosociales, personales y laborales que favorecen su autonomía y su integración en la sociedad. En esta etapa, la mujer toma decisiones sobre las alternativas disponibles para su proyecto de vida, incluida la posibilidad de finalizar su estancia en la casa y continuar su proceso desde otros espacios o recursos.</w:t>
      </w:r>
    </w:p>
    <w:p>
      <w:pPr>
        <w:spacing w:after="0" w:line="360" w:lineRule="auto"/>
        <w:ind w:left="360"/>
        <w:jc w:val="both"/>
        <w:rPr>
          <w:rFonts w:ascii="Arial" w:hAnsi="Arial" w:cs="Arial"/>
          <w:sz w:val="24"/>
          <w:szCs w:val="24"/>
        </w:rPr>
      </w:pPr>
    </w:p>
    <w:p>
      <w:pPr>
        <w:spacing w:after="0" w:line="360" w:lineRule="auto"/>
        <w:ind w:left="360"/>
        <w:jc w:val="both"/>
        <w:rPr>
          <w:rFonts w:ascii="Arial" w:hAnsi="Arial" w:cs="Arial"/>
          <w:sz w:val="24"/>
          <w:szCs w:val="24"/>
        </w:rPr>
      </w:pPr>
      <w:r>
        <w:rPr>
          <w:rFonts w:ascii="Arial" w:hAnsi="Arial" w:cs="Arial"/>
          <w:sz w:val="24"/>
          <w:szCs w:val="24"/>
        </w:rPr>
        <w:t>Cuando la evaluación evidencia que la mujer requiere un apoyo adicional para fortalecer su autogestión en distintos ámbitos, y siempre tras un análisis individualizado, puede acceder al Piso de Autonomía como recurso de transición. Este espacio ofrece un acompañamiento temporal que facilita consolidar su autonomía antes de avanzar hacia una vida independiente.</w:t>
      </w:r>
    </w:p>
    <w:p>
      <w:pPr>
        <w:spacing w:after="0" w:line="360" w:lineRule="auto"/>
        <w:jc w:val="both"/>
        <w:rPr>
          <w:rFonts w:ascii="Arial" w:hAnsi="Arial" w:cs="Arial"/>
          <w:sz w:val="24"/>
          <w:szCs w:val="24"/>
        </w:rPr>
      </w:pPr>
    </w:p>
    <w:p>
      <w:pPr>
        <w:spacing w:after="0" w:line="360" w:lineRule="auto"/>
        <w:ind w:left="360"/>
        <w:jc w:val="both"/>
        <w:rPr>
          <w:rFonts w:ascii="Arial" w:hAnsi="Arial" w:cs="Arial"/>
          <w:sz w:val="24"/>
          <w:szCs w:val="24"/>
        </w:rPr>
      </w:pPr>
    </w:p>
    <w:p>
      <w:pPr>
        <w:shd w:val="clear" w:color="auto" w:fill="B2A1C7" w:themeFill="accent4" w:themeFillTint="99"/>
        <w:spacing w:after="120" w:line="360" w:lineRule="auto"/>
        <w:jc w:val="both"/>
        <w:rPr>
          <w:rFonts w:ascii="Arial" w:hAnsi="Arial" w:cs="Arial"/>
          <w:b/>
          <w:color w:val="000000"/>
          <w:sz w:val="24"/>
          <w:szCs w:val="24"/>
        </w:rPr>
      </w:pPr>
      <w:r>
        <w:rPr>
          <w:rFonts w:ascii="Arial" w:hAnsi="Arial" w:cs="Arial"/>
          <w:b/>
          <w:color w:val="000000"/>
          <w:sz w:val="24"/>
          <w:szCs w:val="24"/>
        </w:rPr>
        <w:lastRenderedPageBreak/>
        <w:t>E. ACTIVIDADES REALIZADAS:</w:t>
      </w:r>
    </w:p>
    <w:p>
      <w:pPr>
        <w:autoSpaceDE w:val="0"/>
        <w:autoSpaceDN w:val="0"/>
        <w:adjustRightInd w:val="0"/>
        <w:spacing w:after="0" w:line="360" w:lineRule="auto"/>
        <w:ind w:right="260"/>
        <w:jc w:val="both"/>
        <w:rPr>
          <w:rFonts w:ascii="Arial" w:eastAsia="Times New Roman" w:hAnsi="Arial" w:cs="Arial"/>
          <w:sz w:val="24"/>
          <w:szCs w:val="24"/>
          <w:lang w:eastAsia="es-ES"/>
        </w:rPr>
      </w:pPr>
    </w:p>
    <w:p>
      <w:pPr>
        <w:autoSpaceDE w:val="0"/>
        <w:autoSpaceDN w:val="0"/>
        <w:adjustRightInd w:val="0"/>
        <w:spacing w:after="0" w:line="360" w:lineRule="auto"/>
        <w:ind w:right="260"/>
        <w:jc w:val="both"/>
        <w:rPr>
          <w:rFonts w:ascii="Arial" w:eastAsia="Times New Roman" w:hAnsi="Arial" w:cs="Arial"/>
          <w:sz w:val="24"/>
          <w:szCs w:val="24"/>
          <w:lang w:eastAsia="es-ES"/>
        </w:rPr>
      </w:pPr>
      <w:r>
        <w:rPr>
          <w:rFonts w:ascii="Arial" w:eastAsia="Times New Roman" w:hAnsi="Arial" w:cs="Arial"/>
          <w:sz w:val="24"/>
          <w:szCs w:val="24"/>
          <w:lang w:eastAsia="es-ES"/>
        </w:rPr>
        <w:t>Las principales actividades que se realizan desde el área social del proyecto son las siguientes:</w:t>
      </w:r>
    </w:p>
    <w:p>
      <w:pPr>
        <w:autoSpaceDE w:val="0"/>
        <w:autoSpaceDN w:val="0"/>
        <w:adjustRightInd w:val="0"/>
        <w:spacing w:after="0" w:line="360" w:lineRule="auto"/>
        <w:ind w:right="260"/>
        <w:jc w:val="both"/>
        <w:rPr>
          <w:rFonts w:ascii="Arial" w:eastAsia="Times New Roman" w:hAnsi="Arial" w:cs="Arial"/>
          <w:sz w:val="24"/>
          <w:szCs w:val="24"/>
          <w:lang w:eastAsia="es-ES"/>
        </w:rPr>
      </w:pPr>
    </w:p>
    <w:p>
      <w:pPr>
        <w:numPr>
          <w:ilvl w:val="0"/>
          <w:numId w:val="17"/>
        </w:numPr>
        <w:autoSpaceDE w:val="0"/>
        <w:autoSpaceDN w:val="0"/>
        <w:adjustRightInd w:val="0"/>
        <w:spacing w:after="0" w:line="360" w:lineRule="auto"/>
        <w:ind w:right="260"/>
        <w:contextualSpacing/>
        <w:jc w:val="both"/>
        <w:rPr>
          <w:rFonts w:ascii="Arial" w:eastAsia="Times New Roman" w:hAnsi="Arial" w:cs="Arial"/>
          <w:sz w:val="24"/>
          <w:szCs w:val="24"/>
          <w:lang w:eastAsia="es-ES"/>
        </w:rPr>
      </w:pPr>
      <w:r>
        <w:rPr>
          <w:rFonts w:ascii="Arial" w:eastAsia="Times New Roman" w:hAnsi="Arial" w:cs="Arial"/>
          <w:sz w:val="24"/>
          <w:szCs w:val="24"/>
          <w:lang w:eastAsia="es-ES"/>
        </w:rPr>
        <w:t>Estudio y valoración de las solicitudes de entrada en el recurso. Estas actividades son realizadas conjuntamente por el equipo de Atención Especializada o Equipo Interdisciplinar del Programa, dirección y coordinación. Si la valoración no es favorable, se justifican y definen las actuaciones pertinentes.</w:t>
      </w:r>
    </w:p>
    <w:p>
      <w:pPr>
        <w:numPr>
          <w:ilvl w:val="0"/>
          <w:numId w:val="17"/>
        </w:numPr>
        <w:autoSpaceDE w:val="0"/>
        <w:autoSpaceDN w:val="0"/>
        <w:adjustRightInd w:val="0"/>
        <w:spacing w:after="0" w:line="360" w:lineRule="auto"/>
        <w:ind w:right="260"/>
        <w:contextualSpacing/>
        <w:jc w:val="both"/>
        <w:rPr>
          <w:rFonts w:ascii="Arial" w:eastAsia="Times New Roman" w:hAnsi="Arial" w:cs="Arial"/>
          <w:sz w:val="24"/>
          <w:szCs w:val="24"/>
          <w:lang w:eastAsia="es-ES"/>
        </w:rPr>
      </w:pPr>
      <w:r>
        <w:rPr>
          <w:rFonts w:ascii="Arial" w:eastAsia="Times New Roman" w:hAnsi="Arial" w:cs="Arial"/>
          <w:sz w:val="24"/>
          <w:szCs w:val="24"/>
          <w:lang w:eastAsia="es-ES"/>
        </w:rPr>
        <w:t>Coordinación con las entidades derivantes para solicitar mayor información.</w:t>
      </w:r>
    </w:p>
    <w:p>
      <w:pPr>
        <w:numPr>
          <w:ilvl w:val="0"/>
          <w:numId w:val="17"/>
        </w:numPr>
        <w:autoSpaceDE w:val="0"/>
        <w:autoSpaceDN w:val="0"/>
        <w:adjustRightInd w:val="0"/>
        <w:spacing w:after="0" w:line="360" w:lineRule="auto"/>
        <w:ind w:right="260"/>
        <w:contextualSpacing/>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Entrevistas con las mujeres solicitantes para conocer </w:t>
      </w:r>
      <w:r>
        <w:rPr>
          <w:rFonts w:ascii="Arial" w:hAnsi="Arial" w:cs="Arial"/>
          <w:color w:val="000000"/>
          <w:sz w:val="24"/>
          <w:szCs w:val="24"/>
        </w:rPr>
        <w:t>su situación actual, grado de motivación e implicación en iniciar un proceso desde el proyecto, dar a conocer la finalidad de la Casa de Acogida y el funcionamiento de la dinámica de la misma.</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Información al equipo de atención especializada, dirección y coordinación y planificación de ingreso en la casa de acogida.</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Sistematizar los datos de: número de solicitudes, entidad derivante, perfil, motivo de solicitud, valoración de la solicitud (motivos por el que es favorable o no su ingreso), actuaciones, etc.</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Iniciar vínculo de confianza con las mujeres.</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Conocer la realidad de la mujer, antecedentes, historia familiar, genograma e intereses desde la relación personal.</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Apoyo emocional en situaciones de crisis y/o ansiedad.</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Respetar decisiones y el ritmo de la mujer.</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Valoración diagnóstica. (El diagnóstico supone la síntesis, interpretación y evaluación profesional desde el área social, de la realidad que vive la mujer. Representa un aspecto en el proceso metodológico a partir del cual se establecen OBJETIVOS, se toman decisiones y se planifica la actuación. Ésta se realiza después del primer mes de estancia de la mujer en la Casa de Acogida).</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lastRenderedPageBreak/>
        <w:t>Recogida de datos de identificación y valoración de la problemática principal de la mujer y sus necesidades.</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Atención integral e individualizada.</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Planificación de objetivos generales y específicos por dimensiones de vida. Actuaciones y actividades. Técnicas e instrumentos.</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Coordinación con los servicios y recursos comunitarios.</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Elaboración conjunta con la mujer y el equipo interdisciplinar del Plan de Trabajo Individual Compartido (PTIC).</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Evaluación continua y conjunta del PTIC.</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Seguimiento de la situación de cada mujer y adaptación continuada de atención, según las necesidades.</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Evaluación de los resultados de la atención integral.</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Unificación de los criterios.</w:t>
      </w:r>
    </w:p>
    <w:p>
      <w:pPr>
        <w:numPr>
          <w:ilvl w:val="0"/>
          <w:numId w:val="17"/>
        </w:numPr>
        <w:autoSpaceDE w:val="0"/>
        <w:autoSpaceDN w:val="0"/>
        <w:spacing w:after="0" w:line="360" w:lineRule="auto"/>
        <w:contextualSpacing/>
        <w:jc w:val="both"/>
        <w:rPr>
          <w:rFonts w:ascii="Arial" w:hAnsi="Arial" w:cs="Arial"/>
          <w:sz w:val="24"/>
          <w:szCs w:val="24"/>
        </w:rPr>
      </w:pPr>
      <w:r>
        <w:rPr>
          <w:rFonts w:ascii="Arial" w:hAnsi="Arial" w:cs="Arial"/>
          <w:sz w:val="24"/>
          <w:szCs w:val="24"/>
        </w:rPr>
        <w:t>Acompañamientos a los recursos socio-sanitarios y comunitarios en las situaciones que así lo precisen.</w:t>
      </w:r>
    </w:p>
    <w:p>
      <w:pPr>
        <w:numPr>
          <w:ilvl w:val="0"/>
          <w:numId w:val="17"/>
        </w:numPr>
        <w:autoSpaceDE w:val="0"/>
        <w:autoSpaceDN w:val="0"/>
        <w:spacing w:after="0" w:line="360" w:lineRule="auto"/>
        <w:contextualSpacing/>
        <w:jc w:val="both"/>
        <w:rPr>
          <w:rFonts w:ascii="Arial" w:hAnsi="Arial" w:cs="Arial"/>
          <w:sz w:val="24"/>
          <w:szCs w:val="24"/>
        </w:rPr>
      </w:pPr>
      <w:r>
        <w:rPr>
          <w:rFonts w:ascii="Arial" w:hAnsi="Arial" w:cs="Arial"/>
          <w:sz w:val="24"/>
          <w:szCs w:val="24"/>
        </w:rPr>
        <w:t>Reuniones de coordinación con otros recursos y profesionales: mayoritariamente la coordinación ha sido sobre todo telefónicamente.</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Conocimiento mutuo del trabajo de cada profesional, para potenciar el trabajo en equipo.</w:t>
      </w:r>
    </w:p>
    <w:p>
      <w:pPr>
        <w:numPr>
          <w:ilvl w:val="0"/>
          <w:numId w:val="17"/>
        </w:numPr>
        <w:autoSpaceDE w:val="0"/>
        <w:autoSpaceDN w:val="0"/>
        <w:spacing w:after="0" w:line="360" w:lineRule="auto"/>
        <w:jc w:val="both"/>
        <w:rPr>
          <w:rFonts w:ascii="Arial" w:hAnsi="Arial" w:cs="Arial"/>
          <w:color w:val="000000"/>
          <w:sz w:val="24"/>
          <w:szCs w:val="24"/>
        </w:rPr>
      </w:pPr>
      <w:r>
        <w:rPr>
          <w:rFonts w:ascii="Arial" w:hAnsi="Arial" w:cs="Arial"/>
          <w:color w:val="000000"/>
          <w:sz w:val="24"/>
          <w:szCs w:val="24"/>
        </w:rPr>
        <w:t>Acompañamiento en el proceso de salida:</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Planificar junto con la mujer su proceso de salida, con dos meses de antelación para que ésta no lo viva con angustia ni precipitadamente.</w:t>
      </w:r>
    </w:p>
    <w:p>
      <w:pPr>
        <w:numPr>
          <w:ilvl w:val="0"/>
          <w:numId w:val="17"/>
        </w:numPr>
        <w:autoSpaceDE w:val="0"/>
        <w:autoSpaceDN w:val="0"/>
        <w:spacing w:after="0" w:line="360" w:lineRule="auto"/>
        <w:contextualSpacing/>
        <w:jc w:val="both"/>
        <w:rPr>
          <w:rFonts w:ascii="Arial" w:hAnsi="Arial" w:cs="Arial"/>
          <w:color w:val="000000"/>
          <w:sz w:val="24"/>
          <w:szCs w:val="24"/>
        </w:rPr>
      </w:pPr>
      <w:r>
        <w:rPr>
          <w:rFonts w:ascii="Arial" w:hAnsi="Arial" w:cs="Arial"/>
          <w:color w:val="000000"/>
          <w:sz w:val="24"/>
          <w:szCs w:val="24"/>
        </w:rPr>
        <w:t>Trabajar la dimensión económica y/o ahorro.</w:t>
      </w:r>
    </w:p>
    <w:p>
      <w:pPr>
        <w:numPr>
          <w:ilvl w:val="0"/>
          <w:numId w:val="17"/>
        </w:numPr>
        <w:autoSpaceDE w:val="0"/>
        <w:autoSpaceDN w:val="0"/>
        <w:spacing w:after="0" w:line="360" w:lineRule="auto"/>
        <w:contextualSpacing/>
        <w:jc w:val="both"/>
        <w:rPr>
          <w:rFonts w:ascii="Arial" w:hAnsi="Arial" w:cs="Arial"/>
          <w:b/>
          <w:color w:val="000000"/>
          <w:sz w:val="24"/>
          <w:szCs w:val="24"/>
        </w:rPr>
      </w:pPr>
      <w:r>
        <w:rPr>
          <w:rFonts w:ascii="Arial" w:hAnsi="Arial" w:cs="Arial"/>
          <w:color w:val="000000"/>
          <w:sz w:val="24"/>
          <w:szCs w:val="24"/>
        </w:rPr>
        <w:t>Ver alternativas de alojamiento con previsión a su salida.</w:t>
      </w:r>
    </w:p>
    <w:p>
      <w:pPr>
        <w:numPr>
          <w:ilvl w:val="0"/>
          <w:numId w:val="17"/>
        </w:numPr>
        <w:autoSpaceDE w:val="0"/>
        <w:autoSpaceDN w:val="0"/>
        <w:spacing w:after="0" w:line="360" w:lineRule="auto"/>
        <w:contextualSpacing/>
        <w:jc w:val="both"/>
        <w:rPr>
          <w:rFonts w:ascii="Arial" w:hAnsi="Arial" w:cs="Arial"/>
          <w:b/>
          <w:color w:val="000000"/>
          <w:sz w:val="24"/>
          <w:szCs w:val="24"/>
        </w:rPr>
      </w:pPr>
      <w:r>
        <w:rPr>
          <w:rFonts w:ascii="Arial" w:hAnsi="Arial" w:cs="Arial"/>
          <w:color w:val="000000"/>
          <w:sz w:val="24"/>
          <w:szCs w:val="24"/>
        </w:rPr>
        <w:t>Impartición de talleres de información y/o asesoramiento social.</w:t>
      </w:r>
    </w:p>
    <w:p>
      <w:pPr>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En relación con el año 2025, es importante señalar que el Área Social continúa siendo la puerta de entrada al proyecto</w:t>
      </w:r>
      <w:r>
        <w:rPr>
          <w:rFonts w:ascii="Arial" w:eastAsia="Times New Roman" w:hAnsi="Arial" w:cs="Arial"/>
          <w:sz w:val="24"/>
          <w:szCs w:val="24"/>
          <w:u w:val="single"/>
          <w:lang w:eastAsia="es-ES"/>
        </w:rPr>
        <w:t xml:space="preserve">, </w:t>
      </w:r>
      <w:r>
        <w:rPr>
          <w:rFonts w:ascii="Arial" w:eastAsia="Times New Roman" w:hAnsi="Arial" w:cs="Arial"/>
          <w:b/>
          <w:sz w:val="24"/>
          <w:szCs w:val="24"/>
          <w:u w:val="single"/>
          <w:lang w:eastAsia="es-ES"/>
        </w:rPr>
        <w:t>atendiendo las demandas</w:t>
      </w:r>
      <w:r>
        <w:rPr>
          <w:rFonts w:ascii="Arial" w:eastAsia="Times New Roman" w:hAnsi="Arial" w:cs="Arial"/>
          <w:sz w:val="24"/>
          <w:szCs w:val="24"/>
          <w:lang w:eastAsia="es-ES"/>
        </w:rPr>
        <w:t xml:space="preserve"> de incorporación a la Casa de Acogida Daniela. La mayoría de las derivaciones recibidas procedieron de informes sociales emitidos por recursos públicos o entidades del tercer sector. Únicamente las mujeres derivadas por las Fuerzas y Cuerpos de Seguridad del Estado (FCSE) </w:t>
      </w:r>
      <w:r>
        <w:rPr>
          <w:rFonts w:ascii="Arial" w:eastAsia="Times New Roman" w:hAnsi="Arial" w:cs="Arial"/>
          <w:sz w:val="24"/>
          <w:szCs w:val="24"/>
          <w:lang w:eastAsia="es-ES"/>
        </w:rPr>
        <w:lastRenderedPageBreak/>
        <w:t>accedieron al recurso de manera inmediata, debido a la urgencia y al nivel de riesgo asociado a su situación</w:t>
      </w:r>
    </w:p>
    <w:p>
      <w:pPr>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De acuerdo con los datos recogidos en el registro mensual de ocupación, durante el año 2025 el recurso alojativo atendió a un total de</w:t>
      </w:r>
      <w:r>
        <w:rPr>
          <w:rFonts w:ascii="Arial" w:eastAsia="Times New Roman" w:hAnsi="Arial" w:cs="Arial"/>
          <w:b/>
          <w:sz w:val="24"/>
          <w:szCs w:val="24"/>
          <w:lang w:eastAsia="es-ES"/>
        </w:rPr>
        <w:t xml:space="preserve"> </w:t>
      </w:r>
      <w:r>
        <w:rPr>
          <w:rFonts w:ascii="Arial" w:eastAsia="Times New Roman" w:hAnsi="Arial" w:cs="Arial"/>
          <w:bCs/>
          <w:sz w:val="24"/>
          <w:szCs w:val="24"/>
          <w:lang w:eastAsia="es-ES"/>
        </w:rPr>
        <w:t>18 personas</w:t>
      </w:r>
      <w:r>
        <w:rPr>
          <w:rFonts w:ascii="Arial" w:eastAsia="Times New Roman" w:hAnsi="Arial" w:cs="Arial"/>
          <w:sz w:val="24"/>
          <w:szCs w:val="24"/>
          <w:lang w:eastAsia="es-ES"/>
        </w:rPr>
        <w:t>, de las cuales</w:t>
      </w:r>
      <w:r>
        <w:rPr>
          <w:rFonts w:ascii="Arial" w:eastAsia="Times New Roman" w:hAnsi="Arial" w:cs="Arial"/>
          <w:b/>
          <w:sz w:val="24"/>
          <w:szCs w:val="24"/>
          <w:lang w:eastAsia="es-ES"/>
        </w:rPr>
        <w:t xml:space="preserve"> </w:t>
      </w:r>
      <w:r>
        <w:rPr>
          <w:rFonts w:ascii="Arial" w:eastAsia="Times New Roman" w:hAnsi="Arial" w:cs="Arial"/>
          <w:bCs/>
          <w:sz w:val="24"/>
          <w:szCs w:val="24"/>
          <w:lang w:eastAsia="es-ES"/>
        </w:rPr>
        <w:t>15 eran mujeres</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y </w:t>
      </w:r>
      <w:r>
        <w:rPr>
          <w:rFonts w:ascii="Arial" w:eastAsia="Times New Roman" w:hAnsi="Arial" w:cs="Arial"/>
          <w:bCs/>
          <w:sz w:val="24"/>
          <w:szCs w:val="24"/>
          <w:lang w:eastAsia="es-ES"/>
        </w:rPr>
        <w:t>3 eran menores a su cargo.</w:t>
      </w:r>
      <w:r>
        <w:rPr>
          <w:rFonts w:ascii="Arial" w:eastAsia="Times New Roman" w:hAnsi="Arial" w:cs="Arial"/>
          <w:b/>
          <w:sz w:val="24"/>
          <w:szCs w:val="24"/>
          <w:lang w:eastAsia="es-ES"/>
        </w:rPr>
        <w:t xml:space="preserve"> </w:t>
      </w:r>
    </w:p>
    <w:p>
      <w:pPr>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En consonancia con los objetivos del proyecto, la Casa de Acogida ofreció a estas 15 mujeres, víctimas de trata y/o en contextos de prostitución o en situación de vulnerabilidad y a sus hijos/as, un entorno seguro y protegido que les permitió alejarse de situaciones de violencia, así como garantizar la cobertura de sus necesidades básicas y las de los menores a su cargo. Del mismo modo, se les proporcionó estabilidad, acompañamiento profesional y un espacio propicio para iniciar o continuar procesos de recuperación, regularización administrativa y fortalecimiento personal.</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Las personas atendidas desde el Área Social procedieron de diversas entidades públicas y privadas con las que se mantuvo coordinación tanto en el momento de la derivación como a lo largo del proceso de intervención, garantizando una atención ajustada a las necesidades específicas de cada caso.</w:t>
      </w:r>
    </w:p>
    <w:p>
      <w:pPr>
        <w:autoSpaceDE w:val="0"/>
        <w:autoSpaceDN w:val="0"/>
        <w:adjustRightInd w:val="0"/>
        <w:spacing w:after="0" w:line="360" w:lineRule="auto"/>
        <w:ind w:right="142"/>
        <w:jc w:val="both"/>
        <w:rPr>
          <w:rFonts w:ascii="Arial" w:eastAsia="SimSun" w:hAnsi="Arial" w:cs="Arial"/>
          <w:kern w:val="3"/>
          <w:sz w:val="24"/>
          <w:szCs w:val="24"/>
        </w:rPr>
      </w:pPr>
    </w:p>
    <w:p>
      <w:pPr>
        <w:autoSpaceDE w:val="0"/>
        <w:autoSpaceDN w:val="0"/>
        <w:adjustRightInd w:val="0"/>
        <w:spacing w:after="0" w:line="360" w:lineRule="auto"/>
        <w:ind w:right="142"/>
        <w:jc w:val="both"/>
        <w:rPr>
          <w:rFonts w:ascii="Arial" w:eastAsia="SimSun" w:hAnsi="Arial" w:cs="Arial"/>
          <w:kern w:val="3"/>
          <w:sz w:val="24"/>
          <w:szCs w:val="24"/>
        </w:rPr>
      </w:pPr>
      <w:r>
        <w:rPr>
          <w:rFonts w:ascii="Arial" w:eastAsia="SimSun" w:hAnsi="Arial" w:cs="Arial"/>
          <w:kern w:val="3"/>
          <w:sz w:val="24"/>
          <w:szCs w:val="24"/>
        </w:rPr>
        <w:t>Durante el año 2025 de las 18 personas atendidas, 14 se correspondieron a nuevas entradas en la Casa de Acogida Daniela (11 mujeres, 2 niños y 1 niña).</w:t>
      </w:r>
    </w:p>
    <w:p>
      <w:pPr>
        <w:autoSpaceDE w:val="0"/>
        <w:autoSpaceDN w:val="0"/>
        <w:adjustRightInd w:val="0"/>
        <w:spacing w:after="0" w:line="360" w:lineRule="auto"/>
        <w:ind w:right="142"/>
        <w:jc w:val="both"/>
        <w:rPr>
          <w:rFonts w:ascii="Arial" w:eastAsia="SimSun" w:hAnsi="Arial" w:cs="Arial"/>
          <w:kern w:val="3"/>
          <w:sz w:val="24"/>
          <w:szCs w:val="24"/>
        </w:rPr>
      </w:pPr>
    </w:p>
    <w:p>
      <w:pPr>
        <w:autoSpaceDE w:val="0"/>
        <w:autoSpaceDN w:val="0"/>
        <w:adjustRightInd w:val="0"/>
        <w:spacing w:after="0" w:line="360" w:lineRule="auto"/>
        <w:ind w:right="142"/>
        <w:jc w:val="both"/>
        <w:rPr>
          <w:rFonts w:ascii="Arial" w:eastAsia="SimSun" w:hAnsi="Arial" w:cs="Arial"/>
          <w:kern w:val="3"/>
          <w:sz w:val="24"/>
          <w:szCs w:val="24"/>
        </w:rPr>
      </w:pPr>
      <w:r>
        <w:rPr>
          <w:rFonts w:ascii="Arial" w:eastAsia="SimSun" w:hAnsi="Arial" w:cs="Arial"/>
          <w:kern w:val="3"/>
          <w:sz w:val="24"/>
          <w:szCs w:val="24"/>
        </w:rPr>
        <w:t>A continuación, se presenta la distribución de estas entradas según la entidad derivante, especificando si los casos derivan del año 2024 (mujeres que ya estaban en proceso) o si corresponden a nuevas derivaciones realizadas en 2025:</w:t>
      </w:r>
    </w:p>
    <w:p>
      <w:pPr>
        <w:autoSpaceDE w:val="0"/>
        <w:autoSpaceDN w:val="0"/>
        <w:adjustRightInd w:val="0"/>
        <w:spacing w:after="0" w:line="360" w:lineRule="auto"/>
        <w:ind w:right="142"/>
        <w:jc w:val="both"/>
        <w:rPr>
          <w:rFonts w:ascii="Arial" w:eastAsia="SimSun" w:hAnsi="Arial" w:cs="Arial"/>
          <w:kern w:val="3"/>
          <w:sz w:val="24"/>
          <w:szCs w:val="24"/>
        </w:rPr>
      </w:pPr>
    </w:p>
    <w:p>
      <w:pPr>
        <w:autoSpaceDE w:val="0"/>
        <w:autoSpaceDN w:val="0"/>
        <w:adjustRightInd w:val="0"/>
        <w:spacing w:after="0" w:line="360" w:lineRule="auto"/>
        <w:ind w:right="142"/>
        <w:jc w:val="both"/>
        <w:rPr>
          <w:rFonts w:ascii="Arial" w:eastAsia="SimSun" w:hAnsi="Arial" w:cs="Arial"/>
          <w:kern w:val="3"/>
          <w:sz w:val="24"/>
          <w:szCs w:val="24"/>
        </w:rPr>
      </w:pPr>
    </w:p>
    <w:p>
      <w:pPr>
        <w:autoSpaceDE w:val="0"/>
        <w:autoSpaceDN w:val="0"/>
        <w:adjustRightInd w:val="0"/>
        <w:spacing w:after="0" w:line="360" w:lineRule="auto"/>
        <w:ind w:right="142"/>
        <w:jc w:val="both"/>
        <w:rPr>
          <w:rFonts w:ascii="Arial" w:eastAsia="SimSun" w:hAnsi="Arial" w:cs="Arial"/>
          <w:kern w:val="3"/>
          <w:sz w:val="24"/>
          <w:szCs w:val="24"/>
        </w:rPr>
      </w:pPr>
    </w:p>
    <w:p>
      <w:pPr>
        <w:autoSpaceDE w:val="0"/>
        <w:autoSpaceDN w:val="0"/>
        <w:adjustRightInd w:val="0"/>
        <w:spacing w:after="0" w:line="360" w:lineRule="auto"/>
        <w:ind w:right="142"/>
        <w:jc w:val="both"/>
        <w:rPr>
          <w:rFonts w:ascii="Arial" w:eastAsia="SimSun" w:hAnsi="Arial" w:cs="Arial"/>
          <w:kern w:val="3"/>
          <w:sz w:val="24"/>
          <w:szCs w:val="24"/>
        </w:rPr>
      </w:pPr>
    </w:p>
    <w:p>
      <w:pPr>
        <w:autoSpaceDE w:val="0"/>
        <w:autoSpaceDN w:val="0"/>
        <w:adjustRightInd w:val="0"/>
        <w:spacing w:after="0"/>
        <w:ind w:right="142"/>
        <w:jc w:val="both"/>
        <w:rPr>
          <w:rFonts w:ascii="Arial" w:eastAsia="SimSun" w:hAnsi="Arial" w:cs="Arial"/>
          <w:kern w:val="3"/>
          <w:sz w:val="24"/>
          <w:szCs w:val="24"/>
        </w:rPr>
      </w:pPr>
    </w:p>
    <w:tbl>
      <w:tblPr>
        <w:tblStyle w:val="Tablaconcuadrcula33"/>
        <w:tblW w:w="0" w:type="auto"/>
        <w:jc w:val="center"/>
        <w:tblLook w:val="04A0" w:firstRow="1" w:lastRow="0" w:firstColumn="1" w:lastColumn="0" w:noHBand="0" w:noVBand="1"/>
      </w:tblPr>
      <w:tblGrid>
        <w:gridCol w:w="3262"/>
        <w:gridCol w:w="2831"/>
        <w:gridCol w:w="2832"/>
      </w:tblGrid>
      <w:tr>
        <w:trPr>
          <w:jc w:val="center"/>
        </w:trPr>
        <w:tc>
          <w:tcPr>
            <w:tcW w:w="3262" w:type="dxa"/>
            <w:vAlign w:val="center"/>
          </w:tcPr>
          <w:p>
            <w:pPr>
              <w:spacing w:after="0"/>
              <w:jc w:val="center"/>
              <w:rPr>
                <w:rFonts w:ascii="Arial" w:eastAsia="Times New Roman" w:hAnsi="Arial" w:cs="Arial"/>
                <w:b/>
                <w:bCs/>
                <w:sz w:val="24"/>
                <w:szCs w:val="24"/>
              </w:rPr>
            </w:pPr>
            <w:r>
              <w:rPr>
                <w:rFonts w:ascii="Arial" w:hAnsi="Arial" w:cs="Arial"/>
                <w:b/>
                <w:bCs/>
                <w:sz w:val="24"/>
                <w:szCs w:val="24"/>
              </w:rPr>
              <w:lastRenderedPageBreak/>
              <w:t>Entidad derivante</w:t>
            </w:r>
          </w:p>
        </w:tc>
        <w:tc>
          <w:tcPr>
            <w:tcW w:w="2831" w:type="dxa"/>
            <w:vAlign w:val="center"/>
          </w:tcPr>
          <w:p>
            <w:pPr>
              <w:jc w:val="center"/>
              <w:rPr>
                <w:rFonts w:ascii="Arial" w:hAnsi="Arial" w:cs="Arial"/>
                <w:b/>
                <w:bCs/>
                <w:sz w:val="24"/>
                <w:szCs w:val="24"/>
              </w:rPr>
            </w:pPr>
            <w:r>
              <w:rPr>
                <w:rFonts w:ascii="Arial" w:hAnsi="Arial" w:cs="Arial"/>
                <w:b/>
                <w:bCs/>
                <w:sz w:val="24"/>
                <w:szCs w:val="24"/>
              </w:rPr>
              <w:t>Personas derivadas</w:t>
            </w:r>
          </w:p>
        </w:tc>
        <w:tc>
          <w:tcPr>
            <w:tcW w:w="2832" w:type="dxa"/>
            <w:vAlign w:val="center"/>
          </w:tcPr>
          <w:p>
            <w:pPr>
              <w:jc w:val="center"/>
              <w:rPr>
                <w:rFonts w:ascii="Arial" w:hAnsi="Arial" w:cs="Arial"/>
                <w:b/>
                <w:bCs/>
                <w:sz w:val="24"/>
                <w:szCs w:val="24"/>
              </w:rPr>
            </w:pPr>
            <w:r>
              <w:rPr>
                <w:rFonts w:ascii="Arial" w:hAnsi="Arial" w:cs="Arial"/>
                <w:b/>
                <w:bCs/>
                <w:sz w:val="24"/>
                <w:szCs w:val="24"/>
              </w:rPr>
              <w:t>Año de derivación</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UCRIF</w:t>
            </w:r>
          </w:p>
        </w:tc>
        <w:tc>
          <w:tcPr>
            <w:tcW w:w="2831" w:type="dxa"/>
            <w:vAlign w:val="center"/>
          </w:tcPr>
          <w:p>
            <w:pPr>
              <w:jc w:val="both"/>
              <w:rPr>
                <w:rFonts w:ascii="Arial" w:hAnsi="Arial" w:cs="Arial"/>
                <w:sz w:val="24"/>
                <w:szCs w:val="24"/>
              </w:rPr>
            </w:pPr>
            <w:r>
              <w:rPr>
                <w:rFonts w:ascii="Arial" w:hAnsi="Arial" w:cs="Arial"/>
                <w:sz w:val="24"/>
                <w:szCs w:val="24"/>
              </w:rPr>
              <w:t>3 mujeres</w:t>
            </w:r>
          </w:p>
        </w:tc>
        <w:tc>
          <w:tcPr>
            <w:tcW w:w="2832" w:type="dxa"/>
            <w:vAlign w:val="center"/>
          </w:tcPr>
          <w:p>
            <w:pPr>
              <w:jc w:val="both"/>
              <w:rPr>
                <w:rFonts w:ascii="Arial" w:hAnsi="Arial" w:cs="Arial"/>
                <w:sz w:val="24"/>
                <w:szCs w:val="24"/>
              </w:rPr>
            </w:pPr>
            <w:r>
              <w:rPr>
                <w:rFonts w:ascii="Arial" w:hAnsi="Arial" w:cs="Arial"/>
                <w:sz w:val="24"/>
                <w:szCs w:val="24"/>
              </w:rPr>
              <w:t>1 de 2024, 2 de 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Recursos especializados en atención a mujeres víctimas de violencia de género (CAI Lanzarote y DEMA)</w:t>
            </w:r>
          </w:p>
        </w:tc>
        <w:tc>
          <w:tcPr>
            <w:tcW w:w="2831" w:type="dxa"/>
            <w:vAlign w:val="center"/>
          </w:tcPr>
          <w:p>
            <w:pPr>
              <w:jc w:val="both"/>
              <w:rPr>
                <w:rFonts w:ascii="Arial" w:hAnsi="Arial" w:cs="Arial"/>
                <w:sz w:val="24"/>
                <w:szCs w:val="24"/>
              </w:rPr>
            </w:pPr>
            <w:r>
              <w:rPr>
                <w:rFonts w:ascii="Arial" w:hAnsi="Arial" w:cs="Arial"/>
                <w:sz w:val="24"/>
                <w:szCs w:val="24"/>
              </w:rPr>
              <w:t>2 mujeres</w:t>
            </w:r>
          </w:p>
          <w:p>
            <w:pPr>
              <w:jc w:val="both"/>
              <w:rPr>
                <w:rFonts w:ascii="Arial" w:hAnsi="Arial" w:cs="Arial"/>
                <w:sz w:val="24"/>
                <w:szCs w:val="24"/>
              </w:rPr>
            </w:pPr>
          </w:p>
        </w:tc>
        <w:tc>
          <w:tcPr>
            <w:tcW w:w="2832" w:type="dxa"/>
            <w:vAlign w:val="center"/>
          </w:tcPr>
          <w:p>
            <w:pPr>
              <w:jc w:val="both"/>
              <w:rPr>
                <w:rFonts w:ascii="Arial" w:hAnsi="Arial" w:cs="Arial"/>
                <w:sz w:val="24"/>
                <w:szCs w:val="24"/>
              </w:rPr>
            </w:pPr>
            <w:r>
              <w:rPr>
                <w:rFonts w:ascii="Arial" w:hAnsi="Arial" w:cs="Arial"/>
                <w:sz w:val="24"/>
                <w:szCs w:val="24"/>
              </w:rPr>
              <w:t>1 de 2024, 1 de 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Oblatas del Santísimo Redentor ( Cádiz, Bilbao y  Ferrol)</w:t>
            </w:r>
          </w:p>
        </w:tc>
        <w:tc>
          <w:tcPr>
            <w:tcW w:w="2831" w:type="dxa"/>
            <w:vAlign w:val="center"/>
          </w:tcPr>
          <w:p>
            <w:pPr>
              <w:jc w:val="both"/>
              <w:rPr>
                <w:rFonts w:ascii="Arial" w:hAnsi="Arial" w:cs="Arial"/>
                <w:sz w:val="24"/>
                <w:szCs w:val="24"/>
              </w:rPr>
            </w:pPr>
            <w:r>
              <w:rPr>
                <w:rFonts w:ascii="Arial" w:hAnsi="Arial" w:cs="Arial"/>
                <w:sz w:val="24"/>
                <w:szCs w:val="24"/>
              </w:rPr>
              <w:t>3 mujeres, y 2 niños.</w:t>
            </w:r>
          </w:p>
        </w:tc>
        <w:tc>
          <w:tcPr>
            <w:tcW w:w="2832" w:type="dxa"/>
            <w:vAlign w:val="center"/>
          </w:tcPr>
          <w:p>
            <w:pPr>
              <w:jc w:val="both"/>
              <w:rPr>
                <w:rFonts w:ascii="Arial" w:hAnsi="Arial" w:cs="Arial"/>
                <w:sz w:val="24"/>
                <w:szCs w:val="24"/>
              </w:rPr>
            </w:pPr>
            <w:r>
              <w:rPr>
                <w:rFonts w:ascii="Arial" w:hAnsi="Arial" w:cs="Arial"/>
                <w:sz w:val="24"/>
                <w:szCs w:val="24"/>
              </w:rPr>
              <w:t>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IN GENERO</w:t>
            </w:r>
          </w:p>
        </w:tc>
        <w:tc>
          <w:tcPr>
            <w:tcW w:w="2831" w:type="dxa"/>
            <w:vAlign w:val="center"/>
          </w:tcPr>
          <w:p>
            <w:pPr>
              <w:jc w:val="both"/>
              <w:rPr>
                <w:rFonts w:ascii="Arial" w:hAnsi="Arial" w:cs="Arial"/>
                <w:sz w:val="24"/>
                <w:szCs w:val="24"/>
              </w:rPr>
            </w:pPr>
            <w:r>
              <w:rPr>
                <w:rFonts w:ascii="Arial" w:hAnsi="Arial" w:cs="Arial"/>
                <w:sz w:val="24"/>
                <w:szCs w:val="24"/>
              </w:rPr>
              <w:t>1 mujer</w:t>
            </w:r>
          </w:p>
        </w:tc>
        <w:tc>
          <w:tcPr>
            <w:tcW w:w="2832" w:type="dxa"/>
            <w:vAlign w:val="center"/>
          </w:tcPr>
          <w:p>
            <w:pPr>
              <w:jc w:val="both"/>
              <w:rPr>
                <w:rFonts w:ascii="Arial" w:hAnsi="Arial" w:cs="Arial"/>
                <w:sz w:val="24"/>
                <w:szCs w:val="24"/>
              </w:rPr>
            </w:pPr>
            <w:r>
              <w:rPr>
                <w:rFonts w:ascii="Arial" w:hAnsi="Arial" w:cs="Arial"/>
                <w:sz w:val="24"/>
                <w:szCs w:val="24"/>
              </w:rPr>
              <w:t>2024</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Centro Penitenciario Las Palmas I</w:t>
            </w:r>
          </w:p>
        </w:tc>
        <w:tc>
          <w:tcPr>
            <w:tcW w:w="2831" w:type="dxa"/>
            <w:vAlign w:val="center"/>
          </w:tcPr>
          <w:p>
            <w:pPr>
              <w:jc w:val="both"/>
              <w:rPr>
                <w:rFonts w:ascii="Arial" w:hAnsi="Arial" w:cs="Arial"/>
                <w:sz w:val="24"/>
                <w:szCs w:val="24"/>
              </w:rPr>
            </w:pPr>
            <w:r>
              <w:rPr>
                <w:rFonts w:ascii="Arial" w:hAnsi="Arial" w:cs="Arial"/>
                <w:sz w:val="24"/>
                <w:szCs w:val="24"/>
              </w:rPr>
              <w:t>1 mujer</w:t>
            </w:r>
          </w:p>
        </w:tc>
        <w:tc>
          <w:tcPr>
            <w:tcW w:w="2832" w:type="dxa"/>
            <w:vAlign w:val="center"/>
          </w:tcPr>
          <w:p>
            <w:pPr>
              <w:jc w:val="both"/>
              <w:rPr>
                <w:rFonts w:ascii="Arial" w:hAnsi="Arial" w:cs="Arial"/>
                <w:sz w:val="24"/>
                <w:szCs w:val="24"/>
              </w:rPr>
            </w:pPr>
            <w:r>
              <w:rPr>
                <w:rFonts w:ascii="Arial" w:hAnsi="Arial" w:cs="Arial"/>
                <w:sz w:val="24"/>
                <w:szCs w:val="24"/>
              </w:rPr>
              <w:t>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Fundación Solidaridad Amaranta (Granada)</w:t>
            </w:r>
          </w:p>
        </w:tc>
        <w:tc>
          <w:tcPr>
            <w:tcW w:w="2831" w:type="dxa"/>
            <w:vAlign w:val="center"/>
          </w:tcPr>
          <w:p>
            <w:pPr>
              <w:jc w:val="both"/>
              <w:rPr>
                <w:rFonts w:ascii="Arial" w:hAnsi="Arial" w:cs="Arial"/>
                <w:sz w:val="24"/>
                <w:szCs w:val="24"/>
              </w:rPr>
            </w:pPr>
            <w:r>
              <w:rPr>
                <w:rFonts w:ascii="Arial" w:hAnsi="Arial" w:cs="Arial"/>
                <w:sz w:val="24"/>
                <w:szCs w:val="24"/>
              </w:rPr>
              <w:t>1 mujer</w:t>
            </w:r>
          </w:p>
        </w:tc>
        <w:tc>
          <w:tcPr>
            <w:tcW w:w="2832" w:type="dxa"/>
            <w:vAlign w:val="center"/>
          </w:tcPr>
          <w:p>
            <w:pPr>
              <w:jc w:val="both"/>
              <w:rPr>
                <w:rFonts w:ascii="Arial" w:hAnsi="Arial" w:cs="Arial"/>
                <w:sz w:val="24"/>
                <w:szCs w:val="24"/>
              </w:rPr>
            </w:pPr>
            <w:r>
              <w:rPr>
                <w:rFonts w:ascii="Arial" w:hAnsi="Arial" w:cs="Arial"/>
                <w:sz w:val="24"/>
                <w:szCs w:val="24"/>
              </w:rPr>
              <w:t>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Fundación Cruz Blanca</w:t>
            </w:r>
          </w:p>
        </w:tc>
        <w:tc>
          <w:tcPr>
            <w:tcW w:w="2831" w:type="dxa"/>
            <w:vAlign w:val="center"/>
          </w:tcPr>
          <w:p>
            <w:pPr>
              <w:jc w:val="both"/>
              <w:rPr>
                <w:rFonts w:ascii="Arial" w:hAnsi="Arial" w:cs="Arial"/>
                <w:sz w:val="24"/>
                <w:szCs w:val="24"/>
              </w:rPr>
            </w:pPr>
            <w:r>
              <w:rPr>
                <w:rFonts w:ascii="Arial" w:hAnsi="Arial" w:cs="Arial"/>
                <w:sz w:val="24"/>
                <w:szCs w:val="24"/>
              </w:rPr>
              <w:t>2 mujeres</w:t>
            </w:r>
          </w:p>
        </w:tc>
        <w:tc>
          <w:tcPr>
            <w:tcW w:w="2832" w:type="dxa"/>
            <w:vAlign w:val="center"/>
          </w:tcPr>
          <w:p>
            <w:pPr>
              <w:jc w:val="both"/>
              <w:rPr>
                <w:rFonts w:ascii="Arial" w:hAnsi="Arial" w:cs="Arial"/>
                <w:sz w:val="24"/>
                <w:szCs w:val="24"/>
              </w:rPr>
            </w:pPr>
            <w:r>
              <w:rPr>
                <w:rFonts w:ascii="Arial" w:hAnsi="Arial" w:cs="Arial"/>
                <w:sz w:val="24"/>
                <w:szCs w:val="24"/>
              </w:rPr>
              <w:t>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Médicos del Mundo</w:t>
            </w:r>
          </w:p>
        </w:tc>
        <w:tc>
          <w:tcPr>
            <w:tcW w:w="2831" w:type="dxa"/>
            <w:vAlign w:val="center"/>
          </w:tcPr>
          <w:p>
            <w:pPr>
              <w:jc w:val="both"/>
              <w:rPr>
                <w:rFonts w:ascii="Arial" w:hAnsi="Arial" w:cs="Arial"/>
                <w:sz w:val="24"/>
                <w:szCs w:val="24"/>
              </w:rPr>
            </w:pPr>
            <w:r>
              <w:rPr>
                <w:rFonts w:ascii="Arial" w:hAnsi="Arial" w:cs="Arial"/>
                <w:sz w:val="24"/>
                <w:szCs w:val="24"/>
              </w:rPr>
              <w:t>1 mujer y 1 niña</w:t>
            </w:r>
          </w:p>
        </w:tc>
        <w:tc>
          <w:tcPr>
            <w:tcW w:w="2832" w:type="dxa"/>
            <w:vAlign w:val="center"/>
          </w:tcPr>
          <w:p>
            <w:pPr>
              <w:jc w:val="both"/>
              <w:rPr>
                <w:rFonts w:ascii="Arial" w:hAnsi="Arial" w:cs="Arial"/>
                <w:sz w:val="24"/>
                <w:szCs w:val="24"/>
              </w:rPr>
            </w:pPr>
            <w:r>
              <w:rPr>
                <w:rFonts w:ascii="Arial" w:hAnsi="Arial" w:cs="Arial"/>
                <w:sz w:val="24"/>
                <w:szCs w:val="24"/>
              </w:rPr>
              <w:t>2025</w:t>
            </w:r>
          </w:p>
        </w:tc>
      </w:tr>
      <w:tr>
        <w:trPr>
          <w:jc w:val="center"/>
        </w:trPr>
        <w:tc>
          <w:tcPr>
            <w:tcW w:w="3262" w:type="dxa"/>
            <w:vAlign w:val="center"/>
          </w:tcPr>
          <w:p>
            <w:pPr>
              <w:jc w:val="both"/>
              <w:rPr>
                <w:rFonts w:ascii="Arial" w:hAnsi="Arial" w:cs="Arial"/>
                <w:sz w:val="24"/>
                <w:szCs w:val="24"/>
              </w:rPr>
            </w:pPr>
            <w:r>
              <w:rPr>
                <w:rFonts w:ascii="Arial" w:hAnsi="Arial" w:cs="Arial"/>
                <w:sz w:val="24"/>
                <w:szCs w:val="24"/>
              </w:rPr>
              <w:t>Cáritas</w:t>
            </w:r>
          </w:p>
        </w:tc>
        <w:tc>
          <w:tcPr>
            <w:tcW w:w="2831" w:type="dxa"/>
            <w:vAlign w:val="center"/>
          </w:tcPr>
          <w:p>
            <w:pPr>
              <w:jc w:val="both"/>
              <w:rPr>
                <w:rFonts w:ascii="Arial" w:hAnsi="Arial" w:cs="Arial"/>
                <w:sz w:val="24"/>
                <w:szCs w:val="24"/>
              </w:rPr>
            </w:pPr>
            <w:r>
              <w:rPr>
                <w:rFonts w:ascii="Arial" w:hAnsi="Arial" w:cs="Arial"/>
                <w:sz w:val="24"/>
                <w:szCs w:val="24"/>
              </w:rPr>
              <w:t>1 mujer</w:t>
            </w:r>
          </w:p>
        </w:tc>
        <w:tc>
          <w:tcPr>
            <w:tcW w:w="2832" w:type="dxa"/>
            <w:vAlign w:val="center"/>
          </w:tcPr>
          <w:p>
            <w:pPr>
              <w:jc w:val="both"/>
              <w:rPr>
                <w:rFonts w:ascii="Arial" w:hAnsi="Arial" w:cs="Arial"/>
                <w:sz w:val="24"/>
                <w:szCs w:val="24"/>
              </w:rPr>
            </w:pPr>
            <w:r>
              <w:rPr>
                <w:rFonts w:ascii="Arial" w:hAnsi="Arial" w:cs="Arial"/>
                <w:sz w:val="24"/>
                <w:szCs w:val="24"/>
              </w:rPr>
              <w:t>2025</w:t>
            </w:r>
          </w:p>
        </w:tc>
      </w:tr>
    </w:tbl>
    <w:p>
      <w:pPr>
        <w:autoSpaceDE w:val="0"/>
        <w:autoSpaceDN w:val="0"/>
        <w:adjustRightInd w:val="0"/>
        <w:spacing w:after="0"/>
        <w:ind w:right="142"/>
        <w:jc w:val="both"/>
        <w:rPr>
          <w:rFonts w:ascii="Arial" w:eastAsia="Times New Roman" w:hAnsi="Arial" w:cs="Arial"/>
          <w:b/>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Como se puede apreciar en la tabla anterior, las personas atendidas corresponden a casos iniciados en 2024 que requirieron continuidad en el acompañamiento, mientras que la mayoría fueron nuevos ingresos realizados a lo largo de 2025. Las principales entidades derivantes fueron UCRIF, Fundación Cruz Blanca, Médicos del Mundo y Oblatas del Santísimo Redentor, lo que refleja la amplia colaboración interinstitucional y el papel del recurso como espacio especializado para la protección y recuperación de mujeres en contextos de prostitución, trata y vulnerabilidad social.</w:t>
      </w:r>
    </w:p>
    <w:p>
      <w:pPr>
        <w:autoSpaceDE w:val="0"/>
        <w:autoSpaceDN w:val="0"/>
        <w:adjustRightInd w:val="0"/>
        <w:spacing w:after="0"/>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Otras actividades realizadas desde el Área han sido: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w:t>
      </w:r>
      <w:r>
        <w:rPr>
          <w:rFonts w:ascii="Arial" w:eastAsia="Times New Roman" w:hAnsi="Arial" w:cs="Arial"/>
          <w:b/>
          <w:color w:val="000000"/>
          <w:sz w:val="24"/>
          <w:szCs w:val="24"/>
          <w:u w:val="single"/>
          <w:lang w:eastAsia="es-ES"/>
        </w:rPr>
        <w:t>Proporcionar ayudas para cubrir las necesidades básicas</w:t>
      </w:r>
      <w:r>
        <w:rPr>
          <w:rFonts w:ascii="Arial" w:eastAsia="Times New Roman" w:hAnsi="Arial" w:cs="Arial"/>
          <w:color w:val="000000"/>
          <w:sz w:val="24"/>
          <w:szCs w:val="24"/>
          <w:lang w:eastAsia="es-ES"/>
        </w:rPr>
        <w:t xml:space="preserve"> de las mujeres y sus hijas/os (protección, alojamiento, alimentación, higiene personal, medicamentos, gafas, ayudas para transporte, así como las derivadas del cuidado y educación de sus hijos, si los tuviesen). Se han brindado ayudas básicas tanto en la Casa como en las oficinas, con la participación de Educadoras sociales y Trabajadora social. Todas las mujeres y sus hijos/as acogidos han recibido apoyo para satisfacer sus necesidades esenciales. Además de alojamiento y manutención, se han proporcionado los recursos materiales básicos que han precisado el 100 % de las personas acogidas (18 personas).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Además las personas acogidas se han beneficiado de las siguientes ayudas, tanto para satisfacer necesidades básicas, como otras ayudas favorables para lograr inserción social: ayudas destinadas a transporte urbano y billetes de avión, pago de tasas de extranjería, obtención de documentación, medicamentos, ayuda mensual a mujeres acogidas, alojamiento alternativo, campamentos de menores en periodos no lectivos, atención odontológica, acceso a gimnasio, libros y material escolar, productos de aseo personal, productos específicos para bebé, gafas graduadas y recarga telefónica, entre otras.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w:t>
      </w:r>
      <w:r>
        <w:rPr>
          <w:rFonts w:ascii="Arial" w:eastAsia="Times New Roman" w:hAnsi="Arial" w:cs="Arial"/>
          <w:b/>
          <w:color w:val="000000"/>
          <w:sz w:val="24"/>
          <w:szCs w:val="24"/>
          <w:u w:val="single"/>
          <w:lang w:eastAsia="es-ES"/>
        </w:rPr>
        <w:t>Atención individualizada desde el área social</w:t>
      </w:r>
      <w:r>
        <w:rPr>
          <w:rFonts w:ascii="Arial" w:eastAsia="Times New Roman" w:hAnsi="Arial" w:cs="Arial"/>
          <w:color w:val="000000"/>
          <w:sz w:val="24"/>
          <w:szCs w:val="24"/>
          <w:u w:val="single"/>
          <w:lang w:eastAsia="es-ES"/>
        </w:rPr>
        <w:t>:</w:t>
      </w:r>
      <w:r>
        <w:rPr>
          <w:rFonts w:ascii="Arial" w:eastAsia="Times New Roman" w:hAnsi="Arial" w:cs="Arial"/>
          <w:color w:val="000000"/>
          <w:sz w:val="24"/>
          <w:szCs w:val="24"/>
          <w:lang w:eastAsia="es-ES"/>
        </w:rPr>
        <w:t xml:space="preserve"> A partir del registro mensual de ocupación del recurso, se realizó una estimación del número de intervenciones individuales desarrolladas con cada mujer. Para el cálculo se tomó como referencia una media de tres atenciones por mes para cada mujer o sus hijos/as, lo que permite obtener una aproximación coherente de la carga real de acompañamiento durante el periodo analizado. Con base en los meses de permanencia de cada persona, se estimó el siguiente volumen de intervenciones: Mujer 1 (24 atenciones), Mujer 2 (36), Mujer 3 (33), Mujer 4 (18), Mujer 5 (33), Mujer 6 (12), Mujer 7 (6), Mujer 8 (24), Mujer 9 (9), Menor 1 (9), Mujer 10 (24), Menor 2 (24), Menor 3 (9), Mujer 11 (18), Mujer 12 (12), Mujer 13 (9) , Mujer 14 (6), Mujer 15 (3).</w:t>
      </w:r>
    </w:p>
    <w:p>
      <w:pPr>
        <w:autoSpaceDE w:val="0"/>
        <w:autoSpaceDN w:val="0"/>
        <w:adjustRightInd w:val="0"/>
        <w:spacing w:after="0" w:line="360" w:lineRule="auto"/>
        <w:ind w:right="142"/>
        <w:jc w:val="both"/>
        <w:rPr>
          <w:rFonts w:ascii="Arial" w:eastAsia="Times New Roman" w:hAnsi="Arial" w:cs="Arial"/>
          <w:color w:val="000000"/>
          <w:sz w:val="24"/>
          <w:szCs w:val="24"/>
          <w:u w:val="single"/>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En conjunto, estas cifras representan un total aproximado de 309 atenciones individualizadas a lo largo del año. Este volumen refleja tanto la intensidad del acompañamiento psicosocial como la diversidad de necesidades presentes en las distintas etapas del proceso de recuperación, regularización documental, protección y fortalecimiento de la autonomía de las mujeres vinculadas al Programa Oblatas Daniela. Asimismo, las variaciones en la duración de las estancias y en la composición familiar permiten observar picos de demanda, momentos de mayor carga de trabajo y periodos en los que la intervención requirió un mayor ajuste a las trayectorias personales de cada usuaria.</w:t>
      </w:r>
    </w:p>
    <w:p>
      <w:pPr>
        <w:autoSpaceDE w:val="0"/>
        <w:autoSpaceDN w:val="0"/>
        <w:adjustRightInd w:val="0"/>
        <w:spacing w:after="0" w:line="360" w:lineRule="auto"/>
        <w:ind w:right="142"/>
        <w:jc w:val="both"/>
        <w:rPr>
          <w:rFonts w:ascii="Arial" w:eastAsia="Times New Roman" w:hAnsi="Arial" w:cs="Arial"/>
          <w:color w:val="000000"/>
          <w:sz w:val="24"/>
          <w:szCs w:val="24"/>
          <w:highlight w:val="yellow"/>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w:t>
      </w:r>
      <w:r>
        <w:rPr>
          <w:rFonts w:ascii="Arial" w:eastAsia="Times New Roman" w:hAnsi="Arial" w:cs="Arial"/>
          <w:b/>
          <w:color w:val="000000"/>
          <w:sz w:val="24"/>
          <w:szCs w:val="24"/>
          <w:u w:val="single"/>
          <w:lang w:eastAsia="es-ES"/>
        </w:rPr>
        <w:t>Diseño y elaboración del Plan de Trabajo Individual compartido</w:t>
      </w:r>
      <w:r>
        <w:rPr>
          <w:rFonts w:ascii="Arial" w:eastAsia="Times New Roman" w:hAnsi="Arial" w:cs="Arial"/>
          <w:color w:val="000000"/>
          <w:sz w:val="24"/>
          <w:szCs w:val="24"/>
          <w:lang w:eastAsia="es-ES"/>
        </w:rPr>
        <w:t xml:space="preserve"> (PTIC) con cada mujer.</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hAnsi="Arial" w:cs="Arial"/>
          <w:sz w:val="24"/>
          <w:szCs w:val="24"/>
        </w:rPr>
      </w:pPr>
      <w:r>
        <w:rPr>
          <w:rFonts w:ascii="Arial" w:eastAsia="Times New Roman" w:hAnsi="Arial" w:cs="Arial"/>
          <w:color w:val="000000"/>
          <w:sz w:val="24"/>
          <w:szCs w:val="24"/>
          <w:lang w:eastAsia="es-ES"/>
        </w:rPr>
        <w:t>Desde el área social se ha participado en la realización de 12 PTIC, realizado por la mujer (fijando qué objetivos quiere alcanzar y cómo lo hará), así como las profesionales. En ocasiones se ha tenido que esperar que la mujer logre una mínima estabilidad emocional para poder definir sus expectativas, por lo que se ha tenido como premisa metodológica respetar los tiempos de cada mujer según su situación personal. Cabe resaltar que a 3 mujeres no se les han realizado PTIC por entrada reciente al recurso alojativo.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b/>
          <w:color w:val="000000"/>
          <w:sz w:val="24"/>
          <w:szCs w:val="24"/>
          <w:u w:val="single"/>
          <w:lang w:eastAsia="es-ES"/>
        </w:rPr>
      </w:pPr>
      <w:r>
        <w:rPr>
          <w:rFonts w:ascii="Arial" w:eastAsia="Times New Roman" w:hAnsi="Arial" w:cs="Arial"/>
          <w:color w:val="000000"/>
          <w:sz w:val="24"/>
          <w:szCs w:val="24"/>
          <w:lang w:eastAsia="es-ES"/>
        </w:rPr>
        <w:t>-</w:t>
      </w:r>
      <w:r>
        <w:rPr>
          <w:rFonts w:ascii="Arial" w:eastAsia="Times New Roman" w:hAnsi="Arial" w:cs="Arial"/>
          <w:b/>
          <w:color w:val="000000"/>
          <w:sz w:val="24"/>
          <w:szCs w:val="24"/>
          <w:u w:val="single"/>
          <w:lang w:eastAsia="es-ES"/>
        </w:rPr>
        <w:t>Incorporación a los sistemas públicos de bienestar (tramitaciones y acompañamientos a recursos)</w:t>
      </w:r>
    </w:p>
    <w:p>
      <w:pPr>
        <w:autoSpaceDE w:val="0"/>
        <w:autoSpaceDN w:val="0"/>
        <w:adjustRightInd w:val="0"/>
        <w:spacing w:after="0" w:line="360" w:lineRule="auto"/>
        <w:ind w:right="142"/>
        <w:jc w:val="both"/>
        <w:rPr>
          <w:rFonts w:ascii="Arial" w:eastAsia="Times New Roman" w:hAnsi="Arial" w:cs="Arial"/>
          <w:b/>
          <w:color w:val="000000"/>
          <w:sz w:val="24"/>
          <w:szCs w:val="24"/>
          <w:u w:val="single"/>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 trabajadora social ha elaborado un total de 10 informes sociales con las siguientes finalidades: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elaboran tres informes sociales dirigidos al Cabildo Insular de Gran Canaria con el fin de solicitar la Acreditación Administrativa de condición de víctima de trata de seres humanos y/o explotación sexual.</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Se realiza un informe social para la Dirección General del Menor del Gobierno de Canarias.</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elabora un informe social dirigido a Inspección Educativa para solicitar la escolarización de un menor.</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prepara un informe social para un centro educativo a fin de gestionar la cuota cero en comedor escolar.</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redacta un informe social para Mensajeros de la Paz con el propósito de solicitar juguetes.</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elabora un informe social dirigido a la Asociación Mojo de Caña para facilitar el acceso de una menor a actividades de refuerzo escolar.</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prepara un informe social para Cruz Blanca con el fin de facilitar el retorno voluntario de una mujer.</w:t>
      </w:r>
    </w:p>
    <w:p>
      <w:pPr>
        <w:numPr>
          <w:ilvl w:val="0"/>
          <w:numId w:val="71"/>
        </w:numPr>
        <w:autoSpaceDE w:val="0"/>
        <w:autoSpaceDN w:val="0"/>
        <w:adjustRightInd w:val="0"/>
        <w:spacing w:after="0" w:line="360" w:lineRule="auto"/>
        <w:ind w:right="142"/>
        <w:contextualSpacing/>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redacta un informe psicosocial dirigido al Centro de Salud de Maspalomas, dentro del programa “Tendiendo puentes hacia la salud”, para favorecer el acceso a atención psiquiátrica.</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Tramitación de prestaciones sociales: Se realizaron cinco solicitudes de prestaciones sociales: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Tres solicitudes de ayuda de emergencia social para mujeres víctimas de violencia de género, dirigidas al Cabildo Insular de Gran Canaria.</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Una tramitación de solicitud de ayuda al alquiler en el Gobierno de Canarias, correspondiente a vivienda protegida en régimen de alquiler privado.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Una solicitud de acceso a vivienda en la entidad Provivienda.</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Tramitación de tarjetas sanitarias: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realizaron diez nuevas tramitaciones de tarjeta sanitaria. Las demás personas acogidas ya disponían de tarjeta con anterioridad o se les había gestionado el año previo.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 Apoyo en la búsqueda de vivienda</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Solicitudes de vivienda o ayudas al alquiler: 5</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Acompañamiento y/o gestión en procesos de búsqueda de habitación o vivienda de alquiler: 3</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Mujeres que han accedido a vivienda (según registros de bajas): 2</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Apoyo para la inserción sociolaboral</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Asesoramiento e información sobre recursos laborales: 13 mujeres.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Elaboración de currículum vitae: 9 mujeres.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Mujeres que han accedido a empleo, incluso de carácter temporal: 6</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Otros apoyos complementarios en proceso de búsqueda de empleo.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Acompañamientos realizados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Número total de mujeres acompañadas: 15</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Recursos a los que se ha realizado acompañamiento: Delegación del Gobierno (Extranjería), Hospital Materno Infantil, Hospital Insular, Hospital Dr. Negrín, alojamientos alternativos, Centro de Salud  de Canalejas, academia formativa (CIP), Servicio Canario de Empleo de Arenales, Comisaría de Policía Nacional, oficinas municipales para empadronamientos, Registro de demandantes de vivienda protegida del Gobierno de Canarias, servicios odontológicos y ópticos, consulados de Colombia y Perú, registros del Gobierno de Canarias (Edificio de Usos Múltiples II), Acamei, Asociación Adsis y campus de verano del polideportivo López Socas.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Derivaciones a recursos del entorno: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Menores en escuelas infantiles: 1</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Menores escolarizados: 1</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 Empadronamientos realizados en 2025: 9 personas (8 mujeres y 1 menor).</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Mujeres derivadas a recursos formativos: 10</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Recursos formativos de destino: Servicio Canario de Empleo (9), Fundación Ecca (3), academia CIP (3), ICSE (1), Universidad Popular (1), Qualitas Alimentarias (1), Centro de Referencia Nacional (1), Asociación Adsis (1), Acamei (1), Escuela Oficial de Idiomas (1).</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Mujeres participantes en el proyecto de formación y empleo del Programa Oblatas Daniela: 3</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Derivaciones a recursos sanitarios públicos y privados: Centros de Salud de Canalejas (7), San José (1), Maspalomas (1), Hospital Materno Infantil (1), UAD (1), Asociación Gull Lasegue (1), servicios de óptica (3) y odontología (2).</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Otros recursos derivados: Asociación Mojo de Caña (ocio y campus de verano), campus municipales del Ayuntamiento de Las Palmas de Gran Canaria, empresas con convenios de inserción laboral (Satocan, Princes, Spar, Limasa), entre otros.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u w:val="single"/>
          <w:lang w:eastAsia="es-ES"/>
        </w:rPr>
      </w:pPr>
      <w:r>
        <w:rPr>
          <w:rFonts w:ascii="Arial" w:eastAsia="Times New Roman" w:hAnsi="Arial" w:cs="Arial"/>
          <w:b/>
          <w:color w:val="000000"/>
          <w:sz w:val="24"/>
          <w:szCs w:val="24"/>
          <w:u w:val="single"/>
          <w:lang w:eastAsia="es-ES"/>
        </w:rPr>
        <w:t>-Reuniones de coordinación y seguimiento con el equipo técnico e interdisciplinar del Programa</w:t>
      </w:r>
      <w:r>
        <w:rPr>
          <w:rFonts w:ascii="Arial" w:eastAsia="Times New Roman" w:hAnsi="Arial" w:cs="Arial"/>
          <w:color w:val="000000"/>
          <w:sz w:val="24"/>
          <w:szCs w:val="24"/>
          <w:u w:val="single"/>
          <w:lang w:eastAsia="es-ES"/>
        </w:rPr>
        <w:t xml:space="preserve">: </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han llevado a cabo las siguientes reuniones a nivel interno en las que ha participado el Área Social:</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Reuniones del equipo interdisciplinar: 26</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Reuniones del equipo técnico: 42</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Además, se ha participado en</w:t>
      </w:r>
      <w:r>
        <w:rPr>
          <w:rFonts w:ascii="Arial" w:eastAsia="Times New Roman" w:hAnsi="Arial" w:cs="Arial"/>
          <w:color w:val="000000"/>
          <w:sz w:val="24"/>
          <w:szCs w:val="24"/>
          <w:u w:val="single"/>
          <w:lang w:eastAsia="es-ES"/>
        </w:rPr>
        <w:t xml:space="preserve"> </w:t>
      </w:r>
      <w:r>
        <w:rPr>
          <w:rFonts w:ascii="Arial" w:eastAsia="Times New Roman" w:hAnsi="Arial" w:cs="Arial"/>
          <w:b/>
          <w:color w:val="000000"/>
          <w:sz w:val="24"/>
          <w:szCs w:val="24"/>
          <w:u w:val="single"/>
          <w:lang w:eastAsia="es-ES"/>
        </w:rPr>
        <w:t>acciones de formación</w:t>
      </w:r>
      <w:r>
        <w:rPr>
          <w:rFonts w:ascii="Arial" w:eastAsia="Times New Roman" w:hAnsi="Arial" w:cs="Arial"/>
          <w:color w:val="000000"/>
          <w:sz w:val="24"/>
          <w:szCs w:val="24"/>
          <w:lang w:eastAsia="es-ES"/>
        </w:rPr>
        <w:t xml:space="preserve"> para profesionales, con entidades con las que se trabaja en Red, como son Oblatas Provincia Europa (entidades Oblatas de España, Italia y Portugal) y EnRed.Contigo (entidades de la isla que trabajan directa o indirectamente con mujeres en contexto de prostitución).</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Todas estas acciones han redundado en beneficio de las mujeres destinatarias del proyecto, tanto cuando se han realizado por intervención individual, como cuando se </w:t>
      </w:r>
      <w:r>
        <w:rPr>
          <w:rFonts w:ascii="Arial" w:eastAsia="Times New Roman" w:hAnsi="Arial" w:cs="Arial"/>
          <w:color w:val="000000"/>
          <w:sz w:val="24"/>
          <w:szCs w:val="24"/>
          <w:lang w:eastAsia="es-ES"/>
        </w:rPr>
        <w:lastRenderedPageBreak/>
        <w:t>ha tratado de acciones de formación, sensibilización social o acciones con el objetivo de mejorar la atención a nivel colectivo.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Acciones formativas en las que ha participado el equipo de atención interdisciplinar, entre ellas el Área Social, han sido:</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tbl>
      <w:tblPr>
        <w:tblW w:w="10168" w:type="dxa"/>
        <w:tblInd w:w="-108" w:type="dxa"/>
        <w:tblLayout w:type="fixed"/>
        <w:tblCellMar>
          <w:left w:w="10" w:type="dxa"/>
          <w:right w:w="10" w:type="dxa"/>
        </w:tblCellMar>
        <w:tblLook w:val="0000" w:firstRow="0" w:lastRow="0" w:firstColumn="0" w:lastColumn="0" w:noHBand="0" w:noVBand="0"/>
      </w:tblPr>
      <w:tblGrid>
        <w:gridCol w:w="2797"/>
        <w:gridCol w:w="2551"/>
        <w:gridCol w:w="1843"/>
        <w:gridCol w:w="2977"/>
      </w:tblGrid>
      <w:tr>
        <w:tc>
          <w:tcPr>
            <w:tcW w:w="2797"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tcPr>
          <w:p>
            <w:pPr>
              <w:suppressAutoHyphens/>
              <w:autoSpaceDN w:val="0"/>
              <w:spacing w:after="0"/>
              <w:jc w:val="both"/>
              <w:textAlignment w:val="baseline"/>
              <w:rPr>
                <w:rFonts w:ascii="Arial" w:eastAsia="SimSun" w:hAnsi="Arial" w:cs="Arial"/>
                <w:kern w:val="3"/>
                <w:sz w:val="24"/>
                <w:szCs w:val="24"/>
              </w:rPr>
            </w:pPr>
            <w:r>
              <w:rPr>
                <w:rFonts w:ascii="Arial" w:eastAsia="SimSun" w:hAnsi="Arial" w:cs="Arial"/>
                <w:b/>
                <w:kern w:val="3"/>
                <w:sz w:val="24"/>
                <w:szCs w:val="24"/>
              </w:rPr>
              <w:t>DENOMINACIÓN</w:t>
            </w:r>
          </w:p>
        </w:tc>
        <w:tc>
          <w:tcPr>
            <w:tcW w:w="2551"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tcPr>
          <w:p>
            <w:pPr>
              <w:suppressAutoHyphens/>
              <w:autoSpaceDN w:val="0"/>
              <w:spacing w:after="0"/>
              <w:jc w:val="both"/>
              <w:textAlignment w:val="baseline"/>
              <w:rPr>
                <w:rFonts w:ascii="Arial" w:eastAsia="SimSun" w:hAnsi="Arial" w:cs="Arial"/>
                <w:kern w:val="3"/>
                <w:sz w:val="24"/>
                <w:szCs w:val="24"/>
              </w:rPr>
            </w:pPr>
            <w:r>
              <w:rPr>
                <w:rFonts w:ascii="Arial" w:eastAsia="SimSun" w:hAnsi="Arial" w:cs="Arial"/>
                <w:b/>
                <w:kern w:val="3"/>
                <w:sz w:val="24"/>
                <w:szCs w:val="24"/>
              </w:rPr>
              <w:t>ENTIDAD QUE IMPARTE / ORGANIZA</w:t>
            </w:r>
          </w:p>
        </w:tc>
        <w:tc>
          <w:tcPr>
            <w:tcW w:w="1843"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tcPr>
          <w:p>
            <w:pPr>
              <w:suppressAutoHyphens/>
              <w:autoSpaceDN w:val="0"/>
              <w:spacing w:after="0"/>
              <w:jc w:val="center"/>
              <w:textAlignment w:val="baseline"/>
              <w:rPr>
                <w:rFonts w:ascii="Arial" w:eastAsia="SimSun" w:hAnsi="Arial" w:cs="Arial"/>
                <w:kern w:val="3"/>
                <w:sz w:val="24"/>
                <w:szCs w:val="24"/>
              </w:rPr>
            </w:pPr>
            <w:r>
              <w:rPr>
                <w:rFonts w:ascii="Arial" w:eastAsia="SimSun" w:hAnsi="Arial" w:cs="Arial"/>
                <w:b/>
                <w:kern w:val="3"/>
                <w:sz w:val="24"/>
                <w:szCs w:val="24"/>
              </w:rPr>
              <w:t>FECHA</w:t>
            </w:r>
          </w:p>
        </w:tc>
        <w:tc>
          <w:tcPr>
            <w:tcW w:w="2977" w:type="dxa"/>
            <w:tcBorders>
              <w:top w:val="single" w:sz="4" w:space="0" w:color="00000A"/>
              <w:left w:val="single" w:sz="4" w:space="0" w:color="00000A"/>
              <w:bottom w:val="single" w:sz="4" w:space="0" w:color="00000A"/>
              <w:right w:val="single" w:sz="4" w:space="0" w:color="00000A"/>
            </w:tcBorders>
            <w:shd w:val="clear" w:color="auto" w:fill="BDD6EE"/>
            <w:tcMar>
              <w:top w:w="0" w:type="dxa"/>
              <w:left w:w="108" w:type="dxa"/>
              <w:bottom w:w="0" w:type="dxa"/>
              <w:right w:w="108" w:type="dxa"/>
            </w:tcMar>
          </w:tcPr>
          <w:p>
            <w:pPr>
              <w:suppressAutoHyphens/>
              <w:autoSpaceDN w:val="0"/>
              <w:spacing w:after="0"/>
              <w:jc w:val="both"/>
              <w:textAlignment w:val="baseline"/>
              <w:rPr>
                <w:rFonts w:ascii="Arial" w:eastAsia="SimSun" w:hAnsi="Arial" w:cs="Arial"/>
                <w:kern w:val="3"/>
                <w:sz w:val="24"/>
                <w:szCs w:val="24"/>
              </w:rPr>
            </w:pPr>
            <w:r>
              <w:rPr>
                <w:rFonts w:ascii="Arial" w:eastAsia="SimSun" w:hAnsi="Arial" w:cs="Arial"/>
                <w:b/>
                <w:kern w:val="3"/>
                <w:sz w:val="24"/>
                <w:szCs w:val="24"/>
              </w:rPr>
              <w:t>LUGAR DE CELEBRACIÓN</w:t>
            </w:r>
          </w:p>
        </w:tc>
      </w:tr>
      <w:tr>
        <w:tc>
          <w:tcPr>
            <w:tcW w:w="27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Jornadas de sensibilización contra la trata con fines de explotación sexual “Prostitución en la cultura”.</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Comunidad de Oblatas del Stmo. Redentor Las Palmas</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center"/>
              <w:rPr>
                <w:rFonts w:ascii="Arial" w:hAnsi="Arial" w:cs="Arial"/>
              </w:rPr>
            </w:pPr>
            <w:r>
              <w:rPr>
                <w:rFonts w:ascii="Arial" w:hAnsi="Arial" w:cs="Arial"/>
              </w:rPr>
              <w:t>22, 23 y 24/09/2025</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Presencial. Casa de Colón (Las Palmas de GC) y Espacio Violeta de la ULPGC</w:t>
            </w:r>
          </w:p>
        </w:tc>
      </w:tr>
      <w:tr>
        <w:tc>
          <w:tcPr>
            <w:tcW w:w="27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“Elaboración de presupuestos”</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Oblatas Provincia Europa (Grupo de Administración)</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center"/>
              <w:rPr>
                <w:rFonts w:ascii="Arial" w:hAnsi="Arial" w:cs="Arial"/>
              </w:rPr>
            </w:pPr>
            <w:r>
              <w:rPr>
                <w:rFonts w:ascii="Arial" w:hAnsi="Arial" w:cs="Arial"/>
              </w:rPr>
              <w:t>12/10/2025</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Online</w:t>
            </w:r>
          </w:p>
        </w:tc>
      </w:tr>
      <w:tr>
        <w:tc>
          <w:tcPr>
            <w:tcW w:w="27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Proyecto Moneiba – Proyecto Hombre</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Proyecto Hombre / Proyecto Moneiba</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center"/>
              <w:rPr>
                <w:rFonts w:ascii="Arial" w:hAnsi="Arial" w:cs="Arial"/>
              </w:rPr>
            </w:pPr>
            <w:r>
              <w:rPr>
                <w:rFonts w:ascii="Arial" w:hAnsi="Arial" w:cs="Arial"/>
              </w:rPr>
              <w:t>17/10/2025</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Online</w:t>
            </w:r>
          </w:p>
        </w:tc>
      </w:tr>
      <w:tr>
        <w:tc>
          <w:tcPr>
            <w:tcW w:w="27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“V Jornada Internacional sobre Trata con fines de Explotación Sexual” (Experiencias y reflexiones en el acompañamiento a las víctimas)</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Oblatas Provincia Europa</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center"/>
              <w:rPr>
                <w:rFonts w:ascii="Arial" w:hAnsi="Arial" w:cs="Arial"/>
              </w:rPr>
            </w:pPr>
            <w:r>
              <w:rPr>
                <w:rFonts w:ascii="Arial" w:hAnsi="Arial" w:cs="Arial"/>
              </w:rPr>
              <w:t>13/11/2025</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Online</w:t>
            </w:r>
          </w:p>
        </w:tc>
      </w:tr>
      <w:tr>
        <w:tc>
          <w:tcPr>
            <w:tcW w:w="27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Formación anual sobre SdPI (Safeguarding)</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Comunidad de Oblatas del Stmo. Redentor Las Palmas</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center"/>
              <w:rPr>
                <w:rFonts w:ascii="Arial" w:hAnsi="Arial" w:cs="Arial"/>
              </w:rPr>
            </w:pPr>
            <w:r>
              <w:rPr>
                <w:rFonts w:ascii="Arial" w:hAnsi="Arial" w:cs="Arial"/>
              </w:rPr>
              <w:t>27/11/2025</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pPr>
              <w:jc w:val="both"/>
              <w:rPr>
                <w:rFonts w:ascii="Arial" w:hAnsi="Arial" w:cs="Arial"/>
              </w:rPr>
            </w:pPr>
            <w:r>
              <w:rPr>
                <w:rFonts w:ascii="Arial" w:hAnsi="Arial" w:cs="Arial"/>
              </w:rPr>
              <w:t>Presencial. Oficinas del Programa Oblatas Daniela, C/ Carmen Llopis, 7, 2º, Las Palmas de GC</w:t>
            </w:r>
          </w:p>
        </w:tc>
      </w:tr>
    </w:tbl>
    <w:p>
      <w:pPr>
        <w:suppressAutoHyphens/>
        <w:autoSpaceDN w:val="0"/>
        <w:spacing w:after="160"/>
        <w:jc w:val="both"/>
        <w:textAlignment w:val="baseline"/>
        <w:rPr>
          <w:rFonts w:ascii="Arial" w:eastAsia="SimSun" w:hAnsi="Arial" w:cs="Arial"/>
          <w:kern w:val="3"/>
          <w:sz w:val="24"/>
          <w:szCs w:val="24"/>
        </w:rPr>
      </w:pP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xml:space="preserve">- Otros encuentros realizados: </w:t>
      </w:r>
    </w:p>
    <w:p>
      <w:pPr>
        <w:pStyle w:val="Prrafodelista"/>
        <w:numPr>
          <w:ilvl w:val="0"/>
          <w:numId w:val="15"/>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09/06/2025: Encuentro virtual de zona organizado por Grupo de Acompañamiento de Proyectos de Oblatas Provincia Europa.</w:t>
      </w:r>
    </w:p>
    <w:p>
      <w:pPr>
        <w:pStyle w:val="Prrafodelista"/>
        <w:numPr>
          <w:ilvl w:val="0"/>
          <w:numId w:val="15"/>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27/10/2025: Encuentro carisma Oblatas realizado en Ciempozuelos (Madrid).</w:t>
      </w:r>
    </w:p>
    <w:p>
      <w:pPr>
        <w:pStyle w:val="Prrafodelista"/>
        <w:numPr>
          <w:ilvl w:val="0"/>
          <w:numId w:val="15"/>
        </w:num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lastRenderedPageBreak/>
        <w:t>10/12/2025: Encuentro para personal laboral que comenzaron en Oblatas del Santísimo Redentor, durante el 2025.</w:t>
      </w:r>
    </w:p>
    <w:p>
      <w:pPr>
        <w:suppressAutoHyphens/>
        <w:autoSpaceDN w:val="0"/>
        <w:spacing w:after="160" w:line="360" w:lineRule="auto"/>
        <w:jc w:val="both"/>
        <w:textAlignment w:val="baseline"/>
        <w:rPr>
          <w:rFonts w:ascii="Arial" w:eastAsia="SimSun" w:hAnsi="Arial" w:cs="Arial"/>
          <w:b/>
          <w:kern w:val="3"/>
          <w:sz w:val="24"/>
          <w:szCs w:val="24"/>
        </w:rPr>
      </w:pPr>
      <w:r>
        <w:rPr>
          <w:rFonts w:ascii="Arial" w:eastAsia="SimSun" w:hAnsi="Arial" w:cs="Arial"/>
          <w:b/>
          <w:kern w:val="3"/>
          <w:sz w:val="24"/>
          <w:szCs w:val="24"/>
        </w:rPr>
        <w:t xml:space="preserve">- </w:t>
      </w:r>
      <w:r>
        <w:rPr>
          <w:rFonts w:ascii="Arial" w:eastAsia="SimSun" w:hAnsi="Arial" w:cs="Arial"/>
          <w:b/>
          <w:kern w:val="3"/>
          <w:sz w:val="24"/>
          <w:szCs w:val="24"/>
          <w:u w:val="single"/>
        </w:rPr>
        <w:t>Establecer contactos o reuniones de coordinación con otros recursos sociales:</w:t>
      </w:r>
      <w:r>
        <w:rPr>
          <w:rFonts w:ascii="Arial" w:eastAsia="SimSun" w:hAnsi="Arial" w:cs="Arial"/>
          <w:b/>
          <w:kern w:val="3"/>
          <w:sz w:val="24"/>
          <w:szCs w:val="24"/>
        </w:rPr>
        <w:t xml:space="preserve"> </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Se ha mantenido coordinación con los Centros de Salud de Canalejas y Maspalomas (programa “Tendiendo puentes hacia la salud” del Servicio Canario de Salud), ETAC, consulados de Colombia y Perú, Médicos del Mundo, Fundación Adsis, Fundación Ecca, Fundación Farrah, Pastoral Penitenciaria, Ecca Edu, Ecca Social, UCRIF de Policía Nacional y otros recursos comunitarios.</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Se destacan algunas de las reuniones mantenidas desde el Área:</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EnRed.Contigo (Médicos del Mundo, Cruz Blanca, Centro Lugo, Gamá, InGénero, Aplec, Amar Dragoste): tres reuniones.</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Oblatas Provincia Europa: coordinación continua.</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Red Insular de Violencia de Género del Cabildo Insular de Gran Canaria: 5 reuniones del área social.</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UCRIF de Policía Nacional: 2 reuniones.</w:t>
      </w:r>
    </w:p>
    <w:p>
      <w:pPr>
        <w:suppressAutoHyphens/>
        <w:autoSpaceDN w:val="0"/>
        <w:spacing w:after="160" w:line="360" w:lineRule="auto"/>
        <w:jc w:val="both"/>
        <w:textAlignment w:val="baseline"/>
        <w:rPr>
          <w:rFonts w:ascii="Arial" w:eastAsia="SimSun" w:hAnsi="Arial" w:cs="Arial"/>
          <w:kern w:val="3"/>
          <w:sz w:val="24"/>
          <w:szCs w:val="24"/>
        </w:rPr>
      </w:pPr>
      <w:r>
        <w:rPr>
          <w:rFonts w:ascii="Arial" w:eastAsia="SimSun" w:hAnsi="Arial" w:cs="Arial"/>
          <w:kern w:val="3"/>
          <w:sz w:val="24"/>
          <w:szCs w:val="24"/>
        </w:rPr>
        <w:t>• Red de Empleabilidad de Canarias: 1 reunión.</w:t>
      </w:r>
    </w:p>
    <w:p>
      <w:pPr>
        <w:suppressAutoHyphens/>
        <w:autoSpaceDN w:val="0"/>
        <w:spacing w:after="160" w:line="360" w:lineRule="auto"/>
        <w:jc w:val="both"/>
        <w:textAlignment w:val="baseline"/>
        <w:rPr>
          <w:rFonts w:ascii="Arial" w:eastAsia="SimSun" w:hAnsi="Arial" w:cs="Arial"/>
          <w:b/>
          <w:kern w:val="3"/>
          <w:sz w:val="24"/>
          <w:szCs w:val="24"/>
        </w:rPr>
      </w:pPr>
      <w:r>
        <w:rPr>
          <w:rFonts w:ascii="Arial" w:eastAsia="SimSun" w:hAnsi="Arial" w:cs="Arial"/>
          <w:kern w:val="3"/>
          <w:sz w:val="24"/>
          <w:szCs w:val="24"/>
        </w:rPr>
        <w:t>• Servicio Canario de Empleo: 3 reuniones.</w:t>
      </w:r>
    </w:p>
    <w:p>
      <w:pPr>
        <w:autoSpaceDE w:val="0"/>
        <w:autoSpaceDN w:val="0"/>
        <w:spacing w:after="0"/>
        <w:ind w:left="720"/>
        <w:contextualSpacing/>
        <w:jc w:val="both"/>
        <w:rPr>
          <w:rFonts w:ascii="Arial" w:hAnsi="Arial" w:cs="Arial"/>
          <w:b/>
          <w:color w:val="000000"/>
          <w:sz w:val="24"/>
          <w:szCs w:val="24"/>
        </w:rPr>
      </w:pPr>
    </w:p>
    <w:p>
      <w:pPr>
        <w:shd w:val="clear" w:color="auto" w:fill="B2A1C7" w:themeFill="accent4" w:themeFillTint="99"/>
        <w:jc w:val="both"/>
        <w:rPr>
          <w:rFonts w:ascii="Arial" w:hAnsi="Arial" w:cs="Arial"/>
          <w:b/>
          <w:sz w:val="24"/>
          <w:szCs w:val="24"/>
        </w:rPr>
      </w:pPr>
      <w:r>
        <w:rPr>
          <w:rFonts w:ascii="Arial" w:hAnsi="Arial" w:cs="Arial"/>
          <w:b/>
          <w:sz w:val="24"/>
          <w:szCs w:val="24"/>
        </w:rPr>
        <w:t>E. EVALUACIÓN DE LA INTERVENCIÓN:</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Atendiendo a las características y perfiles de las mujeres participantes en el proyecto durante el año 2025, muchas de ellas inmersas en situaciones de grave vulnerabilidad social, se realiza una valoración global positiva de la intervención desarrollada desde la Casa de Acogida del Programa Oblatas Daniela. El recurso ha permitido ofrecer un entorno físico seguro y protector a las mujeres y a sus hijas e hijos, constituyendo este factor un elemento esencial para posibilitar cualquier proceso de recuperación, estabilización y mejora de la calidad de vida.</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Durante el año 2025 se recibieron 26 solicitudes de alojamiento, con y sin informe social previo, lo que refleja la elevada demanda existente y la necesidad de este tipo de dispositivos especializados. De estas solicitudes, 14 personas accedieron como nuevas entradas al recurso (11 mujeres, 2 niños y 1 niña), mientras que el resto no pudieron ser admitidas principalmente por no ajustarse al perfil del recurso. Las causas mayoritarias de no entrada estuvieron relacionadas con la presencia de problemas graves de salud mental y/o consumo activo de sustancias, así como con la necesidad de priorizar la seguridad y el bienestar del conjunto de personas ya acogidas en la Casa.</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En total, el recurso alojativo atendió durante el año a 18 personas, de las cuales 15 fueron mujeres adultas y 3 menores a su cargo. Todas ellas pudieron alejarse de contextos de violencia vinculados a la prostitución, la trata de seres humanos con fines de explotación sexual y otras formas de explotación, garantizando la cobertura de sus necesidades básicas y el acceso a un acompañamiento profesional integral desde las distintas áreas de intervención.</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La voluntariedad de las mujeres para iniciar y sostener un proceso de cambio ha sido un elemento clave en la intervención. Tal y como se ha observado a lo largo del año, aquellas mujeres que han permanecido más tiempo en el recurso han podido avanzar de forma más significativa en su proceso de recuperación personal, regularización administrativa, adquisición de habilidades sociales y fortalecimiento de su autonomía. En otros casos, las estancias han sido más breves por decisión de las propias mujeres, al optar por otras alternativas residenciales, continuar su proyecto migratorio o no adaptarse a la dinámica del recurso.</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Uno de los aspectos más relevantes a destacar es que el 67 % de las mujeres acogidas (10 de las 15) presentaban situaciones confirmadas o indicios compatibles con trata de seres humanos con fines de explotación sexual y laboral, lo que evidencia el alto nivel de complejidad y especialización de la intervención realizada. Este perfil ha requerido una atención intensiva, coordinada y sostenida en el tiempo, así como una estrecha colaboración con recursos especializados del ámbito social, jurídico y policial.</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En relación con los retos y principales dificultades, la intervención se ha visto condicionada por la diversidad de perfiles, trayectorias migratorias y situaciones emocionales de las mujeres, estrechamente vinculadas a sus historias de vida. Las barreras idiomáticas, la edad, el momento del proyecto migratorio y las secuelas psicológicas derivadas de experiencias de violencia y explotación han dificultado, en algunos casos, la comunicación, la toma de decisiones y la sostenibilidad de los procesos de intervención.</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Para mitigar estas barreras, ha sido necesario implementar estrategias de adaptación en la intervención social. En dos casos concretos, la atención desde el área social se ha desarrollado en lengua inglesa, al tratarse de mujeres procedentes del continente africano con un conocimiento muy limitado del castellano. Paralelamente, se ha fomentado su incorporación a espacios formativos reglados de aprendizaje del idioma, con el objetivo de favorecer su autonomía y su integración social. En otro caso, la mujer no domina ningún idioma distinto a su dialecto de origen de Marruecos, lo que ha requerido estrategias de comunicación alternativas, como el uso de herramientas de traducción digital, comunicación gestual y otros recursos no verbales.</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En cuanto a las dificultades asociadas al estado emocional y psicológico de las mujeres, se ha desarrollado un trabajo coordinado y articulado con el área de Psicología, permitiendo abordar de forma paralela los procesos de acompañamiento social y de reparación emocional. Esta coordinación ha sido fundamental para favorecer la estabilidad, la confianza y la progresiva implicación de las mujeres en sus procesos de cambio.</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A pesar de estas dificultades, uno de los principales logros del proyecto ha sido la consolidación de una red de coordinación interinstitucional eficaz. La colaboración con entidades sociales, recursos públicos, Fuerzas y Cuerpos de Seguridad del Estado, consulados y dispositivos sanitarios ha permitido mejorar la protección, la regularización administrativa y el acceso efectivo a derechos de las mujeres atendidas.</w:t>
      </w:r>
    </w:p>
    <w:p>
      <w:pPr>
        <w:spacing w:line="360" w:lineRule="auto"/>
        <w:jc w:val="both"/>
        <w:rPr>
          <w:rFonts w:ascii="Arial" w:eastAsia="Times New Roman" w:hAnsi="Arial" w:cs="Arial"/>
          <w:sz w:val="24"/>
          <w:szCs w:val="24"/>
          <w:lang w:eastAsia="es-ES"/>
        </w:rPr>
      </w:pP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De manera específica, durante el año 2025 se destaca el fortalecimiento de la coordinación con los consulados, especialmente con el Consulado de Colombia, con el que se mantuvo una reunión de trabajo en la que se acordaron líneas de actuación conjunta. Esta colaboración ha resultado clave para la obtención de documentación y la gestión de trámites administrativos complejos, contribuyendo de forma significativa a la estabilización de la situación administrativa de las mujeres y al avance en sus procesos de autonomía e inclusión social.</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Otro aspecto a destacar es la solicitud y gestión de ayudas de emergencia económica ante el Cabildo de Gran Canaria para mujeres víctimas de trata de seres humanos con fines de explotación sexual. Este apoyo, materializado en recursos económicos directos destinados a las mujeres, ha resultado especialmente relevante, ya que ha permitido reforzar el trabajo de intervención desarrollado desde el proyecto y ofrecer una respuesta más ajustada a situaciones de necesidad urgente.</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Estas ayudas han supuesto un impulso adicional en los procesos de recuperación y autonomía, facilitando la cobertura de gastos básicos y reduciendo situaciones de vulnerabilidad económica que, en muchos casos, dificultan la estabilidad emocional y la continuidad de los itinerarios de intervención. De este modo, el apoyo económico ha contribuido a fortalecer los avances logrados desde el acompañamiento social y a mejorar las condiciones de vida de las mujeres atendidas.</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Desde el área social, se ha realizado un acompañamiento intensivo y continuado, estimándose un total aproximado de 309 atenciones individualizadas a lo largo del año, lo que refleja la carga de trabajo y la profundidad de los procesos desarrollados. Se han elaborado 12 Planes de Trabajo Individual Compartidos (PTIC), respetando siempre los tiempos, el momento emocional y la capacidad de participación de cada mujer, priorizando su implicación activa en la definición de objetivos y estrategias de intervención.</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cuanto a los espacios formativos, la participación de las mujeres tanto en acciones propias del Programa Oblatas Daniela como en recursos externos ha supuesto un elemento clave para su empoderamiento. A nivel interno, las mujeres han participado </w:t>
      </w:r>
      <w:r>
        <w:rPr>
          <w:rFonts w:ascii="Arial" w:eastAsia="Times New Roman" w:hAnsi="Arial" w:cs="Arial"/>
          <w:sz w:val="24"/>
          <w:szCs w:val="24"/>
          <w:lang w:eastAsia="es-ES"/>
        </w:rPr>
        <w:lastRenderedPageBreak/>
        <w:t>en las actividades del Proyecto</w:t>
      </w:r>
      <w:r>
        <w:t xml:space="preserve"> </w:t>
      </w:r>
      <w:r>
        <w:rPr>
          <w:rFonts w:ascii="Arial" w:eastAsia="Times New Roman" w:hAnsi="Arial" w:cs="Arial"/>
          <w:sz w:val="24"/>
          <w:szCs w:val="24"/>
          <w:lang w:eastAsia="es-ES"/>
        </w:rPr>
        <w:t>Serra-Schönthal, orientadas a proporcionar herramientas para el fortalecimiento personal, social y prelaboral, contribuyendo al desarrollo de habilidades básicas y al aumento de la confianza en sí mismas.</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Por otra parte, la participación en recursos formativos externos, como las clases de español, la formación ocupacional, los programas de empleo y las acciones de orientación laboral, ha favorecido la mejora de la autoestima, la adquisición de competencias y la proyección hacia la autonomía personal y económica. Estos espacios han funcionado también como entornos de socialización positiva, facilitando la creación de redes de apoyo y promoviendo experiencias normalizadas que refuerzan los procesos de inclusión social de las mujeres.</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Los acompañamientos realizados han sido una herramienta fundamental de la intervención social, tanto para garantizar el acceso efectivo a recursos sanitarios, jurídicos, administrativos, formativos y laborales, como para reducir el impacto emocional que estos procesos generan en mujeres que han vivido experiencias de control, violencia o desprotección institucional. Estos acompañamientos han fortalecido la relación de confianza entre las mujeres y el equipo profesional, configurándose como un espacio de sostén, orientación y empoderamiento, orientado siempre a la autonomía progresiva y al respeto de los ritmos y decisiones de cada mujer.</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En relación con las salidas del recurso, durante el año causaron baja 10 personas (9 mujeres y 1 menor), mayoritariamente de forma voluntaria. Las salidas estuvieron vinculadas al acceso al Piso de Autonomía, la no adaptación al recurso, la obtención de vivienda con redes informales, el retorno voluntario al país de origen o el acceso a empleo en otra ciudad. En todos los casos, se procuró planificar el proceso de salida de manera anticipada y acompañada, minimizando situaciones de angustia o desprotección y valorando la posibilidad de seguimiento posterior.</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Finalmente, cabe destacar que la participación activa de las mujeres ha sido un eje transversal de toda la intervención. La elaboración compartida de los PTIC, la participación en asambleas, la implicación en la vida cotidiana de la Casa y la toma de </w:t>
      </w:r>
      <w:r>
        <w:rPr>
          <w:rFonts w:ascii="Arial" w:eastAsia="Times New Roman" w:hAnsi="Arial" w:cs="Arial"/>
          <w:sz w:val="24"/>
          <w:szCs w:val="24"/>
          <w:lang w:eastAsia="es-ES"/>
        </w:rPr>
        <w:lastRenderedPageBreak/>
        <w:t>decisiones sobre su propio proceso han reforzado su empoderamiento, su autoestima y su sentido de agencia personal.</w:t>
      </w:r>
    </w:p>
    <w:p>
      <w:pPr>
        <w:spacing w:line="360" w:lineRule="auto"/>
        <w:jc w:val="both"/>
        <w:rPr>
          <w:rFonts w:ascii="Arial" w:hAnsi="Arial" w:cs="Arial"/>
          <w:sz w:val="24"/>
          <w:szCs w:val="24"/>
        </w:rPr>
      </w:pPr>
      <w:r>
        <w:rPr>
          <w:rFonts w:ascii="Arial" w:eastAsia="Times New Roman" w:hAnsi="Arial" w:cs="Arial"/>
          <w:sz w:val="24"/>
          <w:szCs w:val="24"/>
          <w:lang w:eastAsia="es-ES"/>
        </w:rPr>
        <w:t>La evaluación de la intervención realizada durante el año 2025 es positiva, al haberse cumplido los objetivos fundamentales del proyecto: proporcionar protección, acompañamiento integral y oportunidades reales de mejora a mujeres en situaciones relacionadas con la trata con fines de explotación sexual, la prostitución u otras circunstancias de vulnerabilidad, favoreciendo procesos de recuperación, autonomía e integración social desde un enfoque centrado en la persona y el respeto a sus decisiones.</w:t>
      </w:r>
    </w:p>
    <w:p>
      <w:pPr>
        <w:pStyle w:val="Default"/>
        <w:spacing w:line="201" w:lineRule="atLeast"/>
        <w:ind w:right="260"/>
        <w:jc w:val="both"/>
        <w:rPr>
          <w:rFonts w:ascii="Calibri" w:hAnsi="Calibri" w:cs="Calibri"/>
          <w:sz w:val="22"/>
          <w:szCs w:val="22"/>
        </w:rPr>
      </w:pPr>
    </w:p>
    <w:p>
      <w:pPr>
        <w:shd w:val="clear" w:color="auto" w:fill="4F81BD" w:themeFill="accent1"/>
        <w:tabs>
          <w:tab w:val="left" w:pos="2812"/>
          <w:tab w:val="center" w:pos="4252"/>
          <w:tab w:val="left" w:pos="6752"/>
        </w:tabs>
        <w:ind w:left="284" w:hanging="284"/>
        <w:jc w:val="both"/>
        <w:outlineLvl w:val="0"/>
        <w:rPr>
          <w:rFonts w:ascii="Arial" w:hAnsi="Arial" w:cs="Arial"/>
          <w:b/>
          <w:color w:val="FFFFFF"/>
          <w:sz w:val="24"/>
          <w:szCs w:val="24"/>
          <w:highlight w:val="lightGray"/>
        </w:rPr>
      </w:pPr>
      <w:r>
        <w:rPr>
          <w:b/>
          <w:color w:val="FFFFFF"/>
          <w:sz w:val="36"/>
        </w:rPr>
        <w:tab/>
      </w:r>
      <w:r>
        <w:rPr>
          <w:b/>
          <w:color w:val="FFFFFF"/>
          <w:sz w:val="36"/>
        </w:rPr>
        <w:tab/>
      </w:r>
      <w:r>
        <w:rPr>
          <w:rFonts w:ascii="Arial" w:hAnsi="Arial" w:cs="Arial"/>
          <w:b/>
          <w:color w:val="FFFFFF"/>
          <w:sz w:val="24"/>
          <w:szCs w:val="24"/>
          <w:shd w:val="clear" w:color="auto" w:fill="4F81BD" w:themeFill="accent1"/>
        </w:rPr>
        <w:t>ÁREA EDUCATIVA</w:t>
      </w:r>
      <w:r>
        <w:rPr>
          <w:rFonts w:ascii="Arial" w:hAnsi="Arial" w:cs="Arial"/>
          <w:b/>
          <w:color w:val="FFFFFF"/>
          <w:sz w:val="24"/>
          <w:szCs w:val="24"/>
        </w:rPr>
        <w:tab/>
      </w:r>
    </w:p>
    <w:p>
      <w:pPr>
        <w:pStyle w:val="Default"/>
        <w:spacing w:line="201" w:lineRule="atLeast"/>
        <w:ind w:right="260"/>
        <w:jc w:val="both"/>
      </w:pPr>
    </w:p>
    <w:p>
      <w:pPr>
        <w:numPr>
          <w:ilvl w:val="0"/>
          <w:numId w:val="37"/>
        </w:numPr>
        <w:shd w:val="clear" w:color="auto" w:fill="B2A1C7" w:themeFill="accent4" w:themeFillTint="99"/>
        <w:tabs>
          <w:tab w:val="left" w:pos="284"/>
        </w:tabs>
        <w:ind w:left="0" w:firstLine="0"/>
        <w:contextualSpacing/>
        <w:jc w:val="both"/>
        <w:rPr>
          <w:rFonts w:ascii="Arial" w:hAnsi="Arial" w:cs="Arial"/>
          <w:b/>
          <w:sz w:val="24"/>
          <w:szCs w:val="24"/>
        </w:rPr>
      </w:pPr>
      <w:r>
        <w:rPr>
          <w:rFonts w:ascii="Arial" w:hAnsi="Arial" w:cs="Arial"/>
          <w:b/>
          <w:sz w:val="24"/>
          <w:szCs w:val="24"/>
        </w:rPr>
        <w:t xml:space="preserve">OBJETIVOS </w:t>
      </w:r>
    </w:p>
    <w:p>
      <w:pPr>
        <w:autoSpaceDE w:val="0"/>
        <w:autoSpaceDN w:val="0"/>
        <w:adjustRightInd w:val="0"/>
        <w:spacing w:after="0" w:line="201" w:lineRule="atLeast"/>
        <w:ind w:right="142"/>
        <w:jc w:val="both"/>
        <w:rPr>
          <w:rFonts w:ascii="Arial" w:eastAsia="Times New Roman" w:hAnsi="Arial" w:cs="Arial"/>
          <w:color w:val="000000"/>
          <w:sz w:val="24"/>
          <w:szCs w:val="24"/>
          <w:lang w:eastAsia="es-ES"/>
        </w:rPr>
      </w:pPr>
    </w:p>
    <w:p>
      <w:pPr>
        <w:spacing w:after="160" w:line="360" w:lineRule="auto"/>
        <w:jc w:val="both"/>
        <w:rPr>
          <w:rFonts w:ascii="Arial" w:hAnsi="Arial" w:cs="Arial"/>
          <w:b/>
          <w:sz w:val="24"/>
          <w:szCs w:val="24"/>
        </w:rPr>
      </w:pPr>
      <w:r>
        <w:rPr>
          <w:rFonts w:ascii="Arial" w:hAnsi="Arial" w:cs="Arial"/>
          <w:b/>
          <w:sz w:val="24"/>
          <w:szCs w:val="24"/>
        </w:rPr>
        <w:t xml:space="preserve">Objetivo general: </w:t>
      </w:r>
    </w:p>
    <w:p>
      <w:pPr>
        <w:spacing w:after="160" w:line="360" w:lineRule="auto"/>
        <w:jc w:val="both"/>
        <w:rPr>
          <w:rFonts w:ascii="Arial" w:hAnsi="Arial" w:cs="Arial"/>
          <w:sz w:val="24"/>
          <w:szCs w:val="24"/>
        </w:rPr>
      </w:pPr>
      <w:r>
        <w:rPr>
          <w:rFonts w:ascii="Arial" w:hAnsi="Arial" w:cs="Arial"/>
          <w:sz w:val="24"/>
          <w:szCs w:val="24"/>
        </w:rPr>
        <w:t>Fomentar un espacio de convivencia que posibilite lograr la obtención de una estabilidad personal, capaz de garantizar el aprendizaje de habilidades y pautas que les permitan a las mujeres el disfrute de una vida autónoma y socialmente integrada.</w:t>
      </w:r>
    </w:p>
    <w:p>
      <w:pPr>
        <w:spacing w:after="160" w:line="360" w:lineRule="auto"/>
        <w:jc w:val="both"/>
        <w:rPr>
          <w:rFonts w:ascii="Arial" w:hAnsi="Arial" w:cs="Arial"/>
          <w:b/>
          <w:sz w:val="24"/>
          <w:szCs w:val="24"/>
        </w:rPr>
      </w:pPr>
      <w:r>
        <w:rPr>
          <w:rFonts w:ascii="Arial" w:hAnsi="Arial" w:cs="Arial"/>
          <w:b/>
          <w:sz w:val="24"/>
          <w:szCs w:val="24"/>
        </w:rPr>
        <w:t>Objetivos específicos:</w:t>
      </w:r>
    </w:p>
    <w:p>
      <w:pPr>
        <w:pStyle w:val="Prrafodelista"/>
        <w:numPr>
          <w:ilvl w:val="0"/>
          <w:numId w:val="57"/>
        </w:numPr>
        <w:spacing w:after="160" w:line="360" w:lineRule="auto"/>
        <w:jc w:val="both"/>
        <w:rPr>
          <w:rFonts w:ascii="Arial" w:hAnsi="Arial" w:cs="Arial"/>
          <w:sz w:val="24"/>
          <w:szCs w:val="24"/>
        </w:rPr>
      </w:pPr>
      <w:r>
        <w:rPr>
          <w:rFonts w:ascii="Arial" w:hAnsi="Arial" w:cs="Arial"/>
          <w:sz w:val="24"/>
          <w:szCs w:val="24"/>
        </w:rPr>
        <w:t>Garantizar/promover un ámbito de convivencia positivo como entorno favorecedor para el desarrollo de los procesos.</w:t>
      </w:r>
    </w:p>
    <w:p>
      <w:pPr>
        <w:pStyle w:val="Prrafodelista"/>
        <w:numPr>
          <w:ilvl w:val="0"/>
          <w:numId w:val="57"/>
        </w:numPr>
        <w:spacing w:after="160" w:line="360" w:lineRule="auto"/>
        <w:jc w:val="both"/>
        <w:rPr>
          <w:rFonts w:ascii="Arial" w:hAnsi="Arial" w:cs="Arial"/>
          <w:sz w:val="24"/>
          <w:szCs w:val="24"/>
        </w:rPr>
      </w:pPr>
      <w:r>
        <w:rPr>
          <w:rFonts w:ascii="Arial" w:hAnsi="Arial" w:cs="Arial"/>
          <w:sz w:val="24"/>
          <w:szCs w:val="24"/>
        </w:rPr>
        <w:t xml:space="preserve">Incidir desde la cotidianeidad del hogar la adquisición de conocimientos (saber), habilidades (saber hacer) y actitudes (saber ser), de cara a potenciar un proceso emancipador de éxito y a la vez, integrador.  </w:t>
      </w:r>
    </w:p>
    <w:p>
      <w:pPr>
        <w:pStyle w:val="Prrafodelista"/>
        <w:numPr>
          <w:ilvl w:val="0"/>
          <w:numId w:val="57"/>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Diseñar, ejecutar y evaluar acciones de intervención educativa dentro del ámbito de convivencia como espacio educativo no formal, incidiendo especialmente en temáticas afines a las necesidades del grupo destinatario.</w:t>
      </w:r>
    </w:p>
    <w:p>
      <w:pPr>
        <w:pStyle w:val="Prrafodelista"/>
        <w:numPr>
          <w:ilvl w:val="0"/>
          <w:numId w:val="57"/>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Potenciar mejoras en los diferentes aspectos que conforman las dimensiones educativas sin perder de vista la particularidad e individualidad de cada uno de los procesos.</w:t>
      </w:r>
    </w:p>
    <w:p>
      <w:pPr>
        <w:spacing w:after="160" w:line="360" w:lineRule="auto"/>
        <w:jc w:val="both"/>
        <w:rPr>
          <w:rFonts w:ascii="Arial" w:hAnsi="Arial" w:cs="Arial"/>
          <w:noProof/>
          <w:sz w:val="24"/>
          <w:szCs w:val="24"/>
          <w:lang w:eastAsia="es-ES"/>
        </w:rPr>
      </w:pPr>
      <w:r>
        <w:rPr>
          <w:rFonts w:ascii="Arial" w:hAnsi="Arial" w:cs="Arial"/>
          <w:noProof/>
          <w:sz w:val="24"/>
          <w:szCs w:val="24"/>
          <w:lang w:eastAsia="es-ES"/>
        </w:rPr>
        <w:lastRenderedPageBreak/>
        <w:t xml:space="preserve">En cuanto a la </w:t>
      </w:r>
      <w:r>
        <w:rPr>
          <w:rFonts w:ascii="Arial" w:hAnsi="Arial" w:cs="Arial"/>
          <w:b/>
          <w:noProof/>
          <w:sz w:val="24"/>
          <w:szCs w:val="24"/>
          <w:lang w:eastAsia="es-ES"/>
        </w:rPr>
        <w:t>relación materno filial</w:t>
      </w:r>
      <w:r>
        <w:rPr>
          <w:rFonts w:ascii="Arial" w:hAnsi="Arial" w:cs="Arial"/>
          <w:noProof/>
          <w:sz w:val="24"/>
          <w:szCs w:val="24"/>
          <w:lang w:eastAsia="es-ES"/>
        </w:rPr>
        <w:t>, se considera importante especificar los objetivos de las diferentes dimensiones educativas en base al vínculo madre e hijo/a:</w:t>
      </w:r>
    </w:p>
    <w:p>
      <w:pPr>
        <w:spacing w:after="160" w:line="360" w:lineRule="auto"/>
        <w:jc w:val="both"/>
        <w:rPr>
          <w:rFonts w:ascii="Arial" w:hAnsi="Arial" w:cs="Arial"/>
          <w:b/>
          <w:noProof/>
          <w:sz w:val="24"/>
          <w:szCs w:val="24"/>
          <w:lang w:eastAsia="es-ES"/>
        </w:rPr>
      </w:pPr>
      <w:r>
        <w:rPr>
          <w:rFonts w:ascii="Arial" w:hAnsi="Arial" w:cs="Arial"/>
          <w:b/>
          <w:noProof/>
          <w:sz w:val="24"/>
          <w:szCs w:val="24"/>
          <w:lang w:eastAsia="es-ES"/>
        </w:rPr>
        <w:t xml:space="preserve">Objetivo general: </w:t>
      </w:r>
    </w:p>
    <w:p>
      <w:pPr>
        <w:spacing w:after="160" w:line="360" w:lineRule="auto"/>
        <w:jc w:val="both"/>
        <w:rPr>
          <w:rFonts w:ascii="Arial" w:hAnsi="Arial" w:cs="Arial"/>
          <w:b/>
          <w:noProof/>
          <w:sz w:val="24"/>
          <w:szCs w:val="24"/>
          <w:lang w:eastAsia="es-ES"/>
        </w:rPr>
      </w:pPr>
      <w:r>
        <w:rPr>
          <w:rFonts w:ascii="Arial" w:hAnsi="Arial" w:cs="Arial"/>
          <w:noProof/>
          <w:sz w:val="24"/>
          <w:szCs w:val="24"/>
          <w:lang w:eastAsia="es-ES"/>
        </w:rPr>
        <w:t>Desarrollar actitudes y comportamientos de protección y cuidado, transmitiendo valores de tolerancia y respeto social, sin olvidar efectuar muestras de cariño y establecer límites que posibiliten el correcto desarrollo personal del/la menor.</w:t>
      </w:r>
    </w:p>
    <w:p>
      <w:pPr>
        <w:spacing w:after="160" w:line="360" w:lineRule="auto"/>
        <w:jc w:val="both"/>
        <w:rPr>
          <w:rFonts w:ascii="Arial" w:hAnsi="Arial" w:cs="Arial"/>
          <w:b/>
          <w:noProof/>
          <w:sz w:val="24"/>
          <w:szCs w:val="24"/>
          <w:lang w:eastAsia="es-ES"/>
        </w:rPr>
      </w:pPr>
      <w:r>
        <w:rPr>
          <w:rFonts w:ascii="Arial" w:hAnsi="Arial" w:cs="Arial"/>
          <w:b/>
          <w:noProof/>
          <w:sz w:val="24"/>
          <w:szCs w:val="24"/>
          <w:lang w:eastAsia="es-ES"/>
        </w:rPr>
        <w:t>Objetivos específicos:</w:t>
      </w:r>
    </w:p>
    <w:p>
      <w:pPr>
        <w:pStyle w:val="Prrafodelista"/>
        <w:numPr>
          <w:ilvl w:val="0"/>
          <w:numId w:val="58"/>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Facilitar los medios necesarios para una atención y cuidado idóneo.</w:t>
      </w:r>
    </w:p>
    <w:p>
      <w:pPr>
        <w:pStyle w:val="Prrafodelista"/>
        <w:numPr>
          <w:ilvl w:val="0"/>
          <w:numId w:val="58"/>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Dotar de estrategias educativas enfocadas a desarrollar un estilo de crianza democrático, evitando así estilos autoritarios o permisivos.</w:t>
      </w:r>
    </w:p>
    <w:p>
      <w:pPr>
        <w:pStyle w:val="Prrafodelista"/>
        <w:numPr>
          <w:ilvl w:val="0"/>
          <w:numId w:val="58"/>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Afianzar-desarrollar en la madre pautas educativas relacionadas con las dimensiones educativas (higiene, hábitos alimenticios, cuidado de la salud, tiempo de ocio, etc.).</w:t>
      </w:r>
    </w:p>
    <w:p>
      <w:pPr>
        <w:pStyle w:val="Prrafodelista"/>
        <w:numPr>
          <w:ilvl w:val="0"/>
          <w:numId w:val="58"/>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Objetivos operativos</w:t>
      </w:r>
    </w:p>
    <w:p>
      <w:pPr>
        <w:pStyle w:val="Prrafodelista"/>
        <w:numPr>
          <w:ilvl w:val="0"/>
          <w:numId w:val="58"/>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Establecer y diseñar rutinas propias a la edad del menor en relación a las dimensiones educativas</w:t>
      </w:r>
    </w:p>
    <w:p>
      <w:pPr>
        <w:pStyle w:val="Prrafodelista"/>
        <w:numPr>
          <w:ilvl w:val="0"/>
          <w:numId w:val="58"/>
        </w:numPr>
        <w:spacing w:after="160" w:line="360" w:lineRule="auto"/>
        <w:jc w:val="both"/>
        <w:rPr>
          <w:rFonts w:ascii="Arial" w:hAnsi="Arial" w:cs="Arial"/>
          <w:noProof/>
          <w:sz w:val="24"/>
          <w:szCs w:val="24"/>
          <w:lang w:eastAsia="es-ES"/>
        </w:rPr>
      </w:pPr>
      <w:r>
        <w:rPr>
          <w:rFonts w:ascii="Arial" w:hAnsi="Arial" w:cs="Arial"/>
          <w:noProof/>
          <w:sz w:val="24"/>
          <w:szCs w:val="24"/>
          <w:lang w:eastAsia="es-ES"/>
        </w:rPr>
        <w:t>Ofrecer herramientas/recursos adaptados a la edad del/a menor para la interiorización de pautas educativas (juegos, simulaciones, canciones, acompañamientos, etc.</w:t>
      </w:r>
    </w:p>
    <w:p>
      <w:pPr>
        <w:pStyle w:val="Prrafodelista"/>
        <w:spacing w:after="160" w:line="360" w:lineRule="auto"/>
        <w:jc w:val="both"/>
        <w:rPr>
          <w:rFonts w:ascii="Arial" w:hAnsi="Arial" w:cs="Arial"/>
          <w:noProof/>
          <w:sz w:val="24"/>
          <w:szCs w:val="24"/>
          <w:lang w:eastAsia="es-ES"/>
        </w:rPr>
      </w:pPr>
    </w:p>
    <w:p>
      <w:pPr>
        <w:numPr>
          <w:ilvl w:val="0"/>
          <w:numId w:val="37"/>
        </w:numPr>
        <w:shd w:val="clear" w:color="auto" w:fill="B2A1C7" w:themeFill="accent4" w:themeFillTint="99"/>
        <w:tabs>
          <w:tab w:val="left" w:pos="284"/>
        </w:tabs>
        <w:spacing w:line="360" w:lineRule="auto"/>
        <w:ind w:left="0" w:firstLine="0"/>
        <w:contextualSpacing/>
        <w:jc w:val="both"/>
        <w:rPr>
          <w:rFonts w:ascii="Arial" w:hAnsi="Arial" w:cs="Arial"/>
          <w:b/>
          <w:sz w:val="24"/>
          <w:szCs w:val="24"/>
        </w:rPr>
      </w:pPr>
      <w:r>
        <w:rPr>
          <w:rFonts w:ascii="Arial" w:hAnsi="Arial" w:cs="Arial"/>
          <w:b/>
          <w:sz w:val="24"/>
          <w:szCs w:val="24"/>
        </w:rPr>
        <w:t>DIMENSIONES EDUCATIVAS:</w:t>
      </w:r>
    </w:p>
    <w:p>
      <w:pPr>
        <w:autoSpaceDE w:val="0"/>
        <w:autoSpaceDN w:val="0"/>
        <w:adjustRightInd w:val="0"/>
        <w:spacing w:after="0" w:line="360" w:lineRule="auto"/>
        <w:ind w:right="142"/>
        <w:jc w:val="both"/>
        <w:rPr>
          <w:rFonts w:ascii="Arial" w:hAnsi="Arial" w:cs="Arial"/>
          <w:noProof/>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Se plantean las siguientes dimensiones educativas en la intervención con las mujeres acogidas: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CONVIVENCIA</w:t>
      </w:r>
      <w:r>
        <w:rPr>
          <w:rFonts w:ascii="Arial" w:eastAsia="Times New Roman" w:hAnsi="Arial" w:cs="Arial"/>
          <w:color w:val="000000"/>
          <w:sz w:val="24"/>
          <w:szCs w:val="24"/>
          <w:lang w:eastAsia="es-ES"/>
        </w:rPr>
        <w:t>: Participar activamente en la dinámica de la casa, implicándose en la interacción con sus compañeras y en el mantenimiento del buen clima de convivencia.</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lastRenderedPageBreak/>
        <w:t>RELACIONES SOCIALES EXTERNAS</w:t>
      </w:r>
      <w:r>
        <w:rPr>
          <w:rFonts w:ascii="Arial" w:eastAsia="Times New Roman" w:hAnsi="Arial" w:cs="Arial"/>
          <w:color w:val="000000"/>
          <w:sz w:val="24"/>
          <w:szCs w:val="24"/>
          <w:lang w:eastAsia="es-ES"/>
        </w:rPr>
        <w:t>: Incrementar/mantener redes de apoyo de calidad, donde desarrollar habilidades relacionadas con la elección y toma de decisiones adecuadas para sí misma, siendo asertiva y empática con las demás.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HIGIENE</w:t>
      </w:r>
      <w:r>
        <w:rPr>
          <w:rFonts w:ascii="Arial" w:eastAsia="Times New Roman" w:hAnsi="Arial" w:cs="Arial"/>
          <w:color w:val="000000"/>
          <w:sz w:val="24"/>
          <w:szCs w:val="24"/>
          <w:lang w:eastAsia="es-ES"/>
        </w:rPr>
        <w:t>: Establecer rutinas de higiene diarias de manera autónoma y eficiente.</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CUIDADO PERSONAL</w:t>
      </w:r>
      <w:r>
        <w:rPr>
          <w:rFonts w:ascii="Arial" w:eastAsia="Times New Roman" w:hAnsi="Arial" w:cs="Arial"/>
          <w:color w:val="000000"/>
          <w:sz w:val="24"/>
          <w:szCs w:val="24"/>
          <w:lang w:eastAsia="es-ES"/>
        </w:rPr>
        <w:t>: Mantener una vestimenta y apariencia acorde a la climatología y actividad a desarrollar o acto al que acudir.</w:t>
      </w:r>
    </w:p>
    <w:p>
      <w:pPr>
        <w:autoSpaceDE w:val="0"/>
        <w:autoSpaceDN w:val="0"/>
        <w:adjustRightInd w:val="0"/>
        <w:spacing w:after="0" w:line="360" w:lineRule="auto"/>
        <w:ind w:right="142"/>
        <w:jc w:val="both"/>
        <w:rPr>
          <w:rFonts w:ascii="Arial" w:eastAsia="Times New Roman" w:hAnsi="Arial" w:cs="Arial"/>
          <w:b/>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CUIDADO DEL HOGAR</w:t>
      </w:r>
      <w:r>
        <w:rPr>
          <w:rFonts w:ascii="Arial" w:eastAsia="Times New Roman" w:hAnsi="Arial" w:cs="Arial"/>
          <w:color w:val="000000"/>
          <w:sz w:val="24"/>
          <w:szCs w:val="24"/>
          <w:lang w:eastAsia="es-ES"/>
        </w:rPr>
        <w:t>: Desarrollar su tarea diaria de manera responsable, autónoma y eficiente, haciendo posible el mantenimiento de las condiciones higiénicas del hogar.</w:t>
      </w:r>
    </w:p>
    <w:p>
      <w:pPr>
        <w:autoSpaceDE w:val="0"/>
        <w:autoSpaceDN w:val="0"/>
        <w:adjustRightInd w:val="0"/>
        <w:spacing w:after="0" w:line="360" w:lineRule="auto"/>
        <w:ind w:right="142"/>
        <w:jc w:val="both"/>
        <w:rPr>
          <w:rFonts w:ascii="Arial" w:eastAsia="Times New Roman" w:hAnsi="Arial" w:cs="Arial"/>
          <w:b/>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 xml:space="preserve">CUIDADO DE LA SALUD: </w:t>
      </w:r>
      <w:r>
        <w:rPr>
          <w:rFonts w:ascii="Arial" w:eastAsia="Times New Roman" w:hAnsi="Arial" w:cs="Arial"/>
          <w:color w:val="000000"/>
          <w:sz w:val="24"/>
          <w:szCs w:val="24"/>
          <w:lang w:eastAsia="es-ES"/>
        </w:rPr>
        <w:t>Cuidar de su salud de manera responsable y autónoma, tomando las medidas necesarias, tales como asistir a consulta médica y respetar las pautas prescritas o evitando comportamientos que perjudiquen su salud.</w:t>
      </w:r>
      <w:r>
        <w:rPr>
          <w:rFonts w:ascii="Arial" w:eastAsia="Times New Roman" w:hAnsi="Arial" w:cs="Arial"/>
          <w:b/>
          <w:color w:val="000000"/>
          <w:sz w:val="24"/>
          <w:szCs w:val="24"/>
          <w:lang w:eastAsia="es-ES"/>
        </w:rPr>
        <w:t xml:space="preserve"> </w:t>
      </w:r>
    </w:p>
    <w:p>
      <w:pPr>
        <w:autoSpaceDE w:val="0"/>
        <w:autoSpaceDN w:val="0"/>
        <w:adjustRightInd w:val="0"/>
        <w:spacing w:after="0" w:line="360" w:lineRule="auto"/>
        <w:ind w:right="142"/>
        <w:jc w:val="both"/>
        <w:rPr>
          <w:rFonts w:ascii="Arial" w:eastAsia="Times New Roman" w:hAnsi="Arial" w:cs="Arial"/>
          <w:b/>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 xml:space="preserve">HÁBITOS ALIMENTICIOS: </w:t>
      </w:r>
      <w:r>
        <w:rPr>
          <w:rFonts w:ascii="Arial" w:eastAsia="Times New Roman" w:hAnsi="Arial" w:cs="Arial"/>
          <w:color w:val="000000"/>
          <w:sz w:val="24"/>
          <w:szCs w:val="24"/>
          <w:lang w:eastAsia="es-ES"/>
        </w:rPr>
        <w:t>Mantener una dieta sana y equilibrada, de acuerdo a los horarios y al menú establecido en el hogar, respetando las tres comidas principales.</w:t>
      </w:r>
    </w:p>
    <w:p>
      <w:pPr>
        <w:autoSpaceDE w:val="0"/>
        <w:autoSpaceDN w:val="0"/>
        <w:adjustRightInd w:val="0"/>
        <w:spacing w:after="0" w:line="360" w:lineRule="auto"/>
        <w:ind w:right="142"/>
        <w:jc w:val="both"/>
        <w:rPr>
          <w:rFonts w:ascii="Arial" w:eastAsia="Times New Roman" w:hAnsi="Arial" w:cs="Arial"/>
          <w:b/>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 xml:space="preserve">ESTADO EMOCIONAL: </w:t>
      </w:r>
      <w:r>
        <w:rPr>
          <w:rFonts w:ascii="Arial" w:eastAsia="Times New Roman" w:hAnsi="Arial" w:cs="Arial"/>
          <w:color w:val="000000"/>
          <w:sz w:val="24"/>
          <w:szCs w:val="24"/>
          <w:lang w:eastAsia="es-ES"/>
        </w:rPr>
        <w:t>Disfrutar de un estado emocional equilibrado y encontrar estrategias personales que le permita gestionar situaciones de estrés y tensión, así como desarrollar la resiliencia.</w:t>
      </w:r>
    </w:p>
    <w:p>
      <w:pPr>
        <w:autoSpaceDE w:val="0"/>
        <w:autoSpaceDN w:val="0"/>
        <w:adjustRightInd w:val="0"/>
        <w:spacing w:after="0" w:line="360" w:lineRule="auto"/>
        <w:ind w:right="142"/>
        <w:jc w:val="both"/>
        <w:rPr>
          <w:rFonts w:ascii="Arial" w:eastAsia="Times New Roman" w:hAnsi="Arial" w:cs="Arial"/>
          <w:b/>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 xml:space="preserve">MOTIVACIÓN ACADÉMICA-LABORAL: </w:t>
      </w:r>
      <w:r>
        <w:rPr>
          <w:rFonts w:ascii="Arial" w:eastAsia="Times New Roman" w:hAnsi="Arial" w:cs="Arial"/>
          <w:color w:val="000000"/>
          <w:sz w:val="24"/>
          <w:szCs w:val="24"/>
          <w:lang w:eastAsia="es-ES"/>
        </w:rPr>
        <w:t xml:space="preserve">Trabajar la búsqueda activa de empleo y mejorar la formación ofreciendo alternativas y recursos.  </w:t>
      </w: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Acudir a los talleres que se imparten desde el área favoreciendo la adquisición de nuevos conocimientos, habilidades y actitudes en relación a la BAE.</w:t>
      </w:r>
    </w:p>
    <w:p>
      <w:pPr>
        <w:autoSpaceDE w:val="0"/>
        <w:autoSpaceDN w:val="0"/>
        <w:adjustRightInd w:val="0"/>
        <w:spacing w:after="0" w:line="360" w:lineRule="auto"/>
        <w:ind w:right="142"/>
        <w:jc w:val="both"/>
        <w:rPr>
          <w:rFonts w:ascii="Arial" w:eastAsia="Times New Roman" w:hAnsi="Arial" w:cs="Arial"/>
          <w:b/>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 xml:space="preserve">DIMENSIÓN ECONÓMICA: </w:t>
      </w:r>
      <w:r>
        <w:rPr>
          <w:rFonts w:ascii="Arial" w:eastAsia="Times New Roman" w:hAnsi="Arial" w:cs="Arial"/>
          <w:color w:val="000000"/>
          <w:sz w:val="24"/>
          <w:szCs w:val="24"/>
          <w:lang w:eastAsia="es-ES"/>
        </w:rPr>
        <w:t>Dotar de herramientas para una gestión eficaz de los recursos financieros, personales.</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pStyle w:val="Prrafodelista"/>
        <w:numPr>
          <w:ilvl w:val="0"/>
          <w:numId w:val="139"/>
        </w:num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b/>
          <w:color w:val="000000"/>
          <w:sz w:val="24"/>
          <w:szCs w:val="24"/>
          <w:lang w:eastAsia="es-ES"/>
        </w:rPr>
        <w:t xml:space="preserve">RELACIÓN MATERNO FILIAL: </w:t>
      </w:r>
      <w:r>
        <w:rPr>
          <w:rFonts w:ascii="Arial" w:eastAsia="Times New Roman" w:hAnsi="Arial" w:cs="Arial"/>
          <w:color w:val="000000"/>
          <w:sz w:val="24"/>
          <w:szCs w:val="24"/>
          <w:lang w:eastAsia="es-ES"/>
        </w:rPr>
        <w:t xml:space="preserve">Brindar apoyo a las madres en la atención y educación de sus hijos e hijas, ofreciendo estrategias de afrontamientos y herramientas pedagógicas para desarrollar una marentalidad positiva y un estilo de crianza democrático, dónde además, las necesidades (físicas, emocionales, de seguridad, etc.) del menor, estén siempre aseguradas. </w:t>
      </w: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p>
    <w:p>
      <w:pPr>
        <w:autoSpaceDE w:val="0"/>
        <w:autoSpaceDN w:val="0"/>
        <w:adjustRightInd w:val="0"/>
        <w:spacing w:after="0" w:line="360" w:lineRule="auto"/>
        <w:ind w:right="142"/>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Cabe aclarar, que la responsabilidad principal del cuidado dentro del recurso de acogida recae completamente en la madre, debiendo estar pendiente del menor. En este sentido, el equipo educativo actúa como un respaldo continuo, pero siempre desde una perspectiva fundamentada en el apoyo y refuerzo y nunca, de desacreditación en el desarrollo de su rol marental.   </w:t>
      </w:r>
    </w:p>
    <w:p>
      <w:pPr>
        <w:spacing w:after="160" w:line="259" w:lineRule="auto"/>
        <w:jc w:val="both"/>
        <w:rPr>
          <w:rFonts w:ascii="Arial" w:hAnsi="Arial" w:cs="Arial"/>
          <w:noProof/>
          <w:sz w:val="24"/>
          <w:szCs w:val="24"/>
          <w:lang w:eastAsia="es-ES"/>
        </w:rPr>
      </w:pPr>
    </w:p>
    <w:p>
      <w:pPr>
        <w:shd w:val="clear" w:color="auto" w:fill="7030A0"/>
        <w:tabs>
          <w:tab w:val="left" w:pos="284"/>
        </w:tabs>
        <w:contextualSpacing/>
        <w:jc w:val="both"/>
        <w:rPr>
          <w:rFonts w:ascii="Arial" w:hAnsi="Arial" w:cs="Arial"/>
          <w:b/>
          <w:color w:val="FFFFFF" w:themeColor="background1"/>
          <w:sz w:val="24"/>
          <w:szCs w:val="24"/>
        </w:rPr>
      </w:pPr>
      <w:r>
        <w:rPr>
          <w:rFonts w:ascii="Arial" w:hAnsi="Arial" w:cs="Arial"/>
          <w:b/>
          <w:color w:val="FFFFFF" w:themeColor="background1"/>
          <w:sz w:val="24"/>
          <w:szCs w:val="24"/>
        </w:rPr>
        <w:t>C. METODOLOGÍA</w:t>
      </w:r>
    </w:p>
    <w:p>
      <w:pPr>
        <w:autoSpaceDE w:val="0"/>
        <w:autoSpaceDN w:val="0"/>
        <w:adjustRightInd w:val="0"/>
        <w:spacing w:after="0" w:line="201" w:lineRule="atLeast"/>
        <w:ind w:right="142"/>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La intervención socioeducativa es una acción profesional, que nace de la pedagogía y es desarrollada por educadoras e integradoras sociales. El objetivo principal es generar escenarios de oportunidades que ayuden a las personas, grupos o comunidades a potenciar su desarrollo, su socialización y a dotarse de los aprendizajes y recursos necesarios para mejorar su situación en el mundo.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lang w:eastAsia="es-ES"/>
        </w:rPr>
      </w:pPr>
      <w:r>
        <w:rPr>
          <w:rFonts w:ascii="Arial" w:hAnsi="Arial" w:cs="Arial"/>
          <w:sz w:val="24"/>
          <w:szCs w:val="24"/>
        </w:rPr>
        <w:t xml:space="preserve">Todas las acciones educativas en las que se apoya el equipo educativo de la Casa de Acogida Daniela, están enmarcadas dentro de los cuatro pilares para la educación en el siglo XXI, publicadas por Jaques Delors, para la UNESCO en 1996: </w:t>
      </w:r>
      <w:r>
        <w:rPr>
          <w:rFonts w:ascii="Arial" w:hAnsi="Arial" w:cs="Arial"/>
          <w:sz w:val="24"/>
          <w:szCs w:val="24"/>
          <w:lang w:eastAsia="es-ES"/>
        </w:rPr>
        <w:t>saber (adquisición de conocimientos), saber hacer (habilidades y destrezas) y saber ser (actitudes).</w:t>
      </w:r>
    </w:p>
    <w:p>
      <w:pPr>
        <w:spacing w:after="0" w:line="360" w:lineRule="auto"/>
        <w:jc w:val="both"/>
        <w:rPr>
          <w:rFonts w:ascii="Arial" w:hAnsi="Arial" w:cs="Arial"/>
          <w:sz w:val="24"/>
          <w:szCs w:val="24"/>
          <w:lang w:eastAsia="es-ES"/>
        </w:rPr>
      </w:pPr>
    </w:p>
    <w:p>
      <w:pPr>
        <w:spacing w:after="0" w:line="360" w:lineRule="auto"/>
        <w:jc w:val="both"/>
        <w:rPr>
          <w:rFonts w:ascii="Arial" w:hAnsi="Arial" w:cs="Arial"/>
          <w:color w:val="231F20"/>
          <w:sz w:val="24"/>
          <w:szCs w:val="24"/>
          <w:lang w:eastAsia="es-ES"/>
        </w:rPr>
      </w:pPr>
      <w:r>
        <w:rPr>
          <w:rFonts w:ascii="Arial" w:hAnsi="Arial" w:cs="Arial"/>
          <w:sz w:val="24"/>
          <w:szCs w:val="24"/>
          <w:lang w:eastAsia="es-ES"/>
        </w:rPr>
        <w:t>Además, la intervención se caracteriza</w:t>
      </w:r>
      <w:r>
        <w:rPr>
          <w:rFonts w:ascii="Arial" w:hAnsi="Arial" w:cs="Arial"/>
          <w:color w:val="FF0000"/>
          <w:sz w:val="24"/>
          <w:szCs w:val="24"/>
          <w:lang w:eastAsia="es-ES"/>
        </w:rPr>
        <w:t xml:space="preserve"> </w:t>
      </w:r>
      <w:r>
        <w:rPr>
          <w:rFonts w:ascii="Arial" w:hAnsi="Arial" w:cs="Arial"/>
          <w:sz w:val="24"/>
          <w:szCs w:val="24"/>
          <w:lang w:eastAsia="es-ES"/>
        </w:rPr>
        <w:t xml:space="preserve">por darse en una relación cercana, directa y continua, dentro de un proceso que es único para cada persona o grupo. Lejos de ser espontánea, se realiza de manera </w:t>
      </w:r>
      <w:r>
        <w:rPr>
          <w:rFonts w:ascii="Arial" w:hAnsi="Arial" w:cs="Arial"/>
          <w:color w:val="231F20"/>
          <w:sz w:val="24"/>
          <w:szCs w:val="24"/>
          <w:lang w:eastAsia="es-ES"/>
        </w:rPr>
        <w:t>intencional, coordinada y planificada.</w:t>
      </w:r>
    </w:p>
    <w:p>
      <w:pPr>
        <w:spacing w:after="0" w:line="360" w:lineRule="auto"/>
        <w:jc w:val="both"/>
        <w:rPr>
          <w:rFonts w:ascii="Arial" w:hAnsi="Arial" w:cs="Arial"/>
          <w:color w:val="231F20"/>
          <w:sz w:val="24"/>
          <w:szCs w:val="24"/>
          <w:lang w:eastAsia="es-ES"/>
        </w:rPr>
      </w:pPr>
    </w:p>
    <w:p>
      <w:pPr>
        <w:spacing w:after="0" w:line="360" w:lineRule="auto"/>
        <w:jc w:val="both"/>
        <w:rPr>
          <w:rFonts w:ascii="Arial" w:hAnsi="Arial" w:cs="Arial"/>
          <w:color w:val="FF0000"/>
          <w:sz w:val="24"/>
          <w:szCs w:val="24"/>
          <w:lang w:eastAsia="es-ES"/>
        </w:rPr>
      </w:pPr>
      <w:r>
        <w:rPr>
          <w:rFonts w:ascii="Arial" w:hAnsi="Arial" w:cs="Arial"/>
          <w:sz w:val="24"/>
          <w:szCs w:val="24"/>
          <w:lang w:eastAsia="es-ES"/>
        </w:rPr>
        <w:t>En el contexto de la Casa, la antesala a todas las acciones educativas tiene que ver con ofrecer un espacio seguro, reparador y libre de juicios. Esto es de vital importancia, teniendo en cuenta las situaciones de violencia que las mujeres han sufrido, y, en consecuencia, los daños y secuelas con las que cargan.</w:t>
      </w:r>
      <w:r>
        <w:rPr>
          <w:rFonts w:ascii="Arial" w:hAnsi="Arial" w:cs="Arial"/>
          <w:color w:val="FF0000"/>
          <w:sz w:val="24"/>
          <w:szCs w:val="24"/>
          <w:lang w:eastAsia="es-ES"/>
        </w:rPr>
        <w:t xml:space="preserve"> </w:t>
      </w:r>
    </w:p>
    <w:p>
      <w:pPr>
        <w:spacing w:after="0" w:line="360" w:lineRule="auto"/>
        <w:jc w:val="both"/>
        <w:rPr>
          <w:rFonts w:ascii="Arial" w:hAnsi="Arial" w:cs="Arial"/>
          <w:sz w:val="24"/>
          <w:szCs w:val="24"/>
          <w:lang w:eastAsia="es-ES"/>
        </w:rPr>
      </w:pPr>
    </w:p>
    <w:p>
      <w:pPr>
        <w:spacing w:after="0" w:line="360" w:lineRule="auto"/>
        <w:jc w:val="both"/>
        <w:rPr>
          <w:rFonts w:ascii="Arial" w:hAnsi="Arial" w:cs="Arial"/>
          <w:sz w:val="24"/>
          <w:szCs w:val="24"/>
          <w:lang w:eastAsia="es-ES"/>
        </w:rPr>
      </w:pPr>
      <w:r>
        <w:rPr>
          <w:rFonts w:ascii="Arial" w:hAnsi="Arial" w:cs="Arial"/>
          <w:sz w:val="24"/>
          <w:szCs w:val="24"/>
          <w:lang w:eastAsia="es-ES"/>
        </w:rPr>
        <w:t>En consideración al punto anterior, se ponen en marcha el resto de acciones que se concentran en dos bloques:</w:t>
      </w:r>
    </w:p>
    <w:p>
      <w:pPr>
        <w:spacing w:after="0" w:line="360" w:lineRule="auto"/>
        <w:jc w:val="both"/>
        <w:rPr>
          <w:rFonts w:ascii="Arial" w:hAnsi="Arial" w:cs="Arial"/>
          <w:sz w:val="24"/>
          <w:szCs w:val="24"/>
          <w:lang w:eastAsia="es-ES"/>
        </w:rPr>
      </w:pPr>
    </w:p>
    <w:p>
      <w:pPr>
        <w:numPr>
          <w:ilvl w:val="0"/>
          <w:numId w:val="74"/>
        </w:numPr>
        <w:spacing w:after="0" w:line="360" w:lineRule="auto"/>
        <w:contextualSpacing/>
        <w:jc w:val="both"/>
        <w:rPr>
          <w:rFonts w:ascii="Arial" w:hAnsi="Arial" w:cs="Arial"/>
          <w:sz w:val="24"/>
          <w:szCs w:val="24"/>
          <w:lang w:eastAsia="es-ES"/>
        </w:rPr>
      </w:pPr>
      <w:r>
        <w:rPr>
          <w:rFonts w:ascii="Arial" w:hAnsi="Arial" w:cs="Arial"/>
          <w:sz w:val="24"/>
          <w:szCs w:val="24"/>
          <w:lang w:eastAsia="es-ES"/>
        </w:rPr>
        <w:t xml:space="preserve">El acompañamiento individualizado para la creación del </w:t>
      </w:r>
      <w:r>
        <w:rPr>
          <w:rFonts w:ascii="Arial" w:hAnsi="Arial" w:cs="Arial"/>
          <w:b/>
          <w:sz w:val="24"/>
          <w:szCs w:val="24"/>
          <w:lang w:eastAsia="es-ES"/>
        </w:rPr>
        <w:t>Proyecto Educativo Individual</w:t>
      </w:r>
      <w:r>
        <w:rPr>
          <w:rFonts w:ascii="Arial" w:hAnsi="Arial" w:cs="Arial"/>
          <w:sz w:val="24"/>
          <w:szCs w:val="24"/>
          <w:lang w:eastAsia="es-ES"/>
        </w:rPr>
        <w:t>.</w:t>
      </w:r>
    </w:p>
    <w:p>
      <w:pPr>
        <w:numPr>
          <w:ilvl w:val="0"/>
          <w:numId w:val="74"/>
        </w:numPr>
        <w:spacing w:after="0" w:line="360" w:lineRule="auto"/>
        <w:contextualSpacing/>
        <w:jc w:val="both"/>
        <w:rPr>
          <w:rFonts w:ascii="Arial" w:hAnsi="Arial" w:cs="Arial"/>
          <w:sz w:val="24"/>
          <w:szCs w:val="24"/>
          <w:lang w:eastAsia="es-ES"/>
        </w:rPr>
      </w:pPr>
      <w:r>
        <w:rPr>
          <w:rFonts w:ascii="Arial" w:hAnsi="Arial" w:cs="Arial"/>
          <w:sz w:val="24"/>
          <w:szCs w:val="24"/>
          <w:lang w:eastAsia="es-ES"/>
        </w:rPr>
        <w:t xml:space="preserve">La adquisición de </w:t>
      </w:r>
      <w:r>
        <w:rPr>
          <w:rFonts w:ascii="Arial" w:hAnsi="Arial" w:cs="Arial"/>
          <w:b/>
          <w:sz w:val="24"/>
          <w:szCs w:val="24"/>
          <w:lang w:eastAsia="es-ES"/>
        </w:rPr>
        <w:t>Competencias para la Vida</w:t>
      </w:r>
      <w:r>
        <w:rPr>
          <w:rFonts w:ascii="Arial" w:hAnsi="Arial" w:cs="Arial"/>
          <w:sz w:val="24"/>
          <w:szCs w:val="24"/>
          <w:lang w:eastAsia="es-ES"/>
        </w:rPr>
        <w:t>, en el escenario que ofrece la convivencia.</w:t>
      </w:r>
    </w:p>
    <w:p>
      <w:pPr>
        <w:spacing w:after="0" w:line="360" w:lineRule="auto"/>
        <w:jc w:val="both"/>
        <w:rPr>
          <w:rFonts w:ascii="Arial" w:hAnsi="Arial" w:cs="Arial"/>
          <w:sz w:val="24"/>
          <w:szCs w:val="24"/>
          <w:lang w:eastAsia="es-ES"/>
        </w:rPr>
      </w:pPr>
    </w:p>
    <w:p>
      <w:pPr>
        <w:spacing w:after="0" w:line="360" w:lineRule="auto"/>
        <w:jc w:val="both"/>
        <w:rPr>
          <w:rFonts w:ascii="Arial" w:hAnsi="Arial" w:cs="Arial"/>
          <w:sz w:val="24"/>
          <w:szCs w:val="24"/>
          <w:lang w:eastAsia="es-ES"/>
        </w:rPr>
      </w:pPr>
      <w:r>
        <w:rPr>
          <w:rFonts w:ascii="Arial" w:hAnsi="Arial" w:cs="Arial"/>
          <w:sz w:val="24"/>
          <w:szCs w:val="24"/>
          <w:lang w:eastAsia="es-ES"/>
        </w:rPr>
        <w:t xml:space="preserve">La mujer es la protagonista de su proceso, por lo que el acompañamiento se ha de realizar de su lado, respetando sus ritmos y tiempos. </w:t>
      </w:r>
    </w:p>
    <w:p>
      <w:pPr>
        <w:spacing w:after="0" w:line="360" w:lineRule="auto"/>
        <w:jc w:val="both"/>
        <w:rPr>
          <w:rFonts w:ascii="Arial" w:hAnsi="Arial" w:cs="Arial"/>
          <w:sz w:val="24"/>
          <w:szCs w:val="24"/>
          <w:lang w:eastAsia="es-ES"/>
        </w:rPr>
      </w:pPr>
    </w:p>
    <w:p>
      <w:pPr>
        <w:spacing w:after="0" w:line="360" w:lineRule="auto"/>
        <w:jc w:val="both"/>
        <w:rPr>
          <w:rFonts w:ascii="Arial" w:hAnsi="Arial" w:cs="Arial"/>
          <w:sz w:val="24"/>
          <w:szCs w:val="24"/>
          <w:lang w:eastAsia="es-ES"/>
        </w:rPr>
      </w:pPr>
      <w:r>
        <w:rPr>
          <w:rFonts w:ascii="Arial" w:hAnsi="Arial" w:cs="Arial"/>
          <w:sz w:val="24"/>
          <w:szCs w:val="24"/>
          <w:lang w:eastAsia="es-ES"/>
        </w:rPr>
        <w:t>El diálogo es la herramienta de trabajo fundamental del equipo educativo, así como la presencia y en el interés genuino por el mundo de la mujer y su forma de ser, así como la confianza en sus posibilidades “tú me importas”, “sé que eres capaz”.</w:t>
      </w:r>
    </w:p>
    <w:p>
      <w:pPr>
        <w:spacing w:after="0" w:line="360" w:lineRule="auto"/>
        <w:jc w:val="both"/>
        <w:rPr>
          <w:rFonts w:ascii="Arial" w:hAnsi="Arial" w:cs="Arial"/>
          <w:sz w:val="24"/>
          <w:szCs w:val="24"/>
          <w:lang w:eastAsia="es-ES"/>
        </w:rPr>
      </w:pPr>
    </w:p>
    <w:p>
      <w:pPr>
        <w:spacing w:after="0" w:line="360" w:lineRule="auto"/>
        <w:jc w:val="both"/>
        <w:rPr>
          <w:rFonts w:ascii="Arial" w:hAnsi="Arial" w:cs="Arial"/>
          <w:sz w:val="24"/>
          <w:szCs w:val="24"/>
          <w:lang w:eastAsia="es-ES"/>
        </w:rPr>
      </w:pPr>
      <w:r>
        <w:rPr>
          <w:rFonts w:ascii="Arial" w:hAnsi="Arial" w:cs="Arial"/>
          <w:sz w:val="24"/>
          <w:szCs w:val="24"/>
          <w:lang w:eastAsia="es-ES"/>
        </w:rPr>
        <w:t>En la elaboración del Proyecto Educativo Individual, es la mujer quien define sus objetivos. La educadora orienta para que se diseñen cortos, reales y alcanzables. Razonando el sentido de los mismos conjuntamente.</w:t>
      </w:r>
    </w:p>
    <w:p>
      <w:pPr>
        <w:spacing w:after="0" w:line="360" w:lineRule="auto"/>
        <w:jc w:val="both"/>
        <w:rPr>
          <w:rFonts w:ascii="Arial" w:hAnsi="Arial" w:cs="Arial"/>
          <w:sz w:val="24"/>
          <w:szCs w:val="24"/>
          <w:lang w:eastAsia="es-ES"/>
        </w:rPr>
      </w:pPr>
    </w:p>
    <w:p>
      <w:pPr>
        <w:spacing w:after="0" w:line="360" w:lineRule="auto"/>
        <w:jc w:val="both"/>
        <w:rPr>
          <w:rFonts w:ascii="Arial" w:hAnsi="Arial" w:cs="Arial"/>
          <w:sz w:val="24"/>
          <w:szCs w:val="24"/>
        </w:rPr>
      </w:pPr>
      <w:r>
        <w:rPr>
          <w:rFonts w:ascii="Arial" w:hAnsi="Arial" w:cs="Arial"/>
          <w:sz w:val="24"/>
          <w:szCs w:val="24"/>
        </w:rPr>
        <w:t xml:space="preserve">Es de especial importancia potenciar y fomentar el rol activo de las mujeres en el desarrollo de su proceso, evitando caer en modelos basados en la sobreprotección o el </w:t>
      </w:r>
      <w:r>
        <w:rPr>
          <w:rFonts w:ascii="Arial" w:hAnsi="Arial" w:cs="Arial"/>
          <w:sz w:val="24"/>
          <w:szCs w:val="24"/>
        </w:rPr>
        <w:lastRenderedPageBreak/>
        <w:t>paternalismo. Para ello, se generan espacios de escucha y reflexión conjunta, mediante una relación respetuosa, donde la dignidad de la persona es el pilar fundamental a partir del cual edificar.</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El fin último es la autonomía de la mujer y el recurso de acogida debe suponer un trampolín hacia la futura emancipación.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lang w:eastAsia="es-ES"/>
        </w:rPr>
      </w:pPr>
      <w:r>
        <w:rPr>
          <w:rFonts w:ascii="Arial" w:hAnsi="Arial" w:cs="Arial"/>
          <w:sz w:val="24"/>
          <w:szCs w:val="24"/>
          <w:lang w:eastAsia="es-ES"/>
        </w:rPr>
        <w:t>En el siguiente esquema, se reflejan otras características y principios que forman parte del acompañamiento individualizado:</w:t>
      </w:r>
    </w:p>
    <w:p>
      <w:pPr>
        <w:spacing w:after="0" w:line="360" w:lineRule="auto"/>
        <w:jc w:val="both"/>
        <w:rPr>
          <w:rFonts w:ascii="Arial" w:hAnsi="Arial" w:cs="Arial"/>
          <w:sz w:val="24"/>
          <w:szCs w:val="24"/>
          <w:lang w:eastAsia="es-ES"/>
        </w:rPr>
      </w:pPr>
    </w:p>
    <w:p>
      <w:pPr>
        <w:spacing w:after="0" w:line="259" w:lineRule="auto"/>
        <w:jc w:val="both"/>
        <w:rPr>
          <w:rFonts w:ascii="Arial" w:hAnsi="Arial" w:cs="Arial"/>
          <w:sz w:val="24"/>
          <w:szCs w:val="24"/>
          <w:lang w:eastAsia="es-ES"/>
        </w:rPr>
      </w:pPr>
      <w:r>
        <w:rPr>
          <w:rFonts w:eastAsia="Times New Roman" w:cs="Calibri"/>
          <w:noProof/>
          <w:kern w:val="1"/>
          <w:lang w:eastAsia="es-ES"/>
        </w:rPr>
        <w:drawing>
          <wp:anchor distT="0" distB="0" distL="114300" distR="114300" simplePos="0" relativeHeight="251661312" behindDoc="0" locked="0" layoutInCell="1" allowOverlap="1">
            <wp:simplePos x="0" y="0"/>
            <wp:positionH relativeFrom="column">
              <wp:posOffset>604520</wp:posOffset>
            </wp:positionH>
            <wp:positionV relativeFrom="paragraph">
              <wp:posOffset>175895</wp:posOffset>
            </wp:positionV>
            <wp:extent cx="5427980" cy="3648710"/>
            <wp:effectExtent l="38100" t="95250" r="96520" b="4699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st de Instagram Gráfico Consejos Ideas Ansiedad Orgánico Naranja Verde.png"/>
                    <pic:cNvPicPr/>
                  </pic:nvPicPr>
                  <pic:blipFill rotWithShape="1">
                    <a:blip r:embed="rId22">
                      <a:extLst>
                        <a:ext uri="{BEBA8EAE-BF5A-486C-A8C5-ECC9F3942E4B}">
                          <a14:imgProps xmlns:a14="http://schemas.microsoft.com/office/drawing/2010/main">
                            <a14:imgLayer r:embed="rId23">
                              <a14:imgEffect>
                                <a14:saturation sat="400000"/>
                              </a14:imgEffect>
                            </a14:imgLayer>
                          </a14:imgProps>
                        </a:ext>
                        <a:ext uri="{28A0092B-C50C-407E-A947-70E740481C1C}">
                          <a14:useLocalDpi xmlns:a14="http://schemas.microsoft.com/office/drawing/2010/main" val="0"/>
                        </a:ext>
                      </a:extLst>
                    </a:blip>
                    <a:srcRect t="8968" b="11450"/>
                    <a:stretch/>
                  </pic:blipFill>
                  <pic:spPr bwMode="auto">
                    <a:xfrm>
                      <a:off x="0" y="0"/>
                      <a:ext cx="5427980" cy="3648710"/>
                    </a:xfrm>
                    <a:prstGeom prst="rect">
                      <a:avLst/>
                    </a:prstGeom>
                    <a:ln>
                      <a:noFill/>
                    </a:ln>
                    <a:effectLst>
                      <a:outerShdw blurRad="50800" dist="38100" dir="18900000" algn="b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pPr>
        <w:spacing w:after="0" w:line="259" w:lineRule="auto"/>
        <w:jc w:val="both"/>
        <w:rPr>
          <w:rFonts w:ascii="Arial" w:hAnsi="Arial" w:cs="Arial"/>
          <w:sz w:val="24"/>
          <w:szCs w:val="24"/>
          <w:lang w:eastAsia="es-ES"/>
        </w:rPr>
      </w:pPr>
    </w:p>
    <w:p>
      <w:pPr>
        <w:spacing w:after="0" w:line="259" w:lineRule="auto"/>
        <w:jc w:val="both"/>
        <w:rPr>
          <w:rFonts w:asciiTheme="minorHAnsi" w:hAnsiTheme="minorHAnsi" w:cstheme="minorHAnsi"/>
          <w:lang w:eastAsia="es-ES"/>
        </w:rPr>
      </w:pPr>
    </w:p>
    <w:p>
      <w:pPr>
        <w:spacing w:after="0" w:line="259" w:lineRule="auto"/>
        <w:jc w:val="both"/>
        <w:rPr>
          <w:rFonts w:asciiTheme="minorHAnsi" w:hAnsiTheme="minorHAnsi" w:cstheme="minorHAnsi"/>
          <w:lang w:eastAsia="es-ES"/>
        </w:rPr>
      </w:pPr>
    </w:p>
    <w:p>
      <w:pPr>
        <w:spacing w:after="0" w:line="259" w:lineRule="auto"/>
        <w:jc w:val="both"/>
        <w:rPr>
          <w:rFonts w:asciiTheme="minorHAnsi" w:hAnsiTheme="minorHAnsi" w:cstheme="minorHAnsi"/>
          <w:lang w:eastAsia="es-ES"/>
        </w:rPr>
      </w:pPr>
    </w:p>
    <w:p>
      <w:pPr>
        <w:spacing w:after="0" w:line="259" w:lineRule="auto"/>
        <w:jc w:val="both"/>
        <w:rPr>
          <w:rFonts w:asciiTheme="minorHAnsi" w:hAnsiTheme="minorHAnsi" w:cstheme="minorHAnsi"/>
          <w:lang w:eastAsia="es-ES"/>
        </w:rPr>
      </w:pPr>
    </w:p>
    <w:p>
      <w:pPr>
        <w:spacing w:after="0" w:line="259" w:lineRule="auto"/>
        <w:jc w:val="both"/>
        <w:rPr>
          <w:rFonts w:asciiTheme="minorHAnsi" w:hAnsiTheme="minorHAnsi" w:cstheme="minorHAnsi"/>
          <w:lang w:eastAsia="es-ES"/>
        </w:rPr>
      </w:pPr>
    </w:p>
    <w:p>
      <w:pPr>
        <w:spacing w:after="0" w:line="259" w:lineRule="auto"/>
        <w:jc w:val="both"/>
        <w:rPr>
          <w:rFonts w:asciiTheme="minorHAnsi" w:hAnsiTheme="minorHAnsi" w:cstheme="minorHAnsi"/>
          <w:lang w:eastAsia="es-ES"/>
        </w:rPr>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259" w:lineRule="auto"/>
        <w:jc w:val="both"/>
      </w:pP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En lo concerniente al segundo bloque, la adquisición de Competencias para la Vida (comunicativas, sociales, emocionales…), en el escenario de la Casa, permite observar situaciones de la convivencia que sirven de oportunidad para entrenarlas. Esto conlleva </w:t>
      </w:r>
      <w:r>
        <w:rPr>
          <w:rFonts w:ascii="Arial" w:hAnsi="Arial" w:cs="Arial"/>
          <w:sz w:val="24"/>
          <w:szCs w:val="24"/>
        </w:rPr>
        <w:lastRenderedPageBreak/>
        <w:t>mejorar destrezas y habilidades necesarias para la vida, que son extrapolables a otros contextos como el familiar, social o laboral.</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Este hecho se ve enriquecido por la diversidad cultural, de costumbres y creencias presentes en la Casa. Lo que requiere un conocimiento por parte del equipo educativo de las realidades culturales para una mejor comunicación e inclusión.</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coordinación con el equipo interdisciplinar (área jurídica, psicológica, social y laboral) refuerza y complementa el enfoque de la intervención, dotándola de una mirada más amplia. Para este fin, se realizan coordinaciones regulares.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Otro apartado de interés propio de la metodología, es el referido a las herramientas de trabajo empleadas en la intervención, las cuáles nos permiten recabar datos referidos al proceso de cada mujer.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Estas se enmarcan en: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1.- </w:t>
      </w:r>
      <w:r>
        <w:rPr>
          <w:rFonts w:ascii="Arial" w:hAnsi="Arial" w:cs="Arial"/>
          <w:sz w:val="24"/>
          <w:szCs w:val="24"/>
          <w:u w:val="single"/>
        </w:rPr>
        <w:t>Herramientas de comunicación e intercambio de información a nivel interno</w:t>
      </w:r>
      <w:r>
        <w:rPr>
          <w:rFonts w:ascii="Arial" w:hAnsi="Arial" w:cs="Arial"/>
          <w:sz w:val="24"/>
          <w:szCs w:val="24"/>
        </w:rPr>
        <w:t>, tanto en el propio equipo educativo como con el resto de áreas interdisciplinares.</w:t>
      </w:r>
    </w:p>
    <w:p>
      <w:pPr>
        <w:spacing w:after="0" w:line="360" w:lineRule="auto"/>
        <w:jc w:val="both"/>
        <w:rPr>
          <w:rFonts w:ascii="Arial" w:hAnsi="Arial" w:cs="Arial"/>
          <w:sz w:val="24"/>
          <w:szCs w:val="24"/>
        </w:rPr>
      </w:pPr>
    </w:p>
    <w:p>
      <w:pPr>
        <w:spacing w:after="160" w:line="360" w:lineRule="auto"/>
        <w:jc w:val="both"/>
        <w:rPr>
          <w:rFonts w:ascii="Arial" w:hAnsi="Arial" w:cs="Arial"/>
          <w:sz w:val="24"/>
          <w:szCs w:val="24"/>
        </w:rPr>
      </w:pPr>
      <w:r>
        <w:rPr>
          <w:rFonts w:ascii="Arial" w:hAnsi="Arial" w:cs="Arial"/>
          <w:sz w:val="24"/>
          <w:szCs w:val="24"/>
        </w:rPr>
        <w:t xml:space="preserve">2.- </w:t>
      </w:r>
      <w:r>
        <w:rPr>
          <w:rFonts w:ascii="Arial" w:hAnsi="Arial" w:cs="Arial"/>
          <w:sz w:val="24"/>
          <w:szCs w:val="24"/>
          <w:u w:val="single"/>
        </w:rPr>
        <w:t>Documentos técnicos</w:t>
      </w:r>
      <w:r>
        <w:rPr>
          <w:rFonts w:ascii="Arial" w:hAnsi="Arial" w:cs="Arial"/>
          <w:sz w:val="24"/>
          <w:szCs w:val="24"/>
        </w:rPr>
        <w:t xml:space="preserve"> enfocados hacia el trabajo que se está llevando a cabo con la mujer en su proceso personal.</w:t>
      </w: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tbl>
      <w:tblPr>
        <w:tblStyle w:val="Cuadrculamedia3-nfasis22"/>
        <w:tblW w:w="9269" w:type="dxa"/>
        <w:tblInd w:w="416" w:type="dxa"/>
        <w:tblLayout w:type="fixed"/>
        <w:tblLook w:val="04A0" w:firstRow="1" w:lastRow="0" w:firstColumn="1" w:lastColumn="0" w:noHBand="0" w:noVBand="1"/>
      </w:tblPr>
      <w:tblGrid>
        <w:gridCol w:w="1984"/>
        <w:gridCol w:w="3658"/>
        <w:gridCol w:w="3627"/>
      </w:tblGrid>
      <w:tr>
        <w:trPr>
          <w:cnfStyle w:val="100000000000" w:firstRow="1" w:lastRow="0" w:firstColumn="0" w:lastColumn="0" w:oddVBand="0" w:evenVBand="0" w:oddHBand="0"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984" w:type="dxa"/>
            <w:shd w:val="clear" w:color="auto" w:fill="auto"/>
          </w:tcPr>
          <w:p>
            <w:pPr>
              <w:ind w:left="0" w:firstLine="0"/>
              <w:jc w:val="left"/>
              <w:rPr>
                <w:rFonts w:ascii="Arial" w:hAnsi="Arial" w:cs="Arial"/>
                <w:color w:val="FFFFFF"/>
                <w:lang w:eastAsia="es-ES"/>
              </w:rPr>
            </w:pPr>
          </w:p>
        </w:tc>
        <w:tc>
          <w:tcPr>
            <w:tcW w:w="7285" w:type="dxa"/>
            <w:gridSpan w:val="2"/>
            <w:shd w:val="clear" w:color="auto" w:fill="7030A0"/>
          </w:tcPr>
          <w:p>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lang w:eastAsia="es-ES"/>
              </w:rPr>
            </w:pPr>
            <w:r>
              <w:rPr>
                <w:rFonts w:ascii="Arial" w:hAnsi="Arial" w:cs="Arial"/>
                <w:color w:val="FFFFFF"/>
                <w:lang w:eastAsia="es-ES"/>
              </w:rPr>
              <w:t>HERRAMIENTAS DE TRABAJO EN LA INTERVENCIÓN SOCIOEDUCATIVA</w:t>
            </w:r>
          </w:p>
        </w:tc>
      </w:tr>
      <w:tr>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984" w:type="dxa"/>
            <w:shd w:val="clear" w:color="auto" w:fill="auto"/>
          </w:tcPr>
          <w:p>
            <w:pPr>
              <w:jc w:val="center"/>
              <w:rPr>
                <w:rFonts w:ascii="Arial" w:hAnsi="Arial" w:cs="Arial"/>
                <w:color w:val="FFFFFF"/>
                <w:lang w:eastAsia="es-ES"/>
              </w:rPr>
            </w:pPr>
          </w:p>
        </w:tc>
        <w:tc>
          <w:tcPr>
            <w:tcW w:w="3658" w:type="dxa"/>
            <w:shd w:val="clear" w:color="auto" w:fill="B2A1C7" w:themeFill="accent4" w:themeFillTint="99"/>
          </w:tcPr>
          <w:p>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984806" w:themeColor="accent6" w:themeShade="80"/>
                <w:lang w:eastAsia="es-ES"/>
              </w:rPr>
            </w:pPr>
            <w:r>
              <w:rPr>
                <w:rFonts w:ascii="Arial" w:hAnsi="Arial" w:cs="Arial"/>
                <w:b/>
                <w:color w:val="984806" w:themeColor="accent6" w:themeShade="80"/>
                <w:lang w:eastAsia="es-ES"/>
              </w:rPr>
              <w:t>A nivel interno, en equipo educativo</w:t>
            </w:r>
          </w:p>
        </w:tc>
        <w:tc>
          <w:tcPr>
            <w:tcW w:w="3627" w:type="dxa"/>
            <w:shd w:val="clear" w:color="auto" w:fill="B2A1C7" w:themeFill="accent4" w:themeFillTint="99"/>
          </w:tcPr>
          <w:p>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984806" w:themeColor="accent6" w:themeShade="80"/>
                <w:lang w:eastAsia="es-ES"/>
              </w:rPr>
            </w:pPr>
            <w:r>
              <w:rPr>
                <w:rFonts w:ascii="Arial" w:hAnsi="Arial" w:cs="Arial"/>
                <w:b/>
                <w:color w:val="984806" w:themeColor="accent6" w:themeShade="80"/>
                <w:lang w:eastAsia="es-ES"/>
              </w:rPr>
              <w:t>A nivel interno, en equipo interdisciplinar</w:t>
            </w:r>
          </w:p>
          <w:p>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984806" w:themeColor="accent6" w:themeShade="80"/>
                <w:lang w:eastAsia="es-ES"/>
              </w:rPr>
            </w:pPr>
            <w:r>
              <w:rPr>
                <w:rFonts w:ascii="Arial" w:hAnsi="Arial" w:cs="Arial"/>
                <w:b/>
                <w:color w:val="984806" w:themeColor="accent6" w:themeShade="80"/>
                <w:lang w:eastAsia="es-ES"/>
              </w:rPr>
              <w:t xml:space="preserve"> (Incluida el área educativa).</w:t>
            </w:r>
          </w:p>
        </w:tc>
      </w:tr>
      <w:tr>
        <w:trPr>
          <w:trHeight w:val="2184"/>
        </w:trPr>
        <w:tc>
          <w:tcPr>
            <w:cnfStyle w:val="001000000000" w:firstRow="0" w:lastRow="0" w:firstColumn="1" w:lastColumn="0" w:oddVBand="0" w:evenVBand="0" w:oddHBand="0" w:evenHBand="0" w:firstRowFirstColumn="0" w:firstRowLastColumn="0" w:lastRowFirstColumn="0" w:lastRowLastColumn="0"/>
            <w:tcW w:w="1984" w:type="dxa"/>
            <w:tcBorders>
              <w:bottom w:val="single" w:sz="4" w:space="0" w:color="auto"/>
            </w:tcBorders>
            <w:shd w:val="clear" w:color="auto" w:fill="B2A1C7" w:themeFill="accent4" w:themeFillTint="99"/>
          </w:tcPr>
          <w:p>
            <w:pPr>
              <w:spacing w:line="240" w:lineRule="auto"/>
              <w:jc w:val="center"/>
              <w:rPr>
                <w:rFonts w:ascii="Arial" w:hAnsi="Arial" w:cs="Arial"/>
                <w:color w:val="984806" w:themeColor="accent6" w:themeShade="80"/>
                <w:lang w:eastAsia="es-ES"/>
              </w:rPr>
            </w:pPr>
          </w:p>
          <w:p>
            <w:pPr>
              <w:spacing w:line="240" w:lineRule="auto"/>
              <w:ind w:left="0" w:firstLine="0"/>
              <w:jc w:val="center"/>
              <w:rPr>
                <w:rFonts w:ascii="Arial" w:hAnsi="Arial" w:cs="Arial"/>
                <w:color w:val="984806" w:themeColor="accent6" w:themeShade="80"/>
                <w:lang w:eastAsia="es-ES"/>
              </w:rPr>
            </w:pPr>
            <w:r>
              <w:rPr>
                <w:rFonts w:ascii="Arial" w:hAnsi="Arial" w:cs="Arial"/>
                <w:color w:val="984806" w:themeColor="accent6" w:themeShade="80"/>
                <w:lang w:eastAsia="es-ES"/>
              </w:rPr>
              <w:t>Comunicación e intercambio de información a nivel interno.</w:t>
            </w:r>
          </w:p>
        </w:tc>
        <w:tc>
          <w:tcPr>
            <w:tcW w:w="3658" w:type="dxa"/>
            <w:shd w:val="clear" w:color="auto" w:fill="E5DFEC" w:themeFill="accent4" w:themeFillTint="33"/>
          </w:tcPr>
          <w:p>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*Diario de campo.</w:t>
            </w:r>
          </w:p>
          <w:p>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 xml:space="preserve">*Coordinación en el relevo de la jornada laboral. </w:t>
            </w:r>
          </w:p>
          <w:p>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 xml:space="preserve">*Infografías y otros elementos visuales para la organización semanal de la Casa, de las gestiones relativas a cada mujer y el propio trabajo técnico. </w:t>
            </w:r>
          </w:p>
          <w:p>
            <w:pPr>
              <w:tabs>
                <w:tab w:val="left" w:pos="301"/>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*Protocolos internos</w:t>
            </w:r>
          </w:p>
        </w:tc>
        <w:tc>
          <w:tcPr>
            <w:tcW w:w="3627" w:type="dxa"/>
            <w:shd w:val="clear" w:color="auto" w:fill="E5DFEC" w:themeFill="accent4" w:themeFillTint="33"/>
          </w:tcPr>
          <w:p>
            <w:pPr>
              <w:spacing w:line="240" w:lineRule="auto"/>
              <w:ind w:left="34" w:hanging="34"/>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*Seguimientos semanales sobre los procesos individuales.</w:t>
            </w:r>
          </w:p>
          <w:p>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*Expediente individual.</w:t>
            </w:r>
          </w:p>
          <w:p>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s-ES"/>
              </w:rPr>
            </w:pPr>
            <w:r>
              <w:rPr>
                <w:rFonts w:ascii="Arial" w:hAnsi="Arial" w:cs="Arial"/>
                <w:lang w:eastAsia="es-ES"/>
              </w:rPr>
              <w:t>*Email y llamadas telefónicas para coordinación interna/   Tlf 24 horas en casos de emergencia.</w:t>
            </w:r>
          </w:p>
        </w:tc>
      </w:tr>
      <w:tr>
        <w:trPr>
          <w:cnfStyle w:val="000000100000" w:firstRow="0" w:lastRow="0" w:firstColumn="0" w:lastColumn="0" w:oddVBand="0" w:evenVBand="0" w:oddHBand="1" w:evenHBand="0" w:firstRowFirstColumn="0" w:firstRowLastColumn="0" w:lastRowFirstColumn="0" w:lastRowLastColumn="0"/>
          <w:trHeight w:val="1774"/>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auto"/>
            </w:tcBorders>
            <w:shd w:val="clear" w:color="auto" w:fill="B2A1C7" w:themeFill="accent4" w:themeFillTint="99"/>
          </w:tcPr>
          <w:p>
            <w:pPr>
              <w:spacing w:line="240" w:lineRule="auto"/>
              <w:jc w:val="center"/>
              <w:rPr>
                <w:rFonts w:ascii="Arial" w:hAnsi="Arial" w:cs="Arial"/>
                <w:color w:val="984806" w:themeColor="accent6" w:themeShade="80"/>
                <w:lang w:eastAsia="es-ES"/>
              </w:rPr>
            </w:pPr>
          </w:p>
          <w:p>
            <w:pPr>
              <w:spacing w:line="240" w:lineRule="auto"/>
              <w:jc w:val="center"/>
              <w:rPr>
                <w:rFonts w:ascii="Arial" w:hAnsi="Arial" w:cs="Arial"/>
                <w:color w:val="984806" w:themeColor="accent6" w:themeShade="80"/>
                <w:lang w:eastAsia="es-ES"/>
              </w:rPr>
            </w:pPr>
          </w:p>
          <w:p>
            <w:pPr>
              <w:spacing w:line="240" w:lineRule="auto"/>
              <w:rPr>
                <w:rFonts w:ascii="Arial" w:hAnsi="Arial" w:cs="Arial"/>
                <w:color w:val="984806" w:themeColor="accent6" w:themeShade="80"/>
                <w:lang w:eastAsia="es-ES"/>
              </w:rPr>
            </w:pPr>
            <w:r>
              <w:rPr>
                <w:rFonts w:ascii="Arial" w:hAnsi="Arial" w:cs="Arial"/>
                <w:color w:val="984806" w:themeColor="accent6" w:themeShade="80"/>
                <w:lang w:eastAsia="es-ES"/>
              </w:rPr>
              <w:t xml:space="preserve">Documentación técnica </w:t>
            </w:r>
          </w:p>
          <w:p>
            <w:pPr>
              <w:spacing w:line="240" w:lineRule="auto"/>
              <w:jc w:val="center"/>
              <w:rPr>
                <w:rFonts w:ascii="Arial" w:hAnsi="Arial" w:cs="Arial"/>
                <w:color w:val="984806" w:themeColor="accent6" w:themeShade="80"/>
                <w:lang w:eastAsia="es-ES"/>
              </w:rPr>
            </w:pPr>
          </w:p>
        </w:tc>
        <w:tc>
          <w:tcPr>
            <w:tcW w:w="3658" w:type="dxa"/>
            <w:shd w:val="clear" w:color="auto" w:fill="E5DFEC" w:themeFill="accent4" w:themeFillTint="33"/>
          </w:tcPr>
          <w:p>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s-ES"/>
              </w:rPr>
            </w:pPr>
            <w:r>
              <w:rPr>
                <w:rFonts w:ascii="Arial" w:hAnsi="Arial" w:cs="Arial"/>
                <w:lang w:eastAsia="es-ES"/>
              </w:rPr>
              <w:t>* Hojas de Valoración.</w:t>
            </w:r>
          </w:p>
          <w:p>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s-ES"/>
              </w:rPr>
            </w:pPr>
            <w:r>
              <w:rPr>
                <w:rFonts w:ascii="Arial" w:hAnsi="Arial" w:cs="Arial"/>
                <w:lang w:eastAsia="es-ES"/>
              </w:rPr>
              <w:t>* Informes solicitados por otras entidades (Juzgados, Dirección General del Menor, recursos especializados, etc.).</w:t>
            </w:r>
          </w:p>
        </w:tc>
        <w:tc>
          <w:tcPr>
            <w:tcW w:w="3627" w:type="dxa"/>
            <w:shd w:val="clear" w:color="auto" w:fill="E5DFEC" w:themeFill="accent4" w:themeFillTint="33"/>
          </w:tcPr>
          <w:p>
            <w:pPr>
              <w:tabs>
                <w:tab w:val="left" w:pos="0"/>
                <w:tab w:val="left" w:pos="2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s-ES"/>
              </w:rPr>
            </w:pPr>
            <w:r>
              <w:rPr>
                <w:rFonts w:ascii="Arial" w:hAnsi="Arial" w:cs="Arial"/>
                <w:lang w:eastAsia="es-ES"/>
              </w:rPr>
              <w:t>*Valoración diagnóstica.</w:t>
            </w:r>
          </w:p>
          <w:p>
            <w:pPr>
              <w:tabs>
                <w:tab w:val="left" w:pos="0"/>
                <w:tab w:val="left" w:pos="2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s-ES"/>
              </w:rPr>
            </w:pPr>
            <w:r>
              <w:rPr>
                <w:rFonts w:ascii="Arial" w:hAnsi="Arial" w:cs="Arial"/>
                <w:lang w:eastAsia="es-ES"/>
              </w:rPr>
              <w:t>*Plan de Trabajo Individualizado Compartido (PTIC) y revisiones trimestrales.</w:t>
            </w:r>
          </w:p>
          <w:p>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s-ES"/>
              </w:rPr>
            </w:pPr>
            <w:r>
              <w:rPr>
                <w:rFonts w:ascii="Arial" w:hAnsi="Arial" w:cs="Arial"/>
                <w:lang w:eastAsia="es-ES"/>
              </w:rPr>
              <w:t>* Plan de cierre de caso.</w:t>
            </w:r>
          </w:p>
        </w:tc>
      </w:tr>
    </w:tbl>
    <w:p>
      <w:pPr>
        <w:spacing w:after="160" w:line="259"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0288" behindDoc="1" locked="0" layoutInCell="1" allowOverlap="1">
            <wp:simplePos x="0" y="0"/>
            <wp:positionH relativeFrom="column">
              <wp:posOffset>187960</wp:posOffset>
            </wp:positionH>
            <wp:positionV relativeFrom="paragraph">
              <wp:posOffset>187325</wp:posOffset>
            </wp:positionV>
            <wp:extent cx="6106160" cy="3641090"/>
            <wp:effectExtent l="57150" t="0" r="66040" b="0"/>
            <wp:wrapThrough wrapText="bothSides">
              <wp:wrapPolygon edited="0">
                <wp:start x="-202" y="113"/>
                <wp:lineTo x="-135" y="21472"/>
                <wp:lineTo x="21699" y="21472"/>
                <wp:lineTo x="21766" y="113"/>
                <wp:lineTo x="-202" y="113"/>
              </wp:wrapPolygon>
            </wp:wrapThrough>
            <wp:docPr id="21" name="Diagrama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r>
        <w:rPr>
          <w:rFonts w:ascii="Arial" w:hAnsi="Arial" w:cs="Arial"/>
          <w:sz w:val="24"/>
          <w:szCs w:val="24"/>
        </w:rPr>
        <w:t>Herramientas de comunicación e intercambio de información a nivel interno:</w:t>
      </w:r>
    </w:p>
    <w:p>
      <w:pPr>
        <w:spacing w:after="160" w:line="259" w:lineRule="auto"/>
        <w:jc w:val="both"/>
        <w:rPr>
          <w:b/>
          <w:u w:val="single"/>
        </w:rPr>
      </w:pPr>
    </w:p>
    <w:p>
      <w:pPr>
        <w:spacing w:after="160" w:line="259" w:lineRule="auto"/>
        <w:rPr>
          <w:sz w:val="24"/>
          <w:szCs w:val="24"/>
        </w:rPr>
      </w:pPr>
      <w:r>
        <w:rPr>
          <w:sz w:val="24"/>
          <w:szCs w:val="24"/>
        </w:rPr>
        <w:t>Documentación técnica para la intervención en los procesos individuales:</w:t>
      </w:r>
    </w:p>
    <w:p>
      <w:pPr>
        <w:spacing w:after="160" w:line="259" w:lineRule="auto"/>
        <w:rPr>
          <w:b/>
          <w:u w:val="single"/>
        </w:rPr>
      </w:pPr>
      <w:r>
        <w:rPr>
          <w:b/>
          <w:noProof/>
          <w:u w:val="single"/>
          <w:lang w:eastAsia="es-ES"/>
        </w:rPr>
        <w:drawing>
          <wp:inline distT="0" distB="0" distL="0" distR="0">
            <wp:extent cx="5915660" cy="3403158"/>
            <wp:effectExtent l="57150" t="38100" r="66040" b="6985"/>
            <wp:docPr id="22" name="Diagrama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pPr>
        <w:spacing w:after="160" w:line="360" w:lineRule="auto"/>
        <w:rPr>
          <w:b/>
        </w:rPr>
      </w:pPr>
    </w:p>
    <w:p>
      <w:pPr>
        <w:spacing w:after="160" w:line="360" w:lineRule="auto"/>
        <w:jc w:val="both"/>
        <w:rPr>
          <w:rFonts w:ascii="Arial" w:hAnsi="Arial" w:cs="Arial"/>
          <w:sz w:val="24"/>
          <w:szCs w:val="24"/>
        </w:rPr>
      </w:pPr>
      <w:r>
        <w:rPr>
          <w:rFonts w:ascii="Arial" w:hAnsi="Arial" w:cs="Arial"/>
          <w:b/>
          <w:sz w:val="24"/>
          <w:szCs w:val="24"/>
        </w:rPr>
        <w:t xml:space="preserve">Informes solicitados por entidades externas: </w:t>
      </w:r>
      <w:r>
        <w:rPr>
          <w:rFonts w:ascii="Arial" w:hAnsi="Arial" w:cs="Arial"/>
          <w:sz w:val="24"/>
          <w:szCs w:val="24"/>
        </w:rPr>
        <w:t xml:space="preserve">se realizan de manera puntual y ante solicitud expresa o ante la valoración de necesidad de realizarlos y se dirigen a entidades externas al recurso, que requieren o precisan información sobre el proceso de alguna mujer para cuestiones específicas tales como: derivación a un recurso y/o servicio especializado, procesos judiciales, valoración de situación de riesgo del menor, entre otros. </w:t>
      </w:r>
    </w:p>
    <w:p>
      <w:pPr>
        <w:spacing w:after="160" w:line="360" w:lineRule="auto"/>
        <w:rPr>
          <w:rFonts w:ascii="Arial" w:hAnsi="Arial" w:cs="Arial"/>
          <w:sz w:val="24"/>
          <w:szCs w:val="24"/>
          <w:u w:val="single"/>
        </w:rPr>
      </w:pPr>
      <w:r>
        <w:rPr>
          <w:rFonts w:ascii="Arial" w:hAnsi="Arial" w:cs="Arial"/>
          <w:sz w:val="24"/>
          <w:szCs w:val="24"/>
          <w:u w:val="single"/>
        </w:rPr>
        <w:t>Itinerario residencial:</w:t>
      </w:r>
    </w:p>
    <w:p>
      <w:pPr>
        <w:spacing w:after="160" w:line="360" w:lineRule="auto"/>
        <w:rPr>
          <w:rFonts w:ascii="Arial" w:hAnsi="Arial" w:cs="Arial"/>
          <w:sz w:val="24"/>
          <w:szCs w:val="24"/>
        </w:rPr>
      </w:pPr>
      <w:r>
        <w:rPr>
          <w:rFonts w:ascii="Arial" w:hAnsi="Arial" w:cs="Arial"/>
          <w:sz w:val="24"/>
          <w:szCs w:val="24"/>
        </w:rPr>
        <w:t xml:space="preserve">El itinerario residencial, consta de tres etapas. Cada una de ellas, con dos fases que se detallan a continuación. </w:t>
      </w:r>
    </w:p>
    <w:p>
      <w:pPr>
        <w:spacing w:after="160" w:line="259" w:lineRule="auto"/>
        <w:rPr>
          <w:rFonts w:ascii="Arial" w:hAnsi="Arial" w:cs="Arial"/>
          <w:sz w:val="24"/>
          <w:szCs w:val="24"/>
        </w:rPr>
      </w:pPr>
      <w:r>
        <w:rPr>
          <w:rFonts w:ascii="Arial" w:hAnsi="Arial" w:cs="Arial"/>
          <w:noProof/>
          <w:sz w:val="24"/>
          <w:szCs w:val="24"/>
          <w:lang w:eastAsia="es-ES"/>
        </w:rPr>
        <w:lastRenderedPageBreak/>
        <w:drawing>
          <wp:inline distT="0" distB="0" distL="0" distR="0">
            <wp:extent cx="6029325" cy="1219200"/>
            <wp:effectExtent l="57150" t="19050" r="47625" b="57150"/>
            <wp:docPr id="23" name="Diagrama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pPr>
        <w:tabs>
          <w:tab w:val="left" w:pos="3468"/>
        </w:tabs>
        <w:spacing w:after="160" w:line="259" w:lineRule="auto"/>
        <w:jc w:val="both"/>
      </w:pPr>
      <w:r>
        <w:t xml:space="preserve">                  </w:t>
      </w:r>
    </w:p>
    <w:p>
      <w:pPr>
        <w:autoSpaceDE w:val="0"/>
        <w:autoSpaceDN w:val="0"/>
        <w:adjustRightInd w:val="0"/>
        <w:spacing w:after="0" w:line="360" w:lineRule="auto"/>
        <w:rPr>
          <w:rFonts w:ascii="Arial" w:hAnsi="Arial" w:cs="Arial"/>
          <w:b/>
          <w:sz w:val="24"/>
          <w:szCs w:val="24"/>
        </w:rPr>
      </w:pPr>
      <w:r>
        <w:rPr>
          <w:rFonts w:ascii="Arial" w:eastAsia="Times New Roman" w:hAnsi="Arial" w:cs="Arial"/>
          <w:b/>
          <w:color w:val="5B9BD5"/>
          <w:kern w:val="1"/>
          <w:sz w:val="24"/>
          <w:szCs w:val="24"/>
          <w:lang w:eastAsia="zh-CN"/>
        </w:rPr>
        <w:t>PRIMERA ETAPA</w:t>
      </w:r>
    </w:p>
    <w:p>
      <w:pPr>
        <w:shd w:val="clear" w:color="auto" w:fill="FFFFFF"/>
        <w:suppressAutoHyphens/>
        <w:spacing w:line="360" w:lineRule="auto"/>
        <w:jc w:val="both"/>
        <w:textAlignment w:val="baseline"/>
        <w:rPr>
          <w:rFonts w:ascii="Arial" w:eastAsia="Times New Roman" w:hAnsi="Arial" w:cs="Arial"/>
          <w:b/>
          <w:color w:val="C45911"/>
          <w:kern w:val="1"/>
          <w:sz w:val="24"/>
          <w:szCs w:val="24"/>
          <w:lang w:eastAsia="zh-CN"/>
        </w:rPr>
      </w:pPr>
    </w:p>
    <w:p>
      <w:pPr>
        <w:shd w:val="clear" w:color="auto" w:fill="FFFFFF"/>
        <w:suppressAutoHyphens/>
        <w:spacing w:line="360" w:lineRule="auto"/>
        <w:jc w:val="both"/>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t>Fase I. Acogida</w:t>
      </w: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Esta fase tiene una duración de una semana en la que se pretende el descanso y el inicio de la recuperación de la mujer, así como el entendimiento del Reglamento Interno y el funcionamiento de las dinámicas diarias.</w:t>
      </w: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jc w:val="both"/>
        <w:textAlignment w:val="baseline"/>
        <w:rPr>
          <w:rFonts w:ascii="Arial" w:hAnsi="Arial" w:cs="Arial"/>
          <w:sz w:val="24"/>
          <w:szCs w:val="24"/>
        </w:rPr>
      </w:pPr>
      <w:r>
        <w:rPr>
          <w:rFonts w:ascii="Arial" w:eastAsia="Times New Roman" w:hAnsi="Arial" w:cs="Arial"/>
          <w:kern w:val="1"/>
          <w:sz w:val="24"/>
          <w:szCs w:val="24"/>
          <w:lang w:eastAsia="zh-CN"/>
        </w:rPr>
        <w:t xml:space="preserve">Conociendo su fecha de ingreso, se procede a preparar la habitación que ocupará. Se facilitan enseres y/o productos de higiene, vestimenta y calzado, medicación necesaria, etc. Además, la mujer </w:t>
      </w:r>
      <w:r>
        <w:rPr>
          <w:rFonts w:ascii="Arial" w:hAnsi="Arial" w:cs="Arial"/>
          <w:sz w:val="24"/>
          <w:szCs w:val="24"/>
        </w:rPr>
        <w:t>firma los documentos protocolarios de ingreso (alta voluntaria, contrato de convivencia, aceptación de enseres recibidos, responsabilidad sobre objetos personales, Reglamento de Régimen Interno, adhesión al protocolo del sistema de protección interno, etc.). En caso de que la mujer tenga algún tratamiento pautado, se adquieren los que fueran necesarios. Por seguridad, los medicamentos los custodia el equipo educativo.</w:t>
      </w:r>
    </w:p>
    <w:p>
      <w:pPr>
        <w:suppressAutoHyphens/>
        <w:spacing w:after="0" w:line="360" w:lineRule="auto"/>
        <w:jc w:val="both"/>
        <w:textAlignment w:val="baseline"/>
        <w:rPr>
          <w:rFonts w:ascii="Arial" w:hAnsi="Arial" w:cs="Arial"/>
          <w:sz w:val="24"/>
          <w:szCs w:val="24"/>
        </w:rPr>
      </w:pP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Previamente al ingreso, se informa al grupo de mujeres residentes, fomentando valores de integración, colaboración y ayuda a la misma, así como de respeto y comprensión hacia el ritmo de adaptación.</w:t>
      </w: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Detallar que es en esta fase donde la mujer desarrolla lo que se denomina un periodo de “luna de miel”, mostrando agradecimiento y felicidad, por encontrarse en el recurso.</w:t>
      </w: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line="360" w:lineRule="auto"/>
        <w:ind w:left="284" w:hanging="284"/>
        <w:jc w:val="both"/>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lastRenderedPageBreak/>
        <w:t>Fase II. Adaptación</w:t>
      </w: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 xml:space="preserve">Tras la semana de adaptación desde la fecha de ingreso, se introduce a la mujer en la dinámica y funcionamiento del recurso de acogida (asignación de turno en el cuadrante de la limpieza doméstica, turno de cocina, etc.). </w:t>
      </w: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Esta fase supone también el inicio de citaciones en oficinas del programa donde recibirán atención por parte del resto de profesionales del equipo interdisciplinar.</w:t>
      </w: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Este proceso de adaptación suele acompañarse de un conflicto emocional, en el cual no se tiene plena conciencia de cómo se sienten y el por qué, desencadenándose muchas emociones encontradas y períodos de cierta inestabilidad.   En sintonía, la ya citada sensación de “luna de miel” comienza a tambalearse, pues el hecho de tener que asumir nuevas responsabilidades y rutinas y cumplir con una normativa (horarios, citas, asistencia a talleres, etc.) generan en la mujer cierto malestar e incomodidad. Este planteamiento es importante detallarlo, ya que (en una minoría de casos) ha sido el motivo por el que la mujer solicita la baja voluntaria a poco de ingresar en el recurso.</w:t>
      </w: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E</w:t>
      </w:r>
      <w:r>
        <w:rPr>
          <w:rFonts w:ascii="Arial" w:hAnsi="Arial" w:cs="Arial"/>
          <w:sz w:val="24"/>
          <w:szCs w:val="24"/>
        </w:rPr>
        <w:t>l hecho de llegar a un espacio y compartir con otras mujeres historias de vida similares a la propia, origina que se creen también vínculos entre las propias residentes, algo que favorece bastante la cohesión del grupo, la integración de las nuevas mujeres que se van incorporando y el clima de la convivencia en general.</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tbl>
      <w:tblPr>
        <w:tblStyle w:val="Tablaconcuadrcula251"/>
        <w:tblW w:w="9464" w:type="dxa"/>
        <w:tblLook w:val="04A0" w:firstRow="1" w:lastRow="0" w:firstColumn="1" w:lastColumn="0" w:noHBand="0" w:noVBand="1"/>
      </w:tblPr>
      <w:tblGrid>
        <w:gridCol w:w="9464"/>
      </w:tblGrid>
      <w:tr>
        <w:tc>
          <w:tcPr>
            <w:tcW w:w="9464" w:type="dxa"/>
            <w:tcBorders>
              <w:bottom w:val="single" w:sz="4" w:space="0" w:color="auto"/>
            </w:tcBorders>
            <w:shd w:val="clear" w:color="auto" w:fill="7030A0"/>
          </w:tcPr>
          <w:p>
            <w:pPr>
              <w:spacing w:after="0" w:line="360" w:lineRule="auto"/>
              <w:jc w:val="center"/>
              <w:rPr>
                <w:rFonts w:ascii="Arial" w:hAnsi="Arial" w:cs="Arial"/>
                <w:b/>
                <w:color w:val="FFFFFF" w:themeColor="background1"/>
                <w:sz w:val="24"/>
                <w:szCs w:val="24"/>
              </w:rPr>
            </w:pPr>
            <w:r>
              <w:rPr>
                <w:rFonts w:ascii="Arial" w:hAnsi="Arial" w:cs="Arial"/>
                <w:b/>
                <w:color w:val="FFFFFF" w:themeColor="background1"/>
                <w:sz w:val="24"/>
                <w:szCs w:val="24"/>
              </w:rPr>
              <w:lastRenderedPageBreak/>
              <w:t>1ª ETAPA: Acogida y adaptación</w:t>
            </w:r>
          </w:p>
          <w:p>
            <w:pPr>
              <w:spacing w:after="0" w:line="360" w:lineRule="auto"/>
              <w:jc w:val="center"/>
              <w:rPr>
                <w:rFonts w:ascii="Arial" w:hAnsi="Arial" w:cs="Arial"/>
                <w:color w:val="FFFFFF" w:themeColor="background1"/>
                <w:sz w:val="24"/>
                <w:szCs w:val="24"/>
              </w:rPr>
            </w:pPr>
            <w:r>
              <w:rPr>
                <w:rFonts w:ascii="Arial" w:hAnsi="Arial" w:cs="Arial"/>
                <w:b/>
                <w:color w:val="F79646" w:themeColor="accent6"/>
                <w:sz w:val="24"/>
                <w:szCs w:val="24"/>
              </w:rPr>
              <w:t xml:space="preserve">Funciones del equipo educativo </w:t>
            </w:r>
          </w:p>
        </w:tc>
      </w:tr>
      <w:tr>
        <w:tc>
          <w:tcPr>
            <w:tcW w:w="9464" w:type="dxa"/>
            <w:shd w:val="clear" w:color="auto" w:fill="E5DFEC" w:themeFill="accent4" w:themeFillTint="33"/>
          </w:tcPr>
          <w:p>
            <w:pPr>
              <w:numPr>
                <w:ilvl w:val="0"/>
                <w:numId w:val="50"/>
              </w:numPr>
              <w:tabs>
                <w:tab w:val="left" w:pos="255"/>
              </w:tabs>
              <w:spacing w:after="0" w:line="360" w:lineRule="auto"/>
              <w:ind w:left="22" w:firstLine="0"/>
              <w:contextualSpacing/>
              <w:jc w:val="both"/>
              <w:rPr>
                <w:rFonts w:ascii="Arial" w:hAnsi="Arial" w:cs="Arial"/>
                <w:sz w:val="24"/>
                <w:szCs w:val="24"/>
              </w:rPr>
            </w:pPr>
            <w:r>
              <w:rPr>
                <w:rFonts w:ascii="Arial" w:hAnsi="Arial" w:cs="Arial"/>
                <w:sz w:val="24"/>
                <w:szCs w:val="24"/>
              </w:rPr>
              <w:t xml:space="preserve">Asignación de dormitorio que ocupará la mujer, según perfil tras lectura del informe de derivación y confirmación de la fecha de ingreso. </w:t>
            </w:r>
          </w:p>
          <w:p>
            <w:pPr>
              <w:numPr>
                <w:ilvl w:val="0"/>
                <w:numId w:val="50"/>
              </w:numPr>
              <w:tabs>
                <w:tab w:val="left" w:pos="255"/>
              </w:tabs>
              <w:spacing w:after="0" w:line="360" w:lineRule="auto"/>
              <w:ind w:left="22" w:firstLine="0"/>
              <w:contextualSpacing/>
              <w:jc w:val="both"/>
              <w:rPr>
                <w:rFonts w:ascii="Arial" w:hAnsi="Arial" w:cs="Arial"/>
                <w:b/>
                <w:sz w:val="24"/>
                <w:szCs w:val="24"/>
              </w:rPr>
            </w:pPr>
            <w:r>
              <w:rPr>
                <w:rFonts w:ascii="Arial" w:hAnsi="Arial" w:cs="Arial"/>
                <w:sz w:val="24"/>
                <w:szCs w:val="24"/>
              </w:rPr>
              <w:t>Aplicación del protocolo de ingreso:</w:t>
            </w:r>
            <w:r>
              <w:rPr>
                <w:rFonts w:ascii="Arial" w:hAnsi="Arial" w:cs="Arial"/>
                <w:b/>
                <w:sz w:val="24"/>
                <w:szCs w:val="24"/>
              </w:rPr>
              <w:t xml:space="preserve">  </w:t>
            </w:r>
            <w:r>
              <w:rPr>
                <w:rFonts w:ascii="Arial" w:hAnsi="Arial" w:cs="Arial"/>
                <w:sz w:val="24"/>
                <w:szCs w:val="24"/>
              </w:rPr>
              <w:t>Preparación de habitación, enseres, documentos de ingreso, etc</w:t>
            </w:r>
            <w:r>
              <w:rPr>
                <w:rFonts w:ascii="Arial" w:hAnsi="Arial" w:cs="Arial"/>
                <w:b/>
                <w:sz w:val="24"/>
                <w:szCs w:val="24"/>
              </w:rPr>
              <w:t xml:space="preserve">. </w:t>
            </w: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 xml:space="preserve">Recibir a la mujer y/o a sus hijos/as en el recurso dotándole de todos los enseres, firma de documentación, solicitud de medicamentos necesarios (si procede), integración en el grupo de residentes, etc.  </w:t>
            </w: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 xml:space="preserve">Fomento del vínculo de confianza, explicando a la mujer la finalidad del recurso y del Programa en general, facilitación de espacio de desahogo, etc. </w:t>
            </w: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 xml:space="preserve">Dar a conocer la dinámica y el funcionamiento de la casa a través del Reglamento de Régimen Interno. </w:t>
            </w: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Asignación en las rutinas propias del hogar (turno de cocina, tareas domésticas, etc.).</w:t>
            </w: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 xml:space="preserve">Recogida de información sobre las primeras semanas de estancia en el recurso en acta de reunión, y posteriormente, al mes del ingreso, redacción de la Valoración diagnóstica. </w:t>
            </w:r>
          </w:p>
        </w:tc>
      </w:tr>
    </w:tbl>
    <w:p>
      <w:pPr>
        <w:autoSpaceDE w:val="0"/>
        <w:autoSpaceDN w:val="0"/>
        <w:adjustRightInd w:val="0"/>
        <w:spacing w:after="0" w:line="360" w:lineRule="auto"/>
        <w:rPr>
          <w:rFonts w:ascii="Arial" w:eastAsia="Times New Roman" w:hAnsi="Arial" w:cs="Arial"/>
          <w:b/>
          <w:color w:val="5B9BD5"/>
          <w:kern w:val="1"/>
          <w:sz w:val="24"/>
          <w:szCs w:val="24"/>
          <w:lang w:eastAsia="zh-CN"/>
        </w:rPr>
      </w:pPr>
    </w:p>
    <w:p>
      <w:pPr>
        <w:autoSpaceDE w:val="0"/>
        <w:autoSpaceDN w:val="0"/>
        <w:adjustRightInd w:val="0"/>
        <w:spacing w:after="0" w:line="360" w:lineRule="auto"/>
        <w:rPr>
          <w:rFonts w:ascii="Arial" w:eastAsia="Times New Roman" w:hAnsi="Arial" w:cs="Arial"/>
          <w:b/>
          <w:color w:val="5B9BD5"/>
          <w:kern w:val="1"/>
          <w:sz w:val="24"/>
          <w:szCs w:val="24"/>
          <w:lang w:eastAsia="zh-CN"/>
        </w:rPr>
      </w:pPr>
      <w:r>
        <w:rPr>
          <w:rFonts w:ascii="Arial" w:eastAsia="Times New Roman" w:hAnsi="Arial" w:cs="Arial"/>
          <w:b/>
          <w:color w:val="5B9BD5"/>
          <w:kern w:val="1"/>
          <w:sz w:val="24"/>
          <w:szCs w:val="24"/>
          <w:lang w:eastAsia="zh-CN"/>
        </w:rPr>
        <w:t>SEGUNDA ETAPA</w:t>
      </w:r>
    </w:p>
    <w:p>
      <w:pPr>
        <w:autoSpaceDE w:val="0"/>
        <w:autoSpaceDN w:val="0"/>
        <w:adjustRightInd w:val="0"/>
        <w:spacing w:after="0" w:line="360" w:lineRule="auto"/>
        <w:rPr>
          <w:rFonts w:ascii="Arial" w:eastAsia="Times New Roman" w:hAnsi="Arial" w:cs="Arial"/>
          <w:b/>
          <w:color w:val="5B9BD5"/>
          <w:kern w:val="1"/>
          <w:sz w:val="24"/>
          <w:szCs w:val="24"/>
          <w:lang w:eastAsia="zh-CN"/>
        </w:rPr>
      </w:pPr>
    </w:p>
    <w:p>
      <w:pPr>
        <w:suppressAutoHyphens/>
        <w:spacing w:after="0" w:line="360" w:lineRule="auto"/>
        <w:ind w:left="284" w:hanging="284"/>
        <w:jc w:val="both"/>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t>Fase III. Establecimiento o convivencia</w:t>
      </w:r>
    </w:p>
    <w:p>
      <w:pPr>
        <w:suppressAutoHyphens/>
        <w:spacing w:after="0" w:line="360" w:lineRule="auto"/>
        <w:ind w:left="284" w:hanging="284"/>
        <w:jc w:val="both"/>
        <w:textAlignment w:val="baseline"/>
        <w:rPr>
          <w:rFonts w:ascii="Arial" w:eastAsia="Times New Roman" w:hAnsi="Arial" w:cs="Arial"/>
          <w:b/>
          <w:color w:val="C45911"/>
          <w:kern w:val="1"/>
          <w:sz w:val="24"/>
          <w:szCs w:val="24"/>
          <w:lang w:eastAsia="zh-CN"/>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La convivencia en el recurso de acogida se torna a menudo frágil, dado que se desarrolla en un entorno bastante complejo: diferentes historias personales, (aunque con un denominador común: la violencia sufrida a diferentes niveles), diferentes culturas e idiomas, contrastes intergeneracionales, ritmos individuales dispares en la adaptación al recurso, diferentes estrategias de afrontamiento de conflictos, etc. El hecho de compartir un espacio de tales características, supone a menudo, se generen tensiones entre las mujeres residentes. </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Se precisa entonces, la implicación de cada una de ellas con la dinámica del hogar en cuanto organización, mantenimiento y limpieza de los espacios (tantos comunes como personales), así como el respeto y cumplimiento de horarios, el buen trato y respeto, etc. en pro de lograr y mantener un buen clima de convivencia.</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este sentido, el equipo educativo, supervisa el cumplimiento por parte de cada una de las mujeres en lo que a la dinámica y cuidado del recurso se refiere, además de velar por el mantenimiento de un buen clima de convivencia interviniendo ante los conflictos a través de los procesos de mediación y, según el caso, aplicando el sistema de apercibimientos y sanciones recogido en el reglamento interno.  </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eastAsia="Times New Roman" w:hAnsi="Arial" w:cs="Arial"/>
          <w:kern w:val="1"/>
          <w:sz w:val="24"/>
          <w:szCs w:val="24"/>
          <w:lang w:eastAsia="zh-CN"/>
        </w:rPr>
      </w:pPr>
      <w:r>
        <w:rPr>
          <w:rFonts w:ascii="Arial" w:eastAsia="Times New Roman" w:hAnsi="Arial" w:cs="Arial"/>
          <w:kern w:val="1"/>
          <w:sz w:val="24"/>
          <w:szCs w:val="24"/>
          <w:lang w:eastAsia="zh-CN"/>
        </w:rPr>
        <w:t>Sin obviar lo anterior, cabe aclarar que, a medida que las nuevas mujeres van interiorizando la dinámica establecida, las mismas residentes, comienzan a poner en valor la importancia de cuidar la convivencia y un clima positivo y comienzan a considerar “su hogar”. Es en ese momento, cuando las mujeres expresan sentimientos de pertenencia al hogar y se observa desde el equipo educativo, una progresiva cohesión grupal evidenciándose entre ellas, cuidado y colaboración mutua y otras actitudes vinculadas a la sororidad. El equipo educativo, refuerza en todo momento el apoyo que se brindan las unas a las otras y, además, promueve y fomenta el buen clima a través de actividades grupales de cohesión (Se detallan en un apartado posterior).</w:t>
      </w:r>
    </w:p>
    <w:p>
      <w:pPr>
        <w:autoSpaceDE w:val="0"/>
        <w:autoSpaceDN w:val="0"/>
        <w:adjustRightInd w:val="0"/>
        <w:spacing w:after="0" w:line="360" w:lineRule="auto"/>
        <w:jc w:val="both"/>
        <w:rPr>
          <w:rFonts w:ascii="Arial" w:eastAsia="Times New Roman" w:hAnsi="Arial" w:cs="Arial"/>
          <w:kern w:val="1"/>
          <w:sz w:val="24"/>
          <w:szCs w:val="24"/>
          <w:lang w:eastAsia="zh-CN"/>
        </w:rPr>
      </w:pPr>
      <w:r>
        <w:rPr>
          <w:rFonts w:ascii="Arial" w:eastAsia="Times New Roman" w:hAnsi="Arial" w:cs="Arial"/>
          <w:kern w:val="1"/>
          <w:sz w:val="24"/>
          <w:szCs w:val="24"/>
          <w:lang w:eastAsia="zh-CN"/>
        </w:rPr>
        <w:t xml:space="preserve">  </w:t>
      </w:r>
    </w:p>
    <w:p>
      <w:pPr>
        <w:suppressAutoHyphens/>
        <w:spacing w:after="0" w:line="360" w:lineRule="auto"/>
        <w:jc w:val="both"/>
        <w:textAlignment w:val="baseline"/>
        <w:rPr>
          <w:rFonts w:ascii="Arial" w:eastAsia="Times New Roman" w:hAnsi="Arial" w:cs="Arial"/>
          <w:b/>
          <w:color w:val="C45911"/>
          <w:kern w:val="1"/>
          <w:sz w:val="24"/>
          <w:szCs w:val="24"/>
          <w:lang w:eastAsia="zh-CN"/>
        </w:rPr>
      </w:pPr>
    </w:p>
    <w:p>
      <w:pPr>
        <w:suppressAutoHyphens/>
        <w:spacing w:after="0" w:line="360" w:lineRule="auto"/>
        <w:jc w:val="both"/>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t xml:space="preserve">Fase IV. Desarrollo. </w:t>
      </w:r>
    </w:p>
    <w:p>
      <w:pPr>
        <w:suppressAutoHyphens/>
        <w:spacing w:after="0" w:line="360" w:lineRule="auto"/>
        <w:jc w:val="both"/>
        <w:textAlignment w:val="baseline"/>
        <w:rPr>
          <w:rFonts w:ascii="Arial" w:eastAsia="Times New Roman" w:hAnsi="Arial" w:cs="Arial"/>
          <w:b/>
          <w:color w:val="C45911"/>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 xml:space="preserve">Durante este periodo, la intervención se realiza en todos los niveles, principalmente psicosocial y educativa apoyando y proporcionando herramientas que faciliten el proceso de inclusión y empoderamiento de las mujeres. Para algunas mujeres supone una vivencia del tiempo ralentizada en contraposición de sus expectativas individuales por la urgencia de la inserción en el mundo laboral y la normalización de su situación-problema inicial, erosionándose al percibir las grandes limitaciones y dificultades </w:t>
      </w:r>
      <w:r>
        <w:rPr>
          <w:rFonts w:ascii="Arial" w:eastAsia="Times New Roman" w:hAnsi="Arial" w:cs="Arial"/>
          <w:kern w:val="1"/>
          <w:sz w:val="24"/>
          <w:szCs w:val="24"/>
          <w:lang w:eastAsia="zh-CN"/>
        </w:rPr>
        <w:lastRenderedPageBreak/>
        <w:t xml:space="preserve">personales y sociales que impiden lograr su autonomía e independencia de forma inmediata. </w:t>
      </w:r>
    </w:p>
    <w:p>
      <w:pPr>
        <w:suppressAutoHyphens/>
        <w:spacing w:after="0" w:line="360" w:lineRule="auto"/>
        <w:jc w:val="both"/>
        <w:textAlignment w:val="baseline"/>
        <w:rPr>
          <w:rFonts w:ascii="Arial" w:eastAsia="Times New Roman" w:hAnsi="Arial" w:cs="Arial"/>
          <w:kern w:val="1"/>
          <w:sz w:val="24"/>
          <w:szCs w:val="24"/>
          <w:lang w:eastAsia="zh-CN"/>
        </w:rPr>
      </w:pPr>
    </w:p>
    <w:tbl>
      <w:tblPr>
        <w:tblStyle w:val="Tablaconcuadrcula251"/>
        <w:tblW w:w="9464" w:type="dxa"/>
        <w:tblLook w:val="04A0" w:firstRow="1" w:lastRow="0" w:firstColumn="1" w:lastColumn="0" w:noHBand="0" w:noVBand="1"/>
      </w:tblPr>
      <w:tblGrid>
        <w:gridCol w:w="9464"/>
      </w:tblGrid>
      <w:tr>
        <w:tc>
          <w:tcPr>
            <w:tcW w:w="9464" w:type="dxa"/>
            <w:tcBorders>
              <w:bottom w:val="single" w:sz="4" w:space="0" w:color="auto"/>
            </w:tcBorders>
            <w:shd w:val="clear" w:color="auto" w:fill="7030A0"/>
          </w:tcPr>
          <w:p>
            <w:pPr>
              <w:spacing w:after="0" w:line="360" w:lineRule="auto"/>
              <w:jc w:val="center"/>
              <w:rPr>
                <w:rFonts w:ascii="Arial" w:hAnsi="Arial" w:cs="Arial"/>
                <w:b/>
                <w:color w:val="FFFFFF" w:themeColor="background1"/>
                <w:sz w:val="24"/>
                <w:szCs w:val="24"/>
              </w:rPr>
            </w:pPr>
            <w:r>
              <w:rPr>
                <w:rFonts w:ascii="Arial" w:hAnsi="Arial" w:cs="Arial"/>
                <w:b/>
                <w:color w:val="FFFFFF" w:themeColor="background1"/>
                <w:sz w:val="24"/>
                <w:szCs w:val="24"/>
              </w:rPr>
              <w:t>2ª ETAPA: Convivencia y desarrollo</w:t>
            </w:r>
          </w:p>
          <w:p>
            <w:pPr>
              <w:spacing w:after="0" w:line="360" w:lineRule="auto"/>
              <w:jc w:val="center"/>
              <w:rPr>
                <w:rFonts w:ascii="Arial" w:hAnsi="Arial" w:cs="Arial"/>
                <w:b/>
                <w:color w:val="FFFFFF" w:themeColor="background1"/>
                <w:sz w:val="24"/>
                <w:szCs w:val="24"/>
              </w:rPr>
            </w:pPr>
            <w:r>
              <w:rPr>
                <w:rFonts w:ascii="Arial" w:hAnsi="Arial" w:cs="Arial"/>
                <w:b/>
                <w:color w:val="F79646" w:themeColor="accent6"/>
                <w:sz w:val="24"/>
                <w:szCs w:val="24"/>
              </w:rPr>
              <w:t>Funciones del equipo educativo</w:t>
            </w:r>
          </w:p>
        </w:tc>
      </w:tr>
      <w:tr>
        <w:tc>
          <w:tcPr>
            <w:tcW w:w="9464" w:type="dxa"/>
            <w:shd w:val="clear" w:color="auto" w:fill="CCC0D9" w:themeFill="accent4" w:themeFillTint="66"/>
          </w:tcPr>
          <w:p>
            <w:pPr>
              <w:spacing w:after="0" w:line="360" w:lineRule="auto"/>
              <w:jc w:val="center"/>
              <w:rPr>
                <w:rFonts w:ascii="Arial" w:hAnsi="Arial" w:cs="Arial"/>
                <w:b/>
                <w:sz w:val="24"/>
                <w:szCs w:val="24"/>
              </w:rPr>
            </w:pPr>
          </w:p>
          <w:p>
            <w:pPr>
              <w:numPr>
                <w:ilvl w:val="0"/>
                <w:numId w:val="50"/>
              </w:numPr>
              <w:spacing w:after="0" w:line="360" w:lineRule="auto"/>
              <w:contextualSpacing/>
              <w:jc w:val="both"/>
              <w:rPr>
                <w:rFonts w:ascii="Arial" w:hAnsi="Arial" w:cs="Arial"/>
                <w:sz w:val="24"/>
                <w:szCs w:val="24"/>
              </w:rPr>
            </w:pPr>
            <w:r>
              <w:rPr>
                <w:rFonts w:ascii="Arial" w:hAnsi="Arial" w:cs="Arial"/>
                <w:sz w:val="24"/>
                <w:szCs w:val="24"/>
              </w:rPr>
              <w:t>Garantizar la convivencia y un entorno de construcción favorable a los procesos individuales de las mujeres.</w:t>
            </w:r>
          </w:p>
          <w:p>
            <w:pPr>
              <w:numPr>
                <w:ilvl w:val="0"/>
                <w:numId w:val="50"/>
              </w:numPr>
              <w:spacing w:after="0" w:line="360" w:lineRule="auto"/>
              <w:contextualSpacing/>
              <w:jc w:val="both"/>
              <w:rPr>
                <w:rFonts w:ascii="Arial" w:hAnsi="Arial" w:cs="Arial"/>
                <w:sz w:val="24"/>
                <w:szCs w:val="24"/>
              </w:rPr>
            </w:pPr>
            <w:r>
              <w:rPr>
                <w:rFonts w:ascii="Arial" w:hAnsi="Arial" w:cs="Arial"/>
                <w:sz w:val="24"/>
                <w:szCs w:val="24"/>
              </w:rPr>
              <w:t>Intervenir en las situaciones de crisis o conflicto bajo una perspectiva de resolución pacífica de los mismos.</w:t>
            </w:r>
          </w:p>
          <w:p>
            <w:pPr>
              <w:numPr>
                <w:ilvl w:val="0"/>
                <w:numId w:val="50"/>
              </w:numPr>
              <w:spacing w:after="0" w:line="360" w:lineRule="auto"/>
              <w:contextualSpacing/>
              <w:jc w:val="both"/>
              <w:rPr>
                <w:rFonts w:ascii="Arial" w:hAnsi="Arial" w:cs="Arial"/>
                <w:sz w:val="24"/>
                <w:szCs w:val="24"/>
              </w:rPr>
            </w:pPr>
            <w:r>
              <w:rPr>
                <w:rFonts w:ascii="Arial" w:hAnsi="Arial" w:cs="Arial"/>
                <w:sz w:val="24"/>
                <w:szCs w:val="24"/>
              </w:rPr>
              <w:t>Desarrollar actividades de convivencia, solidaridad y respeto.</w:t>
            </w:r>
          </w:p>
          <w:p>
            <w:pPr>
              <w:numPr>
                <w:ilvl w:val="0"/>
                <w:numId w:val="50"/>
              </w:numPr>
              <w:spacing w:after="0" w:line="360" w:lineRule="auto"/>
              <w:contextualSpacing/>
              <w:jc w:val="both"/>
              <w:rPr>
                <w:rFonts w:ascii="Arial" w:hAnsi="Arial" w:cs="Arial"/>
                <w:sz w:val="24"/>
                <w:szCs w:val="24"/>
              </w:rPr>
            </w:pPr>
            <w:r>
              <w:rPr>
                <w:rFonts w:ascii="Arial" w:hAnsi="Arial" w:cs="Arial"/>
                <w:sz w:val="24"/>
                <w:szCs w:val="24"/>
              </w:rPr>
              <w:t>Aplicar sistema de sanciones y apercibimiento si las medidas pedagógicas y educativas, no fueran efectivas.</w:t>
            </w:r>
          </w:p>
          <w:p>
            <w:pPr>
              <w:numPr>
                <w:ilvl w:val="0"/>
                <w:numId w:val="50"/>
              </w:numPr>
              <w:spacing w:after="0" w:line="360" w:lineRule="auto"/>
              <w:contextualSpacing/>
              <w:jc w:val="both"/>
              <w:rPr>
                <w:rFonts w:ascii="Arial" w:hAnsi="Arial" w:cs="Arial"/>
                <w:sz w:val="24"/>
                <w:szCs w:val="24"/>
              </w:rPr>
            </w:pPr>
            <w:r>
              <w:rPr>
                <w:rFonts w:ascii="Arial" w:hAnsi="Arial" w:cs="Arial"/>
                <w:sz w:val="24"/>
                <w:szCs w:val="24"/>
              </w:rPr>
              <w:t>Fomentar la cohesión grupal y el sentido de pertenencia al hogar.</w:t>
            </w:r>
          </w:p>
          <w:p>
            <w:pPr>
              <w:spacing w:after="0" w:line="360" w:lineRule="auto"/>
              <w:ind w:left="176"/>
              <w:contextualSpacing/>
              <w:jc w:val="both"/>
              <w:rPr>
                <w:rFonts w:ascii="Arial" w:hAnsi="Arial" w:cs="Arial"/>
                <w:sz w:val="24"/>
                <w:szCs w:val="24"/>
              </w:rPr>
            </w:pPr>
          </w:p>
        </w:tc>
      </w:tr>
    </w:tbl>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p>
    <w:p>
      <w:pPr>
        <w:suppressAutoHyphens/>
        <w:spacing w:after="0" w:line="360" w:lineRule="auto"/>
        <w:ind w:left="284" w:hanging="284"/>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t>TERCERA ETAPA</w:t>
      </w:r>
    </w:p>
    <w:p>
      <w:pPr>
        <w:suppressAutoHyphens/>
        <w:spacing w:after="0" w:line="360" w:lineRule="auto"/>
        <w:ind w:left="284" w:hanging="284"/>
        <w:textAlignment w:val="baseline"/>
        <w:rPr>
          <w:rFonts w:ascii="Arial" w:eastAsia="Times New Roman" w:hAnsi="Arial" w:cs="Arial"/>
          <w:b/>
          <w:color w:val="C45911"/>
          <w:kern w:val="1"/>
          <w:sz w:val="24"/>
          <w:szCs w:val="24"/>
          <w:lang w:eastAsia="zh-CN"/>
        </w:rPr>
      </w:pPr>
    </w:p>
    <w:p>
      <w:pPr>
        <w:suppressAutoHyphens/>
        <w:spacing w:after="0" w:line="360" w:lineRule="auto"/>
        <w:jc w:val="both"/>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t>Fase V.  Finalización-emancipación.</w:t>
      </w:r>
    </w:p>
    <w:p>
      <w:pPr>
        <w:suppressAutoHyphens/>
        <w:spacing w:after="0" w:line="360" w:lineRule="auto"/>
        <w:jc w:val="both"/>
        <w:textAlignment w:val="baseline"/>
        <w:rPr>
          <w:rFonts w:ascii="Arial" w:eastAsia="Times New Roman" w:hAnsi="Arial" w:cs="Arial"/>
          <w:b/>
          <w:color w:val="C45911"/>
          <w:kern w:val="1"/>
          <w:sz w:val="24"/>
          <w:szCs w:val="24"/>
          <w:lang w:eastAsia="zh-CN"/>
        </w:rPr>
      </w:pPr>
    </w:p>
    <w:p>
      <w:pPr>
        <w:suppressAutoHyphens/>
        <w:spacing w:after="0" w:line="360" w:lineRule="auto"/>
        <w:jc w:val="both"/>
        <w:textAlignment w:val="baseline"/>
        <w:rPr>
          <w:rFonts w:ascii="Arial" w:eastAsia="Times New Roman" w:hAnsi="Arial" w:cs="Arial"/>
          <w:kern w:val="1"/>
          <w:sz w:val="24"/>
          <w:szCs w:val="24"/>
          <w:lang w:eastAsia="zh-CN"/>
        </w:rPr>
      </w:pPr>
      <w:r>
        <w:rPr>
          <w:rFonts w:ascii="Arial" w:eastAsia="Times New Roman" w:hAnsi="Arial" w:cs="Arial"/>
          <w:kern w:val="1"/>
          <w:sz w:val="24"/>
          <w:szCs w:val="24"/>
          <w:lang w:eastAsia="zh-CN"/>
        </w:rPr>
        <w:t xml:space="preserve">La intervención integral que ha realizado el equipo técnico se evalúa en relación a los objetivos marcados inicialmente y al grado de consecución de los mismos desde las diferentes áreas, valorando el trabajo de consolidación que han realizado las mujeres en la adquisición de competencias psicosociales y laborales que propicien un desarrollo autónomo en la sociedad. En esta etapa se determina, incluyendo a la mujer en la toma de decisiones de los caminos a elegir en su vida, la posibilidad de salir del recurso de acogida y continuar con su trabajo personal de manera externa. </w:t>
      </w:r>
    </w:p>
    <w:p>
      <w:pPr>
        <w:suppressAutoHyphens/>
        <w:spacing w:after="0" w:line="360" w:lineRule="auto"/>
        <w:jc w:val="both"/>
        <w:textAlignment w:val="baseline"/>
        <w:rPr>
          <w:rFonts w:ascii="Arial" w:eastAsia="Times New Roman" w:hAnsi="Arial" w:cs="Arial"/>
          <w:b/>
          <w:kern w:val="1"/>
          <w:sz w:val="24"/>
          <w:szCs w:val="24"/>
          <w:lang w:eastAsia="zh-CN"/>
        </w:rPr>
      </w:pPr>
    </w:p>
    <w:p>
      <w:pPr>
        <w:suppressAutoHyphens/>
        <w:spacing w:after="0" w:line="360" w:lineRule="auto"/>
        <w:jc w:val="both"/>
        <w:textAlignment w:val="baseline"/>
        <w:rPr>
          <w:rFonts w:ascii="Arial" w:eastAsia="Times New Roman" w:hAnsi="Arial" w:cs="Arial"/>
          <w:b/>
          <w:kern w:val="1"/>
          <w:sz w:val="24"/>
          <w:szCs w:val="24"/>
          <w:lang w:eastAsia="zh-CN"/>
        </w:rPr>
      </w:pPr>
    </w:p>
    <w:p>
      <w:pPr>
        <w:suppressAutoHyphens/>
        <w:spacing w:after="0" w:line="360" w:lineRule="auto"/>
        <w:jc w:val="both"/>
        <w:textAlignment w:val="baseline"/>
        <w:rPr>
          <w:rFonts w:ascii="Arial" w:eastAsia="Times New Roman" w:hAnsi="Arial" w:cs="Arial"/>
          <w:b/>
          <w:kern w:val="1"/>
          <w:sz w:val="24"/>
          <w:szCs w:val="24"/>
          <w:lang w:eastAsia="zh-CN"/>
        </w:rPr>
      </w:pPr>
    </w:p>
    <w:p>
      <w:pPr>
        <w:suppressAutoHyphens/>
        <w:spacing w:after="0" w:line="360" w:lineRule="auto"/>
        <w:jc w:val="both"/>
        <w:textAlignment w:val="baseline"/>
        <w:rPr>
          <w:rFonts w:ascii="Arial" w:eastAsia="Times New Roman" w:hAnsi="Arial" w:cs="Arial"/>
          <w:b/>
          <w:color w:val="C45911"/>
          <w:kern w:val="1"/>
          <w:sz w:val="24"/>
          <w:szCs w:val="24"/>
          <w:lang w:eastAsia="zh-CN"/>
        </w:rPr>
      </w:pPr>
      <w:r>
        <w:rPr>
          <w:rFonts w:ascii="Arial" w:eastAsia="Times New Roman" w:hAnsi="Arial" w:cs="Arial"/>
          <w:b/>
          <w:color w:val="C45911"/>
          <w:kern w:val="1"/>
          <w:sz w:val="24"/>
          <w:szCs w:val="24"/>
          <w:lang w:eastAsia="zh-CN"/>
        </w:rPr>
        <w:lastRenderedPageBreak/>
        <w:t>FASE VI. Fase de seguimiento externo</w:t>
      </w:r>
    </w:p>
    <w:p>
      <w:pPr>
        <w:suppressAutoHyphens/>
        <w:spacing w:after="0" w:line="360" w:lineRule="auto"/>
        <w:jc w:val="both"/>
        <w:textAlignment w:val="baseline"/>
        <w:rPr>
          <w:rFonts w:ascii="Arial" w:eastAsia="Times New Roman" w:hAnsi="Arial" w:cs="Arial"/>
          <w:b/>
          <w:color w:val="C45911"/>
          <w:kern w:val="1"/>
          <w:sz w:val="24"/>
          <w:szCs w:val="24"/>
          <w:lang w:eastAsia="zh-CN"/>
        </w:rPr>
      </w:pPr>
    </w:p>
    <w:p>
      <w:pPr>
        <w:suppressAutoHyphens/>
        <w:spacing w:after="0" w:line="360" w:lineRule="auto"/>
        <w:jc w:val="both"/>
        <w:textAlignment w:val="baseline"/>
        <w:rPr>
          <w:rFonts w:ascii="Arial" w:eastAsia="Times New Roman" w:hAnsi="Arial" w:cs="Arial"/>
          <w:color w:val="000000"/>
          <w:kern w:val="1"/>
          <w:sz w:val="24"/>
          <w:szCs w:val="24"/>
          <w:lang w:eastAsia="zh-CN"/>
        </w:rPr>
      </w:pPr>
      <w:r>
        <w:rPr>
          <w:rFonts w:ascii="Arial" w:eastAsia="Times New Roman" w:hAnsi="Arial" w:cs="Arial"/>
          <w:color w:val="000000"/>
          <w:kern w:val="1"/>
          <w:sz w:val="24"/>
          <w:szCs w:val="24"/>
          <w:lang w:eastAsia="zh-CN"/>
        </w:rPr>
        <w:t>La última fase de la intervención con las mujeres consiste en realizar un seguimiento externo, como herramienta que permita prevenir y apoyar ante posibles recaídas o dificultades en los procesos iníciales de adaptación al cambio social y laboral, estableciendo un distanciamiento progresivo en la dependencia emocional que se podría haber generado previamente.</w:t>
      </w:r>
    </w:p>
    <w:p>
      <w:pPr>
        <w:suppressAutoHyphens/>
        <w:spacing w:after="0" w:line="360" w:lineRule="auto"/>
        <w:jc w:val="both"/>
        <w:textAlignment w:val="baseline"/>
        <w:rPr>
          <w:rFonts w:ascii="Arial" w:eastAsia="Times New Roman" w:hAnsi="Arial" w:cs="Arial"/>
          <w:color w:val="000000"/>
          <w:kern w:val="1"/>
          <w:sz w:val="24"/>
          <w:szCs w:val="24"/>
          <w:lang w:eastAsia="zh-CN"/>
        </w:rPr>
      </w:pPr>
    </w:p>
    <w:p>
      <w:pPr>
        <w:suppressAutoHyphens/>
        <w:spacing w:after="0" w:line="360" w:lineRule="auto"/>
        <w:jc w:val="both"/>
        <w:textAlignment w:val="baseline"/>
        <w:rPr>
          <w:rFonts w:ascii="Arial" w:eastAsia="Times New Roman" w:hAnsi="Arial" w:cs="Arial"/>
          <w:color w:val="000000"/>
          <w:kern w:val="1"/>
          <w:sz w:val="24"/>
          <w:szCs w:val="24"/>
          <w:lang w:eastAsia="zh-CN"/>
        </w:rPr>
      </w:pPr>
      <w:r>
        <w:rPr>
          <w:rFonts w:ascii="Arial" w:eastAsia="Times New Roman" w:hAnsi="Arial" w:cs="Arial"/>
          <w:color w:val="000000"/>
          <w:kern w:val="1"/>
          <w:sz w:val="24"/>
          <w:szCs w:val="24"/>
          <w:lang w:eastAsia="zh-CN"/>
        </w:rPr>
        <w:t xml:space="preserve">Considerar que no se puede trazar una misma línea de partida ni idénticas estrategias educativas, ya que no todas las mujeres comienzan los recorridos de su promoción personal en las mismas condiciones. La disponibilidad económica, el nivel de instrucción, la identidad cultural, las relaciones familiares y sociales, las aspiraciones y los deseos, la situación administrativa, las condiciones de salud, etc. determinan las elecciones y los procesos de aprendizaje en los que cada una se quiere promocionar. </w:t>
      </w:r>
    </w:p>
    <w:p>
      <w:pPr>
        <w:suppressAutoHyphens/>
        <w:spacing w:after="0" w:line="360" w:lineRule="auto"/>
        <w:jc w:val="both"/>
        <w:textAlignment w:val="baseline"/>
        <w:rPr>
          <w:rFonts w:ascii="Arial" w:eastAsia="Times New Roman" w:hAnsi="Arial" w:cs="Arial"/>
          <w:color w:val="000000"/>
          <w:kern w:val="1"/>
          <w:sz w:val="24"/>
          <w:szCs w:val="24"/>
          <w:lang w:eastAsia="zh-CN"/>
        </w:rPr>
      </w:pPr>
      <w:r>
        <w:rPr>
          <w:rFonts w:ascii="Arial" w:eastAsia="Times New Roman" w:hAnsi="Arial" w:cs="Arial"/>
          <w:color w:val="000000"/>
          <w:kern w:val="1"/>
          <w:sz w:val="24"/>
          <w:szCs w:val="24"/>
          <w:lang w:eastAsia="zh-CN"/>
        </w:rPr>
        <w:t xml:space="preserve">Es un valor añadido que la mujer continúe vinculada al Programa a través del proyecto Daniela Participa puesto que para muchas de ellas supone contar con apoyo y un lugar de referencia. </w:t>
      </w:r>
    </w:p>
    <w:p>
      <w:pPr>
        <w:suppressAutoHyphens/>
        <w:spacing w:after="0" w:line="360" w:lineRule="auto"/>
        <w:jc w:val="both"/>
        <w:textAlignment w:val="baseline"/>
        <w:rPr>
          <w:rFonts w:ascii="Arial" w:eastAsia="Times New Roman" w:hAnsi="Arial" w:cs="Arial"/>
          <w:color w:val="000000"/>
          <w:kern w:val="1"/>
          <w:sz w:val="24"/>
          <w:szCs w:val="24"/>
          <w:lang w:eastAsia="zh-CN"/>
        </w:rPr>
      </w:pPr>
      <w:r>
        <w:rPr>
          <w:rFonts w:ascii="Arial" w:eastAsia="Times New Roman" w:hAnsi="Arial" w:cs="Arial"/>
          <w:color w:val="000000"/>
          <w:kern w:val="1"/>
          <w:sz w:val="24"/>
          <w:szCs w:val="24"/>
          <w:lang w:eastAsia="zh-CN"/>
        </w:rPr>
        <w:t xml:space="preserve"> </w:t>
      </w:r>
    </w:p>
    <w:tbl>
      <w:tblPr>
        <w:tblStyle w:val="Tablaconcuadrcula251"/>
        <w:tblW w:w="9464" w:type="dxa"/>
        <w:tblLook w:val="04A0" w:firstRow="1" w:lastRow="0" w:firstColumn="1" w:lastColumn="0" w:noHBand="0" w:noVBand="1"/>
      </w:tblPr>
      <w:tblGrid>
        <w:gridCol w:w="9464"/>
      </w:tblGrid>
      <w:tr>
        <w:tc>
          <w:tcPr>
            <w:tcW w:w="9464" w:type="dxa"/>
            <w:tcBorders>
              <w:bottom w:val="single" w:sz="4" w:space="0" w:color="auto"/>
            </w:tcBorders>
            <w:shd w:val="clear" w:color="auto" w:fill="7030A0"/>
          </w:tcPr>
          <w:p>
            <w:pPr>
              <w:spacing w:after="0" w:line="360" w:lineRule="auto"/>
              <w:jc w:val="center"/>
              <w:rPr>
                <w:rFonts w:ascii="Arial" w:hAnsi="Arial" w:cs="Arial"/>
                <w:b/>
                <w:color w:val="FFFFFF" w:themeColor="background1"/>
                <w:sz w:val="24"/>
                <w:szCs w:val="24"/>
              </w:rPr>
            </w:pPr>
            <w:r>
              <w:rPr>
                <w:rFonts w:ascii="Arial" w:hAnsi="Arial" w:cs="Arial"/>
                <w:b/>
                <w:color w:val="FFFFFF" w:themeColor="background1"/>
                <w:sz w:val="24"/>
                <w:szCs w:val="24"/>
              </w:rPr>
              <w:t>3º ETAPA: Finalización y seguimiento externo</w:t>
            </w:r>
          </w:p>
          <w:p>
            <w:pPr>
              <w:spacing w:after="0" w:line="360" w:lineRule="auto"/>
              <w:jc w:val="center"/>
              <w:rPr>
                <w:rFonts w:ascii="Arial" w:hAnsi="Arial" w:cs="Arial"/>
                <w:b/>
                <w:color w:val="FFFFFF" w:themeColor="background1"/>
                <w:sz w:val="24"/>
                <w:szCs w:val="24"/>
              </w:rPr>
            </w:pPr>
            <w:r>
              <w:rPr>
                <w:rFonts w:ascii="Arial" w:hAnsi="Arial" w:cs="Arial"/>
                <w:b/>
                <w:color w:val="F79646" w:themeColor="accent6"/>
                <w:sz w:val="24"/>
                <w:szCs w:val="24"/>
              </w:rPr>
              <w:t>Funciones del equipo educativo</w:t>
            </w:r>
          </w:p>
        </w:tc>
      </w:tr>
      <w:tr>
        <w:tc>
          <w:tcPr>
            <w:tcW w:w="9464" w:type="dxa"/>
            <w:shd w:val="clear" w:color="auto" w:fill="CCC0D9" w:themeFill="accent4" w:themeFillTint="66"/>
          </w:tcPr>
          <w:p>
            <w:pPr>
              <w:spacing w:after="0" w:line="360" w:lineRule="auto"/>
              <w:jc w:val="center"/>
              <w:rPr>
                <w:rFonts w:ascii="Arial" w:hAnsi="Arial" w:cs="Arial"/>
                <w:b/>
                <w:sz w:val="24"/>
                <w:szCs w:val="24"/>
              </w:rPr>
            </w:pP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Trabajo individual con la mujer sobre el protocolo de emancipación cuya finalidad es la de asegurar, la consolidación de los aprendizajes desarrollados en su proceso de cara a una autonomía individual exitosa.</w:t>
            </w:r>
          </w:p>
          <w:p>
            <w:pPr>
              <w:numPr>
                <w:ilvl w:val="0"/>
                <w:numId w:val="50"/>
              </w:numPr>
              <w:spacing w:after="0" w:line="360" w:lineRule="auto"/>
              <w:ind w:left="176" w:hanging="218"/>
              <w:contextualSpacing/>
              <w:jc w:val="both"/>
              <w:rPr>
                <w:rFonts w:ascii="Arial" w:hAnsi="Arial" w:cs="Arial"/>
                <w:sz w:val="24"/>
                <w:szCs w:val="24"/>
              </w:rPr>
            </w:pPr>
            <w:r>
              <w:rPr>
                <w:rFonts w:ascii="Arial" w:hAnsi="Arial" w:cs="Arial"/>
                <w:sz w:val="24"/>
                <w:szCs w:val="24"/>
              </w:rPr>
              <w:t>El seguimiento externo, continúa desde el proyecto “Daniela Participa”, el cual continúa ofreciendo a la mujer apoyo desde el resto de áreas disciplinares (Social, laboral, jurídica y psicológica).</w:t>
            </w:r>
          </w:p>
          <w:p>
            <w:pPr>
              <w:spacing w:after="0" w:line="360" w:lineRule="auto"/>
              <w:ind w:left="176"/>
              <w:contextualSpacing/>
              <w:jc w:val="both"/>
              <w:rPr>
                <w:rFonts w:ascii="Arial" w:hAnsi="Arial" w:cs="Arial"/>
                <w:sz w:val="24"/>
                <w:szCs w:val="24"/>
              </w:rPr>
            </w:pPr>
          </w:p>
        </w:tc>
      </w:tr>
    </w:tbl>
    <w:p>
      <w:pPr>
        <w:suppressAutoHyphens/>
        <w:spacing w:after="0" w:line="360" w:lineRule="auto"/>
        <w:jc w:val="both"/>
        <w:textAlignment w:val="baseline"/>
        <w:rPr>
          <w:rFonts w:ascii="Arial" w:eastAsia="Times New Roman" w:hAnsi="Arial" w:cs="Arial"/>
          <w:color w:val="000000"/>
          <w:kern w:val="1"/>
          <w:sz w:val="24"/>
          <w:szCs w:val="24"/>
          <w:lang w:eastAsia="zh-CN"/>
        </w:rPr>
      </w:pPr>
    </w:p>
    <w:p>
      <w:pPr>
        <w:suppressAutoHyphens/>
        <w:spacing w:after="0" w:line="360" w:lineRule="auto"/>
        <w:jc w:val="both"/>
        <w:textAlignment w:val="baseline"/>
        <w:rPr>
          <w:rFonts w:ascii="Arial" w:eastAsia="Times New Roman" w:hAnsi="Arial" w:cs="Arial"/>
          <w:color w:val="000000"/>
          <w:kern w:val="1"/>
          <w:sz w:val="24"/>
          <w:szCs w:val="24"/>
          <w:lang w:eastAsia="zh-CN"/>
        </w:rPr>
      </w:pPr>
    </w:p>
    <w:p>
      <w:pPr>
        <w:suppressAutoHyphens/>
        <w:spacing w:after="0" w:line="360" w:lineRule="auto"/>
        <w:jc w:val="both"/>
        <w:textAlignment w:val="baseline"/>
        <w:rPr>
          <w:rFonts w:ascii="Arial" w:eastAsia="Times New Roman" w:hAnsi="Arial" w:cs="Arial"/>
          <w:color w:val="000000"/>
          <w:kern w:val="1"/>
          <w:sz w:val="24"/>
          <w:szCs w:val="24"/>
          <w:lang w:eastAsia="zh-CN"/>
        </w:rPr>
      </w:pPr>
      <w:r>
        <w:rPr>
          <w:rFonts w:ascii="Arial" w:eastAsia="Times New Roman" w:hAnsi="Arial" w:cs="Arial"/>
          <w:color w:val="000000"/>
          <w:kern w:val="1"/>
          <w:sz w:val="24"/>
          <w:szCs w:val="24"/>
          <w:lang w:eastAsia="zh-CN"/>
        </w:rPr>
        <w:lastRenderedPageBreak/>
        <w:t xml:space="preserve">Las funciones del equipo educativo a lo largo de las tres etapas, no son cíclicas, ya que, a pesar de que se recogen según el itinerario residencial se ejecutan según se van produciendo nuevos ingresos o salidas del recurso. La más contínua, podría decirse que es la segunda etapa, pues es la que implica el velar por una convivencia pacífica. Se evidencia que, cuando ingresa una nueva mujer o se produce alguna salida, se genera a nivel de grupal, cierta inestabilidad. En positivo, resaltar que los procesos de éxito en la consecución de la autonomía personal (emancipación) inspiran a las mujeres que, en algún momento de su proceso, han tenido dudas sobre si continuar o no en el recurso. </w:t>
      </w:r>
    </w:p>
    <w:p>
      <w:pPr>
        <w:suppressAutoHyphens/>
        <w:spacing w:after="0" w:line="360" w:lineRule="auto"/>
        <w:jc w:val="both"/>
        <w:textAlignment w:val="baseline"/>
        <w:rPr>
          <w:rFonts w:ascii="Arial" w:eastAsia="Times New Roman" w:hAnsi="Arial" w:cs="Arial"/>
          <w:color w:val="000000"/>
          <w:kern w:val="1"/>
          <w:sz w:val="24"/>
          <w:szCs w:val="24"/>
          <w:lang w:eastAsia="zh-CN"/>
        </w:rPr>
      </w:pPr>
    </w:p>
    <w:p>
      <w:pPr>
        <w:suppressAutoHyphens/>
        <w:spacing w:after="0" w:line="360" w:lineRule="auto"/>
        <w:textAlignment w:val="baseline"/>
        <w:rPr>
          <w:rFonts w:ascii="Arial" w:eastAsia="Times New Roman" w:hAnsi="Arial" w:cs="Arial"/>
          <w:b/>
          <w:kern w:val="1"/>
          <w:sz w:val="24"/>
          <w:szCs w:val="24"/>
          <w:lang w:eastAsia="zh-CN"/>
        </w:rPr>
      </w:pPr>
      <w:r>
        <w:rPr>
          <w:rFonts w:ascii="Arial" w:eastAsia="Times New Roman" w:hAnsi="Arial" w:cs="Arial"/>
          <w:b/>
          <w:kern w:val="1"/>
          <w:sz w:val="24"/>
          <w:szCs w:val="24"/>
          <w:lang w:eastAsia="zh-CN"/>
        </w:rPr>
        <w:t>Descripción del desarrollo de las distintas fases en el año:</w:t>
      </w:r>
    </w:p>
    <w:p>
      <w:pPr>
        <w:spacing w:after="160" w:line="360" w:lineRule="auto"/>
        <w:jc w:val="both"/>
        <w:rPr>
          <w:rFonts w:ascii="Arial" w:hAnsi="Arial" w:cs="Arial"/>
          <w:sz w:val="24"/>
          <w:szCs w:val="24"/>
        </w:rPr>
      </w:pPr>
      <w:r>
        <w:rPr>
          <w:rFonts w:ascii="Arial" w:hAnsi="Arial" w:cs="Arial"/>
          <w:sz w:val="24"/>
          <w:szCs w:val="24"/>
        </w:rPr>
        <w:t xml:space="preserve">La ocupación durante el año 2025 corresponde a un total de residentes:  15 mujeres y 3 menores. </w:t>
      </w:r>
    </w:p>
    <w:p>
      <w:pPr>
        <w:spacing w:after="160" w:line="360" w:lineRule="auto"/>
        <w:jc w:val="both"/>
        <w:rPr>
          <w:rFonts w:ascii="Arial" w:hAnsi="Arial" w:cs="Arial"/>
          <w:sz w:val="24"/>
          <w:szCs w:val="24"/>
        </w:rPr>
      </w:pPr>
      <w:r>
        <w:rPr>
          <w:rFonts w:ascii="Arial" w:hAnsi="Arial" w:cs="Arial"/>
          <w:sz w:val="24"/>
          <w:szCs w:val="24"/>
        </w:rPr>
        <w:t xml:space="preserve">Considerando que el recurso, no sólo es una alternativa alojativo para las mujeres, sino también es y debe ser considerado un lugar en el que se desarrollen y lleven a cabo procesos individuales para alcanzar la emancipación, a continuación, se detallan los siguientes datos en relación al itinerario residencial:  </w:t>
      </w:r>
    </w:p>
    <w:p>
      <w:pPr>
        <w:numPr>
          <w:ilvl w:val="0"/>
          <w:numId w:val="49"/>
        </w:numPr>
        <w:spacing w:after="160" w:line="360" w:lineRule="auto"/>
        <w:contextualSpacing/>
        <w:jc w:val="both"/>
        <w:rPr>
          <w:rFonts w:ascii="Arial" w:hAnsi="Arial" w:cs="Arial"/>
          <w:sz w:val="24"/>
          <w:szCs w:val="24"/>
        </w:rPr>
      </w:pPr>
      <w:r>
        <w:rPr>
          <w:rFonts w:ascii="Arial" w:hAnsi="Arial" w:cs="Arial"/>
          <w:sz w:val="24"/>
          <w:szCs w:val="24"/>
          <w:u w:val="single"/>
        </w:rPr>
        <w:t>Fase de acogida</w:t>
      </w:r>
      <w:r>
        <w:rPr>
          <w:rFonts w:ascii="Arial" w:hAnsi="Arial" w:cs="Arial"/>
          <w:sz w:val="24"/>
          <w:szCs w:val="24"/>
        </w:rPr>
        <w:t xml:space="preserve">: Superan esta fase, las 14 mujeres acogidas en el recurso.  1 mujer, no logra superar este momento inicial, debido al estado emocional en el momento del ingreso, requiriendo apoyo en alojamiento externo hasta alcanzar una estabilidad que le permita iniciar un proceso personal.  </w:t>
      </w:r>
    </w:p>
    <w:p>
      <w:pPr>
        <w:numPr>
          <w:ilvl w:val="0"/>
          <w:numId w:val="49"/>
        </w:numPr>
        <w:spacing w:after="160" w:line="360" w:lineRule="auto"/>
        <w:contextualSpacing/>
        <w:jc w:val="both"/>
        <w:rPr>
          <w:rFonts w:ascii="Arial" w:hAnsi="Arial" w:cs="Arial"/>
          <w:sz w:val="24"/>
          <w:szCs w:val="24"/>
        </w:rPr>
      </w:pPr>
      <w:r>
        <w:rPr>
          <w:rFonts w:ascii="Arial" w:hAnsi="Arial" w:cs="Arial"/>
          <w:sz w:val="24"/>
          <w:szCs w:val="24"/>
          <w:u w:val="single"/>
        </w:rPr>
        <w:t>Fase de adaptación</w:t>
      </w:r>
      <w:r>
        <w:rPr>
          <w:rFonts w:ascii="Arial" w:hAnsi="Arial" w:cs="Arial"/>
          <w:sz w:val="24"/>
          <w:szCs w:val="24"/>
        </w:rPr>
        <w:t xml:space="preserve">: De las 15 mujeres acogidas, 14 pasan a la siguiente fase. </w:t>
      </w:r>
    </w:p>
    <w:p>
      <w:pPr>
        <w:numPr>
          <w:ilvl w:val="0"/>
          <w:numId w:val="49"/>
        </w:numPr>
        <w:spacing w:after="160" w:line="360" w:lineRule="auto"/>
        <w:contextualSpacing/>
        <w:jc w:val="both"/>
        <w:rPr>
          <w:rFonts w:ascii="Arial" w:hAnsi="Arial" w:cs="Arial"/>
          <w:sz w:val="24"/>
          <w:szCs w:val="24"/>
        </w:rPr>
      </w:pPr>
      <w:r>
        <w:rPr>
          <w:rFonts w:ascii="Arial" w:hAnsi="Arial" w:cs="Arial"/>
          <w:sz w:val="24"/>
          <w:szCs w:val="24"/>
          <w:u w:val="single"/>
        </w:rPr>
        <w:t>Fase de convivencia</w:t>
      </w:r>
      <w:r>
        <w:rPr>
          <w:rFonts w:ascii="Arial" w:hAnsi="Arial" w:cs="Arial"/>
          <w:sz w:val="24"/>
          <w:szCs w:val="24"/>
        </w:rPr>
        <w:t xml:space="preserve">: 11 de las 15 mujeres alcanzan esta fase.  Actualmente, (diciembre 2025) 5 mujeres se encuentran transitando esta parte del itinerario residencial.   El resto (3 mujeres), no continúan avanzando por los siguientes motivos: 1 mujer, elige alojamiento alternativo como lugar de residencia, otra mujer solicita alternativa de alojamiento externo por su situación personal y la tercera mujer solicita retorno voluntario a su país de origen. </w:t>
      </w:r>
    </w:p>
    <w:p>
      <w:pPr>
        <w:numPr>
          <w:ilvl w:val="0"/>
          <w:numId w:val="49"/>
        </w:numPr>
        <w:spacing w:after="160" w:line="360" w:lineRule="auto"/>
        <w:contextualSpacing/>
        <w:jc w:val="both"/>
        <w:rPr>
          <w:rFonts w:ascii="Arial" w:hAnsi="Arial" w:cs="Arial"/>
          <w:sz w:val="24"/>
          <w:szCs w:val="24"/>
        </w:rPr>
      </w:pPr>
      <w:r>
        <w:rPr>
          <w:rFonts w:ascii="Arial" w:hAnsi="Arial" w:cs="Arial"/>
          <w:sz w:val="24"/>
          <w:szCs w:val="24"/>
          <w:u w:val="single"/>
        </w:rPr>
        <w:t>Fase de desarrollo:</w:t>
      </w:r>
      <w:r>
        <w:rPr>
          <w:rFonts w:ascii="Arial" w:hAnsi="Arial" w:cs="Arial"/>
          <w:sz w:val="24"/>
          <w:szCs w:val="24"/>
        </w:rPr>
        <w:t xml:space="preserve"> 7 mujeres superan las fases anteriores y logran llevar su proceso a esta fase. Dos mujeres, se encuentran actualmente en dicha fase. </w:t>
      </w:r>
    </w:p>
    <w:p>
      <w:pPr>
        <w:numPr>
          <w:ilvl w:val="0"/>
          <w:numId w:val="49"/>
        </w:numPr>
        <w:spacing w:after="160" w:line="360" w:lineRule="auto"/>
        <w:contextualSpacing/>
        <w:jc w:val="both"/>
        <w:rPr>
          <w:rFonts w:ascii="Arial" w:hAnsi="Arial" w:cs="Arial"/>
          <w:sz w:val="24"/>
          <w:szCs w:val="24"/>
        </w:rPr>
      </w:pPr>
      <w:r>
        <w:rPr>
          <w:rFonts w:ascii="Arial" w:hAnsi="Arial" w:cs="Arial"/>
          <w:sz w:val="24"/>
          <w:szCs w:val="24"/>
          <w:u w:val="single"/>
        </w:rPr>
        <w:lastRenderedPageBreak/>
        <w:t>Fase de finalización/emancipación</w:t>
      </w:r>
      <w:r>
        <w:rPr>
          <w:rFonts w:ascii="Arial" w:hAnsi="Arial" w:cs="Arial"/>
          <w:sz w:val="24"/>
          <w:szCs w:val="24"/>
        </w:rPr>
        <w:t xml:space="preserve">: Logran llegar a esta parte del itinerario residencial, 5 mujeres, logrando la emancipación del recurso alojativo. Concretamente, 3 acceden al Piso de Autonomía. Las otras dos mujeres, se emancipan a alojamientos externos a la entidad (Piso compartido y traslado a otra isla por motivos de trabajo). </w:t>
      </w:r>
    </w:p>
    <w:p>
      <w:pPr>
        <w:spacing w:after="160" w:line="360" w:lineRule="auto"/>
        <w:ind w:left="720"/>
        <w:contextualSpacing/>
        <w:jc w:val="both"/>
        <w:rPr>
          <w:rFonts w:ascii="Arial" w:hAnsi="Arial" w:cs="Arial"/>
          <w:sz w:val="24"/>
          <w:szCs w:val="24"/>
        </w:rPr>
      </w:pPr>
    </w:p>
    <w:p>
      <w:pPr>
        <w:spacing w:after="160" w:line="360" w:lineRule="auto"/>
        <w:ind w:left="720"/>
        <w:contextualSpacing/>
        <w:jc w:val="both"/>
        <w:rPr>
          <w:rFonts w:ascii="Arial" w:hAnsi="Arial" w:cs="Arial"/>
          <w:sz w:val="24"/>
          <w:szCs w:val="24"/>
        </w:rPr>
      </w:pPr>
      <w:r>
        <w:rPr>
          <w:rFonts w:ascii="Arial" w:hAnsi="Arial" w:cs="Arial"/>
          <w:sz w:val="24"/>
          <w:szCs w:val="24"/>
        </w:rPr>
        <w:t xml:space="preserve">En base a los datos registrados, no todos los procesos individuales llegan a culminar en la última etapa: emancipación o seguimiento externo. </w:t>
      </w:r>
    </w:p>
    <w:p>
      <w:pPr>
        <w:spacing w:after="160" w:line="360" w:lineRule="auto"/>
        <w:ind w:left="720"/>
        <w:contextualSpacing/>
        <w:jc w:val="both"/>
        <w:rPr>
          <w:rFonts w:ascii="Arial" w:hAnsi="Arial" w:cs="Arial"/>
          <w:sz w:val="24"/>
          <w:szCs w:val="24"/>
        </w:rPr>
      </w:pPr>
      <w:r>
        <w:rPr>
          <w:rFonts w:ascii="Arial" w:hAnsi="Arial" w:cs="Arial"/>
          <w:sz w:val="24"/>
          <w:szCs w:val="24"/>
        </w:rPr>
        <w:t xml:space="preserve"> </w:t>
      </w:r>
    </w:p>
    <w:p>
      <w:pPr>
        <w:spacing w:after="160" w:line="360" w:lineRule="auto"/>
        <w:ind w:left="720"/>
        <w:contextualSpacing/>
        <w:jc w:val="both"/>
        <w:rPr>
          <w:rFonts w:ascii="Arial" w:hAnsi="Arial" w:cs="Arial"/>
          <w:sz w:val="24"/>
          <w:szCs w:val="24"/>
        </w:rPr>
      </w:pPr>
      <w:r>
        <w:rPr>
          <w:rFonts w:ascii="Arial" w:hAnsi="Arial" w:cs="Arial"/>
          <w:sz w:val="24"/>
          <w:szCs w:val="24"/>
        </w:rPr>
        <w:t xml:space="preserve">A lo largo de todo el proceso personal, el respeto a los ritmos individuales de cada mujer es un aspecto crucial. En este sentido, no hay un tiempo preestablecido que defina la duración de cada una de las etapas y fases, y consecuentemente, de la estancia de la mujer en la casa. </w:t>
      </w:r>
    </w:p>
    <w:p>
      <w:pPr>
        <w:spacing w:after="160" w:line="360" w:lineRule="auto"/>
        <w:ind w:left="720"/>
        <w:contextualSpacing/>
        <w:jc w:val="both"/>
        <w:rPr>
          <w:rFonts w:ascii="Arial" w:hAnsi="Arial" w:cs="Arial"/>
          <w:sz w:val="24"/>
          <w:szCs w:val="24"/>
        </w:rPr>
      </w:pPr>
    </w:p>
    <w:p>
      <w:pPr>
        <w:spacing w:after="160" w:line="360" w:lineRule="auto"/>
        <w:ind w:left="720"/>
        <w:contextualSpacing/>
        <w:jc w:val="both"/>
        <w:rPr>
          <w:rFonts w:ascii="Arial" w:hAnsi="Arial" w:cs="Arial"/>
          <w:sz w:val="24"/>
          <w:szCs w:val="24"/>
        </w:rPr>
      </w:pPr>
      <w:r>
        <w:rPr>
          <w:rFonts w:ascii="Arial" w:hAnsi="Arial" w:cs="Arial"/>
          <w:sz w:val="24"/>
          <w:szCs w:val="24"/>
        </w:rPr>
        <w:t>Todo lo planificado es orientativo, demostrando flexibilidad y tratamiento a la pluralidad (aprendizajes individualizados y personalizados). Se añade que, las mujeres que han sido residentes y optan por continuar sus procesos de vida externos a la casa, continúan manteniendo relación y solicitando seguimiento externo por parte del Programa, lo cual refleja que el establecimiento del vínculo se ha realizado con éxito (considerando el recurso como un referente positivo).</w:t>
      </w:r>
    </w:p>
    <w:p>
      <w:pPr>
        <w:spacing w:after="160" w:line="360" w:lineRule="auto"/>
        <w:ind w:left="720"/>
        <w:contextualSpacing/>
        <w:jc w:val="both"/>
        <w:rPr>
          <w:rFonts w:ascii="Arial" w:hAnsi="Arial" w:cs="Arial"/>
          <w:sz w:val="24"/>
          <w:szCs w:val="24"/>
        </w:rPr>
      </w:pPr>
    </w:p>
    <w:p>
      <w:pPr>
        <w:spacing w:after="160" w:line="259" w:lineRule="auto"/>
        <w:ind w:left="720"/>
        <w:contextualSpacing/>
        <w:jc w:val="both"/>
        <w:rPr>
          <w:rFonts w:ascii="Arial" w:hAnsi="Arial" w:cs="Arial"/>
          <w:b/>
          <w:sz w:val="24"/>
          <w:szCs w:val="24"/>
        </w:rPr>
      </w:pPr>
    </w:p>
    <w:p>
      <w:pPr>
        <w:shd w:val="clear" w:color="auto" w:fill="B2A1C7" w:themeFill="accent4" w:themeFillTint="99"/>
        <w:contextualSpacing/>
        <w:jc w:val="both"/>
        <w:rPr>
          <w:rFonts w:ascii="Arial" w:eastAsia="Times New Roman" w:hAnsi="Arial" w:cs="Arial"/>
          <w:b/>
          <w:sz w:val="24"/>
          <w:szCs w:val="24"/>
        </w:rPr>
      </w:pPr>
      <w:r>
        <w:rPr>
          <w:rFonts w:ascii="Arial" w:eastAsia="Times New Roman" w:hAnsi="Arial" w:cs="Arial"/>
          <w:b/>
          <w:sz w:val="24"/>
          <w:szCs w:val="24"/>
        </w:rPr>
        <w:t xml:space="preserve">D. ACTIVIDADES REALIZADAS  </w:t>
      </w:r>
    </w:p>
    <w:p>
      <w:pPr>
        <w:autoSpaceDE w:val="0"/>
        <w:autoSpaceDN w:val="0"/>
        <w:adjustRightInd w:val="0"/>
        <w:spacing w:after="0" w:line="201" w:lineRule="atLeast"/>
        <w:ind w:right="142"/>
        <w:jc w:val="both"/>
        <w:rPr>
          <w:rFonts w:ascii="Arial" w:eastAsia="Times New Roman" w:hAnsi="Arial" w:cs="Arial"/>
          <w:b/>
          <w:color w:val="000000"/>
          <w:sz w:val="24"/>
          <w:szCs w:val="24"/>
          <w:lang w:eastAsia="es-ES"/>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Las actividades realizadas se enmarcan dentro de tres grandes bloques:</w:t>
      </w:r>
    </w:p>
    <w:p>
      <w:pPr>
        <w:suppressAutoHyphens/>
        <w:autoSpaceDN w:val="0"/>
        <w:spacing w:after="0" w:line="360" w:lineRule="auto"/>
        <w:jc w:val="both"/>
        <w:textAlignment w:val="baseline"/>
        <w:rPr>
          <w:rFonts w:ascii="Arial" w:hAnsi="Arial" w:cs="Arial"/>
          <w:sz w:val="24"/>
          <w:szCs w:val="24"/>
          <w:lang w:eastAsia="zh-CN"/>
        </w:rPr>
      </w:pPr>
    </w:p>
    <w:p>
      <w:pPr>
        <w:numPr>
          <w:ilvl w:val="0"/>
          <w:numId w:val="49"/>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Actividades socioeducativas desarrolladas, dentro y fuera del hogar.</w:t>
      </w:r>
    </w:p>
    <w:p>
      <w:pPr>
        <w:numPr>
          <w:ilvl w:val="0"/>
          <w:numId w:val="49"/>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Acciones formativas que imparte el Equipo Educativo y Entidades Externas.</w:t>
      </w:r>
    </w:p>
    <w:p>
      <w:pPr>
        <w:numPr>
          <w:ilvl w:val="0"/>
          <w:numId w:val="49"/>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Actividades internas de Equipo Educativo y Equipo Interdisciplinar.</w:t>
      </w:r>
    </w:p>
    <w:p>
      <w:pPr>
        <w:numPr>
          <w:ilvl w:val="1"/>
          <w:numId w:val="49"/>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highlight w:val="lightGray"/>
          <w:lang w:eastAsia="zh-CN"/>
        </w:rPr>
        <w:t>Reuniones quincenales</w:t>
      </w:r>
      <w:r>
        <w:rPr>
          <w:rFonts w:ascii="Arial" w:hAnsi="Arial" w:cs="Arial"/>
          <w:sz w:val="24"/>
          <w:szCs w:val="24"/>
          <w:lang w:eastAsia="zh-CN"/>
        </w:rPr>
        <w:t>, alternas entre reuniones de equipo educativo y reuniones de equipo interdisciplinar.</w:t>
      </w:r>
    </w:p>
    <w:p>
      <w:pPr>
        <w:numPr>
          <w:ilvl w:val="1"/>
          <w:numId w:val="49"/>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highlight w:val="lightGray"/>
          <w:lang w:eastAsia="zh-CN"/>
        </w:rPr>
        <w:lastRenderedPageBreak/>
        <w:t>Diseño de herramientas de sistematización de datos</w:t>
      </w:r>
      <w:r>
        <w:rPr>
          <w:rFonts w:ascii="Arial" w:hAnsi="Arial" w:cs="Arial"/>
          <w:sz w:val="24"/>
          <w:szCs w:val="24"/>
          <w:lang w:eastAsia="zh-CN"/>
        </w:rPr>
        <w:t xml:space="preserve"> para la memoria anual, redacción de protocolos de actuación y elaboración de documentación técnica. </w:t>
      </w:r>
    </w:p>
    <w:p>
      <w:pPr>
        <w:numPr>
          <w:ilvl w:val="1"/>
          <w:numId w:val="49"/>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highlight w:val="lightGray"/>
          <w:lang w:eastAsia="zh-CN"/>
        </w:rPr>
        <w:t>Actividades de difusión, sensibilización y formación</w:t>
      </w:r>
      <w:r>
        <w:rPr>
          <w:rFonts w:ascii="Arial" w:hAnsi="Arial" w:cs="Arial"/>
          <w:sz w:val="24"/>
          <w:szCs w:val="24"/>
          <w:lang w:eastAsia="zh-CN"/>
        </w:rPr>
        <w:t>.</w:t>
      </w:r>
    </w:p>
    <w:p>
      <w:pPr>
        <w:suppressAutoHyphens/>
        <w:autoSpaceDN w:val="0"/>
        <w:spacing w:after="0" w:line="360" w:lineRule="auto"/>
        <w:jc w:val="both"/>
        <w:textAlignment w:val="baseline"/>
        <w:rPr>
          <w:rFonts w:ascii="Arial" w:hAnsi="Arial" w:cs="Arial"/>
          <w:color w:val="FF0000"/>
          <w:sz w:val="24"/>
          <w:szCs w:val="24"/>
          <w:lang w:eastAsia="zh-CN"/>
        </w:rPr>
      </w:pPr>
    </w:p>
    <w:p>
      <w:pPr>
        <w:suppressAutoHyphens/>
        <w:autoSpaceDN w:val="0"/>
        <w:spacing w:after="0" w:line="360" w:lineRule="auto"/>
        <w:jc w:val="both"/>
        <w:textAlignment w:val="baseline"/>
        <w:rPr>
          <w:rFonts w:ascii="Arial" w:hAnsi="Arial" w:cs="Arial"/>
          <w:b/>
          <w:sz w:val="24"/>
          <w:szCs w:val="24"/>
          <w:u w:val="single"/>
          <w:lang w:eastAsia="zh-CN"/>
        </w:rPr>
      </w:pPr>
      <w:r>
        <w:rPr>
          <w:rFonts w:ascii="Arial" w:hAnsi="Arial" w:cs="Arial"/>
          <w:b/>
          <w:sz w:val="24"/>
          <w:szCs w:val="24"/>
          <w:u w:val="single"/>
          <w:lang w:eastAsia="zh-CN"/>
        </w:rPr>
        <w:t>ACTIVIDADES SOCIOEDUCATIVAS DESARROLLADAS, DENTRO Y FUERA DEL HOGAR:</w:t>
      </w:r>
    </w:p>
    <w:p>
      <w:pPr>
        <w:suppressAutoHyphens/>
        <w:autoSpaceDN w:val="0"/>
        <w:spacing w:after="0" w:line="360" w:lineRule="auto"/>
        <w:jc w:val="both"/>
        <w:textAlignment w:val="baseline"/>
        <w:rPr>
          <w:rFonts w:ascii="Arial" w:hAnsi="Arial" w:cs="Arial"/>
          <w:color w:val="FF0000"/>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Las actividades tienen lugar tanto en la cotidianeidad del hogar, como en los espacios y eventos con los que cuenta la ciudad de Las Palmas de Gran Canaria u otros municipios.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Las acciones que se realizan en la casa, tienen que ver con el funcionamiento de la misma. Por un lado, todo lo que concierne al cuidado y mantenimiento del hogar (tareas diarias, alimentación, reciclaje…). Y, por otro lado, el trabajo transversal que se da en la convivencia diaria, relacionada con las habilidades interpersonales y/o sociales, el cuidado de la salud, así como la gestión emocional.</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A continuación, se presentan las acciones correspondientes a las dimensiones educativas sobre las que se fundamenta la labor del equipo educativo </w:t>
      </w:r>
      <w:r>
        <w:rPr>
          <w:rFonts w:ascii="Arial" w:hAnsi="Arial" w:cs="Arial"/>
          <w:b/>
          <w:sz w:val="24"/>
          <w:szCs w:val="24"/>
          <w:lang w:eastAsia="zh-CN"/>
        </w:rPr>
        <w:t>dentro del hogar</w:t>
      </w:r>
      <w:r>
        <w:rPr>
          <w:rFonts w:ascii="Arial" w:hAnsi="Arial" w:cs="Arial"/>
          <w:sz w:val="24"/>
          <w:szCs w:val="24"/>
          <w:lang w:eastAsia="zh-CN"/>
        </w:rPr>
        <w:t xml:space="preserve">: </w:t>
      </w:r>
    </w:p>
    <w:tbl>
      <w:tblPr>
        <w:tblStyle w:val="Tablaconcuadrcula162"/>
        <w:tblW w:w="9464" w:type="dxa"/>
        <w:tblLayout w:type="fixed"/>
        <w:tblLook w:val="0000" w:firstRow="0" w:lastRow="0" w:firstColumn="0" w:lastColumn="0" w:noHBand="0" w:noVBand="0"/>
      </w:tblPr>
      <w:tblGrid>
        <w:gridCol w:w="2263"/>
        <w:gridCol w:w="7201"/>
      </w:tblGrid>
      <w:tr>
        <w:tc>
          <w:tcPr>
            <w:tcW w:w="2263" w:type="dxa"/>
            <w:shd w:val="clear" w:color="auto" w:fill="7030A0"/>
          </w:tcPr>
          <w:p>
            <w:pPr>
              <w:suppressAutoHyphens/>
              <w:autoSpaceDN w:val="0"/>
              <w:spacing w:after="0"/>
              <w:jc w:val="center"/>
              <w:textAlignment w:val="baseline"/>
              <w:rPr>
                <w:rFonts w:ascii="Arial" w:hAnsi="Arial" w:cs="Arial"/>
                <w:b/>
                <w:bCs/>
                <w:color w:val="FFFFFF" w:themeColor="background1"/>
                <w:sz w:val="24"/>
                <w:szCs w:val="24"/>
                <w:lang w:eastAsia="zh-CN"/>
              </w:rPr>
            </w:pPr>
            <w:r>
              <w:rPr>
                <w:rFonts w:ascii="Arial" w:hAnsi="Arial" w:cs="Arial"/>
                <w:b/>
                <w:bCs/>
                <w:color w:val="FFFFFF" w:themeColor="background1"/>
                <w:sz w:val="24"/>
                <w:szCs w:val="24"/>
                <w:lang w:eastAsia="zh-CN"/>
              </w:rPr>
              <w:t>ACTIVIDAD</w:t>
            </w:r>
          </w:p>
        </w:tc>
        <w:tc>
          <w:tcPr>
            <w:tcW w:w="7201" w:type="dxa"/>
            <w:shd w:val="clear" w:color="auto" w:fill="7030A0"/>
          </w:tcPr>
          <w:p>
            <w:pPr>
              <w:suppressAutoHyphens/>
              <w:autoSpaceDN w:val="0"/>
              <w:spacing w:after="0"/>
              <w:jc w:val="center"/>
              <w:textAlignment w:val="baseline"/>
              <w:rPr>
                <w:rFonts w:ascii="Arial" w:hAnsi="Arial" w:cs="Arial"/>
                <w:b/>
                <w:bCs/>
                <w:color w:val="FFFFFF" w:themeColor="background1"/>
                <w:sz w:val="24"/>
                <w:szCs w:val="24"/>
                <w:lang w:eastAsia="zh-CN"/>
              </w:rPr>
            </w:pPr>
            <w:r>
              <w:rPr>
                <w:rFonts w:ascii="Arial" w:hAnsi="Arial" w:cs="Arial"/>
                <w:b/>
                <w:bCs/>
                <w:color w:val="FFFFFF" w:themeColor="background1"/>
                <w:sz w:val="24"/>
                <w:szCs w:val="24"/>
                <w:lang w:eastAsia="zh-CN"/>
              </w:rPr>
              <w:t xml:space="preserve">DESCRIPCIÓN </w:t>
            </w:r>
          </w:p>
        </w:tc>
      </w:tr>
      <w:tr>
        <w:tc>
          <w:tcPr>
            <w:tcW w:w="9464" w:type="dxa"/>
            <w:gridSpan w:val="2"/>
            <w:shd w:val="clear" w:color="auto" w:fill="5F497A" w:themeFill="accent4" w:themeFillShade="BF"/>
          </w:tcPr>
          <w:p>
            <w:pPr>
              <w:suppressAutoHyphens/>
              <w:autoSpaceDN w:val="0"/>
              <w:spacing w:after="0"/>
              <w:jc w:val="center"/>
              <w:textAlignment w:val="baseline"/>
              <w:rPr>
                <w:rFonts w:ascii="Arial" w:hAnsi="Arial" w:cs="Arial"/>
                <w:b/>
                <w:bCs/>
                <w:sz w:val="24"/>
                <w:szCs w:val="24"/>
                <w:lang w:eastAsia="zh-CN"/>
              </w:rPr>
            </w:pPr>
            <w:r>
              <w:rPr>
                <w:rFonts w:ascii="Arial" w:hAnsi="Arial" w:cs="Arial"/>
                <w:b/>
                <w:bCs/>
                <w:color w:val="FFFFFF" w:themeColor="background1"/>
                <w:sz w:val="24"/>
                <w:szCs w:val="24"/>
                <w:lang w:eastAsia="zh-CN"/>
              </w:rPr>
              <w:t>Atención del hogar</w:t>
            </w:r>
          </w:p>
        </w:tc>
      </w:tr>
      <w:tr>
        <w:trPr>
          <w:trHeight w:val="209"/>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Limpieza</w:t>
            </w: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p>
        </w:tc>
        <w:tc>
          <w:tcPr>
            <w:tcW w:w="7201" w:type="dxa"/>
          </w:tcPr>
          <w:p>
            <w:pPr>
              <w:numPr>
                <w:ilvl w:val="0"/>
                <w:numId w:val="52"/>
              </w:numPr>
              <w:tabs>
                <w:tab w:val="left" w:pos="285"/>
              </w:tabs>
              <w:suppressAutoHyphens/>
              <w:autoSpaceDN w:val="0"/>
              <w:spacing w:after="0" w:line="240" w:lineRule="auto"/>
              <w:contextualSpacing/>
              <w:jc w:val="both"/>
              <w:textAlignment w:val="baseline"/>
              <w:rPr>
                <w:rFonts w:ascii="Arial" w:hAnsi="Arial" w:cs="Arial"/>
                <w:sz w:val="24"/>
                <w:szCs w:val="24"/>
                <w:lang w:eastAsia="zh-CN"/>
              </w:rPr>
            </w:pPr>
            <w:r>
              <w:rPr>
                <w:rFonts w:ascii="Arial" w:hAnsi="Arial" w:cs="Arial"/>
                <w:sz w:val="24"/>
                <w:szCs w:val="24"/>
                <w:lang w:eastAsia="zh-CN"/>
              </w:rPr>
              <w:t>Asignación de turnos de limpieza, supervisión de las tareas realizadas, revisión y estado de las habitaciones, etc.</w:t>
            </w:r>
          </w:p>
        </w:tc>
      </w:tr>
      <w:tr>
        <w:trPr>
          <w:trHeight w:val="249"/>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Cocina</w:t>
            </w:r>
          </w:p>
        </w:tc>
        <w:tc>
          <w:tcPr>
            <w:tcW w:w="7201" w:type="dxa"/>
          </w:tcPr>
          <w:p>
            <w:pPr>
              <w:numPr>
                <w:ilvl w:val="0"/>
                <w:numId w:val="53"/>
              </w:numPr>
              <w:tabs>
                <w:tab w:val="left" w:pos="285"/>
              </w:tabs>
              <w:suppressAutoHyphens/>
              <w:autoSpaceDN w:val="0"/>
              <w:spacing w:after="0" w:line="240" w:lineRule="auto"/>
              <w:contextualSpacing/>
              <w:jc w:val="both"/>
              <w:textAlignment w:val="baseline"/>
              <w:rPr>
                <w:rFonts w:ascii="Arial" w:hAnsi="Arial" w:cs="Arial"/>
                <w:sz w:val="24"/>
                <w:szCs w:val="24"/>
                <w:lang w:eastAsia="zh-CN"/>
              </w:rPr>
            </w:pPr>
            <w:r>
              <w:rPr>
                <w:rFonts w:ascii="Arial" w:hAnsi="Arial" w:cs="Arial"/>
                <w:sz w:val="24"/>
                <w:szCs w:val="24"/>
                <w:lang w:eastAsia="zh-CN"/>
              </w:rPr>
              <w:t>Concienciación sobre pautas de higiene y manipulación de alimentos; cálculo de cantidades y tiempos de cocción; empleo de los utensilios de cocina, asignación de turnos de cocina y apoyo a la mujer que presenta dificultades en este ámbito.</w:t>
            </w:r>
          </w:p>
        </w:tc>
      </w:tr>
      <w:tr>
        <w:trPr>
          <w:trHeight w:val="635"/>
        </w:trPr>
        <w:tc>
          <w:tcPr>
            <w:tcW w:w="2263" w:type="dxa"/>
            <w:vMerge w:val="restart"/>
            <w:shd w:val="clear" w:color="auto" w:fill="B2A1C7" w:themeFill="accent4" w:themeFillTint="99"/>
          </w:tcPr>
          <w:p>
            <w:pPr>
              <w:suppressAutoHyphens/>
              <w:autoSpaceDN w:val="0"/>
              <w:snapToGrid w:val="0"/>
              <w:spacing w:after="0" w:line="240" w:lineRule="auto"/>
              <w:jc w:val="center"/>
              <w:textAlignment w:val="baseline"/>
              <w:rPr>
                <w:rFonts w:ascii="Arial" w:hAnsi="Arial" w:cs="Arial"/>
                <w:b/>
                <w:bCs/>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Economía doméstica</w:t>
            </w: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p>
        </w:tc>
        <w:tc>
          <w:tcPr>
            <w:tcW w:w="7201" w:type="dxa"/>
          </w:tcPr>
          <w:p>
            <w:pPr>
              <w:numPr>
                <w:ilvl w:val="0"/>
                <w:numId w:val="54"/>
              </w:numPr>
              <w:tabs>
                <w:tab w:val="left" w:pos="285"/>
              </w:tabs>
              <w:suppressAutoHyphens/>
              <w:autoSpaceDN w:val="0"/>
              <w:spacing w:after="0" w:line="240" w:lineRule="auto"/>
              <w:contextualSpacing/>
              <w:jc w:val="both"/>
              <w:textAlignment w:val="baseline"/>
              <w:rPr>
                <w:rFonts w:ascii="Arial" w:hAnsi="Arial" w:cs="Arial"/>
                <w:sz w:val="24"/>
                <w:szCs w:val="24"/>
                <w:lang w:eastAsia="zh-CN"/>
              </w:rPr>
            </w:pPr>
            <w:r>
              <w:rPr>
                <w:rFonts w:ascii="Arial" w:hAnsi="Arial" w:cs="Arial"/>
                <w:sz w:val="24"/>
                <w:szCs w:val="24"/>
                <w:lang w:eastAsia="zh-CN"/>
              </w:rPr>
              <w:t>Entrenamiento en técnicas y pautas de ahorro y cuidado de los recursos del hogar.</w:t>
            </w:r>
          </w:p>
        </w:tc>
      </w:tr>
      <w:tr>
        <w:trPr>
          <w:trHeight w:val="154"/>
        </w:trPr>
        <w:tc>
          <w:tcPr>
            <w:tcW w:w="2263" w:type="dxa"/>
            <w:vMerge/>
            <w:shd w:val="clear" w:color="auto" w:fill="B2A1C7" w:themeFill="accent4" w:themeFillTint="99"/>
          </w:tcPr>
          <w:p>
            <w:pPr>
              <w:widowControl w:val="0"/>
              <w:suppressAutoHyphens/>
              <w:autoSpaceDN w:val="0"/>
              <w:spacing w:after="0" w:line="240" w:lineRule="auto"/>
              <w:textAlignment w:val="baseline"/>
              <w:rPr>
                <w:rFonts w:ascii="Arial" w:eastAsia="Times New Roman" w:hAnsi="Arial" w:cs="Arial"/>
                <w:color w:val="E36C0A" w:themeColor="accent6" w:themeShade="BF"/>
                <w:sz w:val="24"/>
                <w:szCs w:val="24"/>
              </w:rPr>
            </w:pPr>
          </w:p>
        </w:tc>
        <w:tc>
          <w:tcPr>
            <w:tcW w:w="7201" w:type="dxa"/>
          </w:tcPr>
          <w:p>
            <w:pPr>
              <w:numPr>
                <w:ilvl w:val="0"/>
                <w:numId w:val="55"/>
              </w:numPr>
              <w:tabs>
                <w:tab w:val="left" w:pos="285"/>
              </w:tabs>
              <w:suppressAutoHyphens/>
              <w:autoSpaceDN w:val="0"/>
              <w:spacing w:after="0" w:line="240" w:lineRule="auto"/>
              <w:contextualSpacing/>
              <w:jc w:val="both"/>
              <w:textAlignment w:val="baseline"/>
              <w:rPr>
                <w:rFonts w:ascii="Arial" w:hAnsi="Arial" w:cs="Arial"/>
                <w:sz w:val="24"/>
                <w:szCs w:val="24"/>
                <w:lang w:eastAsia="zh-CN"/>
              </w:rPr>
            </w:pPr>
            <w:r>
              <w:rPr>
                <w:rFonts w:ascii="Arial" w:hAnsi="Arial" w:cs="Arial"/>
                <w:sz w:val="24"/>
                <w:szCs w:val="24"/>
                <w:lang w:eastAsia="zh-CN"/>
              </w:rPr>
              <w:t>Listado de recursos necesarios para la compra de alimentos semanal, así como productos de aseo y droguería.</w:t>
            </w:r>
          </w:p>
        </w:tc>
      </w:tr>
      <w:tr>
        <w:trPr>
          <w:trHeight w:val="408"/>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Reciclaje</w:t>
            </w:r>
          </w:p>
        </w:tc>
        <w:tc>
          <w:tcPr>
            <w:tcW w:w="7201" w:type="dxa"/>
          </w:tcPr>
          <w:p>
            <w:pPr>
              <w:numPr>
                <w:ilvl w:val="0"/>
                <w:numId w:val="56"/>
              </w:numPr>
              <w:tabs>
                <w:tab w:val="left" w:pos="285"/>
              </w:tabs>
              <w:suppressAutoHyphens/>
              <w:autoSpaceDN w:val="0"/>
              <w:spacing w:after="0" w:line="24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Conocimiento de las </w:t>
            </w:r>
            <w:r>
              <w:rPr>
                <w:rFonts w:ascii="Arial" w:hAnsi="Arial" w:cs="Arial"/>
                <w:i/>
                <w:sz w:val="24"/>
                <w:szCs w:val="24"/>
                <w:lang w:eastAsia="zh-CN"/>
              </w:rPr>
              <w:t>tres R</w:t>
            </w:r>
            <w:r>
              <w:rPr>
                <w:rFonts w:ascii="Arial" w:hAnsi="Arial" w:cs="Arial"/>
                <w:sz w:val="24"/>
                <w:szCs w:val="24"/>
                <w:lang w:eastAsia="zh-CN"/>
              </w:rPr>
              <w:t xml:space="preserve"> (Recicla, Reutiliza, Reduce) y sus beneficios (Eco educación).</w:t>
            </w:r>
          </w:p>
        </w:tc>
      </w:tr>
      <w:tr>
        <w:trPr>
          <w:trHeight w:val="408"/>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lastRenderedPageBreak/>
              <w:t>Mantenimiento y cuidado del hogar</w:t>
            </w:r>
          </w:p>
        </w:tc>
        <w:tc>
          <w:tcPr>
            <w:tcW w:w="7201" w:type="dxa"/>
          </w:tcPr>
          <w:p>
            <w:pPr>
              <w:numPr>
                <w:ilvl w:val="0"/>
                <w:numId w:val="34"/>
              </w:numPr>
              <w:suppressAutoHyphens/>
              <w:autoSpaceDN w:val="0"/>
              <w:spacing w:after="0" w:line="240" w:lineRule="auto"/>
              <w:ind w:left="173" w:hanging="142"/>
              <w:contextualSpacing/>
              <w:jc w:val="both"/>
              <w:textAlignment w:val="baseline"/>
              <w:rPr>
                <w:rFonts w:ascii="Arial" w:hAnsi="Arial" w:cs="Arial"/>
                <w:sz w:val="24"/>
                <w:szCs w:val="24"/>
                <w:lang w:eastAsia="zh-CN"/>
              </w:rPr>
            </w:pPr>
            <w:r>
              <w:rPr>
                <w:rFonts w:ascii="Arial" w:hAnsi="Arial" w:cs="Arial"/>
                <w:sz w:val="24"/>
                <w:szCs w:val="24"/>
                <w:lang w:eastAsia="zh-CN"/>
              </w:rPr>
              <w:t>Listado de tareas de mantenimiento y revisión del estado de la casa.</w:t>
            </w:r>
          </w:p>
          <w:p>
            <w:pPr>
              <w:numPr>
                <w:ilvl w:val="0"/>
                <w:numId w:val="34"/>
              </w:numPr>
              <w:suppressAutoHyphens/>
              <w:autoSpaceDN w:val="0"/>
              <w:spacing w:after="0" w:line="240" w:lineRule="auto"/>
              <w:ind w:left="173" w:hanging="142"/>
              <w:contextualSpacing/>
              <w:jc w:val="both"/>
              <w:textAlignment w:val="baseline"/>
              <w:rPr>
                <w:rFonts w:ascii="Arial" w:hAnsi="Arial" w:cs="Arial"/>
                <w:sz w:val="24"/>
                <w:szCs w:val="24"/>
                <w:lang w:eastAsia="zh-CN"/>
              </w:rPr>
            </w:pPr>
            <w:r>
              <w:rPr>
                <w:rFonts w:ascii="Arial" w:hAnsi="Arial" w:cs="Arial"/>
                <w:sz w:val="24"/>
                <w:szCs w:val="24"/>
                <w:lang w:eastAsia="zh-CN"/>
              </w:rPr>
              <w:t>Renovación/sustitución del mobiliario y enseres en mal estado.</w:t>
            </w:r>
          </w:p>
          <w:p>
            <w:pPr>
              <w:numPr>
                <w:ilvl w:val="0"/>
                <w:numId w:val="34"/>
              </w:numPr>
              <w:suppressAutoHyphens/>
              <w:autoSpaceDN w:val="0"/>
              <w:spacing w:after="0" w:line="240" w:lineRule="auto"/>
              <w:ind w:left="173" w:hanging="142"/>
              <w:contextualSpacing/>
              <w:jc w:val="both"/>
              <w:textAlignment w:val="baseline"/>
              <w:rPr>
                <w:rFonts w:ascii="Arial" w:hAnsi="Arial" w:cs="Arial"/>
                <w:sz w:val="24"/>
                <w:szCs w:val="24"/>
                <w:lang w:eastAsia="zh-CN"/>
              </w:rPr>
            </w:pPr>
            <w:r>
              <w:rPr>
                <w:rFonts w:ascii="Arial" w:hAnsi="Arial" w:cs="Arial"/>
                <w:sz w:val="24"/>
                <w:szCs w:val="24"/>
                <w:lang w:eastAsia="zh-CN"/>
              </w:rPr>
              <w:t xml:space="preserve">Incidir en la importancia del cuidado de los recursos (Agua, luz, mobiliario) por parte de las mujeres. </w:t>
            </w:r>
          </w:p>
        </w:tc>
      </w:tr>
      <w:tr>
        <w:trPr>
          <w:trHeight w:val="312"/>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Alimentación</w:t>
            </w:r>
          </w:p>
        </w:tc>
        <w:tc>
          <w:tcPr>
            <w:tcW w:w="7201" w:type="dxa"/>
          </w:tcPr>
          <w:p>
            <w:pPr>
              <w:numPr>
                <w:ilvl w:val="0"/>
                <w:numId w:val="35"/>
              </w:numPr>
              <w:suppressAutoHyphens/>
              <w:autoSpaceDN w:val="0"/>
              <w:spacing w:after="0" w:line="240" w:lineRule="auto"/>
              <w:ind w:left="173" w:hanging="142"/>
              <w:contextualSpacing/>
              <w:jc w:val="both"/>
              <w:textAlignment w:val="baseline"/>
              <w:rPr>
                <w:rFonts w:ascii="Arial" w:hAnsi="Arial" w:cs="Arial"/>
                <w:sz w:val="24"/>
                <w:szCs w:val="24"/>
                <w:lang w:eastAsia="zh-CN"/>
              </w:rPr>
            </w:pPr>
            <w:r>
              <w:rPr>
                <w:rFonts w:ascii="Arial" w:hAnsi="Arial" w:cs="Arial"/>
                <w:sz w:val="24"/>
                <w:szCs w:val="24"/>
                <w:lang w:eastAsia="zh-CN"/>
              </w:rPr>
              <w:t xml:space="preserve">Diseño de menú semanal teniendo en cuenta el consumo de alimentos de los que se dispone, la multiculturalidad gastronómica, las alergias-intolerancias o recomendaciones alimenticias ante ciertas patologías como diabetes, etc. Para las madres, se establece también a nivel individual, un menú infantil, acorde a la edad y necesidades alimentarias del menor.  </w:t>
            </w:r>
          </w:p>
        </w:tc>
      </w:tr>
      <w:tr>
        <w:trPr>
          <w:trHeight w:val="282"/>
        </w:trPr>
        <w:tc>
          <w:tcPr>
            <w:tcW w:w="9464" w:type="dxa"/>
            <w:gridSpan w:val="2"/>
            <w:shd w:val="clear" w:color="auto" w:fill="5F497A" w:themeFill="accent4" w:themeFillShade="BF"/>
          </w:tcPr>
          <w:p>
            <w:pPr>
              <w:suppressAutoHyphens/>
              <w:autoSpaceDN w:val="0"/>
              <w:spacing w:after="0"/>
              <w:jc w:val="center"/>
              <w:textAlignment w:val="baseline"/>
              <w:rPr>
                <w:rFonts w:ascii="Arial" w:hAnsi="Arial" w:cs="Arial"/>
                <w:b/>
                <w:bCs/>
                <w:sz w:val="24"/>
                <w:szCs w:val="24"/>
                <w:lang w:eastAsia="zh-CN"/>
              </w:rPr>
            </w:pPr>
            <w:r>
              <w:rPr>
                <w:rFonts w:ascii="Arial" w:hAnsi="Arial" w:cs="Arial"/>
                <w:b/>
                <w:bCs/>
                <w:color w:val="FFFFFF" w:themeColor="background1"/>
                <w:sz w:val="24"/>
                <w:szCs w:val="24"/>
                <w:lang w:eastAsia="zh-CN"/>
              </w:rPr>
              <w:t>Cuidado de la salud</w:t>
            </w:r>
          </w:p>
        </w:tc>
      </w:tr>
      <w:tr>
        <w:trPr>
          <w:trHeight w:val="438"/>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Prevención de enfermedades</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Evitar comportamientos que pongan en riesgo el padecimiento de enfermedades.</w:t>
            </w:r>
          </w:p>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Aplicación Protocolo sanitario.</w:t>
            </w:r>
          </w:p>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 xml:space="preserve">Talleres educativos sobre temáticas de salud. </w:t>
            </w:r>
          </w:p>
        </w:tc>
      </w:tr>
      <w:tr>
        <w:trPr>
          <w:trHeight w:val="425"/>
        </w:trPr>
        <w:tc>
          <w:tcPr>
            <w:tcW w:w="2263" w:type="dxa"/>
            <w:vMerge w:val="restart"/>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Atención médica</w:t>
            </w:r>
          </w:p>
          <w:p>
            <w:pPr>
              <w:suppressAutoHyphens/>
              <w:autoSpaceDN w:val="0"/>
              <w:snapToGrid w:val="0"/>
              <w:spacing w:after="0" w:line="240" w:lineRule="auto"/>
              <w:jc w:val="center"/>
              <w:textAlignment w:val="baseline"/>
              <w:rPr>
                <w:rFonts w:ascii="Arial" w:hAnsi="Arial" w:cs="Arial"/>
                <w:b/>
                <w:bCs/>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bCs/>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Acompañamiento en el proceso de adquisición de la autonomía para acudir a consulta, solicitud de citas, cumplimiento de tratamientos, etc.</w:t>
            </w:r>
          </w:p>
        </w:tc>
      </w:tr>
      <w:tr>
        <w:trPr>
          <w:trHeight w:val="613"/>
        </w:trPr>
        <w:tc>
          <w:tcPr>
            <w:tcW w:w="2263" w:type="dxa"/>
            <w:vMerge/>
            <w:shd w:val="clear" w:color="auto" w:fill="B2A1C7" w:themeFill="accent4" w:themeFillTint="99"/>
          </w:tcPr>
          <w:p>
            <w:pPr>
              <w:widowControl w:val="0"/>
              <w:suppressAutoHyphens/>
              <w:autoSpaceDN w:val="0"/>
              <w:spacing w:after="0" w:line="240" w:lineRule="auto"/>
              <w:textAlignment w:val="baseline"/>
              <w:rPr>
                <w:rFonts w:ascii="Arial" w:eastAsia="Times New Roman" w:hAnsi="Arial" w:cs="Arial"/>
                <w:sz w:val="24"/>
                <w:szCs w:val="24"/>
              </w:rPr>
            </w:pP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Acompañamiento a mujeres con alguna patología, a través de la información y el apoyo.</w:t>
            </w:r>
          </w:p>
        </w:tc>
      </w:tr>
      <w:tr>
        <w:trPr>
          <w:trHeight w:val="881"/>
        </w:trPr>
        <w:tc>
          <w:tcPr>
            <w:tcW w:w="2263" w:type="dxa"/>
            <w:shd w:val="clear" w:color="auto" w:fill="B2A1C7" w:themeFill="accent4" w:themeFillTint="99"/>
          </w:tcPr>
          <w:p>
            <w:pPr>
              <w:suppressAutoHyphens/>
              <w:autoSpaceDN w:val="0"/>
              <w:spacing w:after="0" w:line="240" w:lineRule="auto"/>
              <w:jc w:val="center"/>
              <w:textAlignment w:val="baseline"/>
              <w:rPr>
                <w:rFonts w:ascii="Arial" w:eastAsia="Times New Roman" w:hAnsi="Arial" w:cs="Arial"/>
                <w:color w:val="E36C0A" w:themeColor="accent6" w:themeShade="BF"/>
                <w:sz w:val="24"/>
                <w:szCs w:val="24"/>
              </w:rPr>
            </w:pPr>
            <w:r>
              <w:rPr>
                <w:rFonts w:ascii="Arial" w:hAnsi="Arial" w:cs="Arial"/>
                <w:b/>
                <w:color w:val="E36C0A" w:themeColor="accent6" w:themeShade="BF"/>
                <w:sz w:val="24"/>
                <w:szCs w:val="24"/>
                <w:lang w:eastAsia="zh-CN"/>
              </w:rPr>
              <w:t>Adherencia a tratamientos médicos-farmacéuticos</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 xml:space="preserve">Control en la toma de medicamentos, cumplimentando semanalmente hoja de firmas según pauta médica y consecuente toma. </w:t>
            </w:r>
          </w:p>
        </w:tc>
      </w:tr>
      <w:tr>
        <w:trPr>
          <w:trHeight w:val="367"/>
        </w:trPr>
        <w:tc>
          <w:tcPr>
            <w:tcW w:w="2263" w:type="dxa"/>
            <w:shd w:val="clear" w:color="auto" w:fill="B2A1C7" w:themeFill="accent4" w:themeFillTint="99"/>
          </w:tcPr>
          <w:p>
            <w:pPr>
              <w:suppressAutoHyphens/>
              <w:autoSpaceDN w:val="0"/>
              <w:snapToGrid w:val="0"/>
              <w:spacing w:after="0" w:line="240" w:lineRule="auto"/>
              <w:jc w:val="center"/>
              <w:textAlignment w:val="baseline"/>
              <w:rPr>
                <w:rFonts w:ascii="Arial" w:hAnsi="Arial" w:cs="Arial"/>
                <w:b/>
                <w:bCs/>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Higiene del sueño</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 xml:space="preserve">Establecimiento de pautas y horarios que permitan el correcto descanso para afrontar las actividades diarias y el bienestar mental y físico. Velar por el cumplimiento de los horarios de descanso. </w:t>
            </w:r>
          </w:p>
        </w:tc>
      </w:tr>
      <w:tr>
        <w:trPr>
          <w:trHeight w:val="353"/>
        </w:trPr>
        <w:tc>
          <w:tcPr>
            <w:tcW w:w="9464" w:type="dxa"/>
            <w:gridSpan w:val="2"/>
            <w:shd w:val="clear" w:color="auto" w:fill="5F497A" w:themeFill="accent4" w:themeFillShade="BF"/>
          </w:tcPr>
          <w:p>
            <w:pPr>
              <w:suppressAutoHyphens/>
              <w:autoSpaceDN w:val="0"/>
              <w:spacing w:after="0" w:line="240" w:lineRule="auto"/>
              <w:jc w:val="center"/>
              <w:textAlignment w:val="baseline"/>
              <w:rPr>
                <w:rFonts w:ascii="Arial" w:hAnsi="Arial" w:cs="Arial"/>
                <w:sz w:val="24"/>
                <w:szCs w:val="24"/>
                <w:lang w:eastAsia="zh-CN"/>
              </w:rPr>
            </w:pPr>
            <w:r>
              <w:rPr>
                <w:rFonts w:ascii="Arial" w:hAnsi="Arial" w:cs="Arial"/>
                <w:b/>
                <w:bCs/>
                <w:color w:val="FFFFFF" w:themeColor="background1"/>
                <w:sz w:val="24"/>
                <w:szCs w:val="24"/>
                <w:lang w:eastAsia="zh-CN"/>
              </w:rPr>
              <w:t>Estado emocional</w:t>
            </w:r>
          </w:p>
        </w:tc>
      </w:tr>
      <w:tr>
        <w:trPr>
          <w:trHeight w:val="813"/>
        </w:trPr>
        <w:tc>
          <w:tcPr>
            <w:tcW w:w="2263" w:type="dxa"/>
            <w:shd w:val="clear" w:color="auto" w:fill="B2A1C7" w:themeFill="accent4" w:themeFillTint="99"/>
          </w:tcPr>
          <w:p>
            <w:pPr>
              <w:suppressAutoHyphens/>
              <w:autoSpaceDN w:val="0"/>
              <w:snapToGrid w:val="0"/>
              <w:spacing w:after="0" w:line="240" w:lineRule="auto"/>
              <w:textAlignment w:val="baseline"/>
              <w:rPr>
                <w:rFonts w:ascii="Arial" w:hAnsi="Arial" w:cs="Arial"/>
                <w:b/>
                <w:bCs/>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Auto-reconocimiento</w:t>
            </w:r>
          </w:p>
          <w:p>
            <w:pPr>
              <w:suppressAutoHyphens/>
              <w:autoSpaceDN w:val="0"/>
              <w:spacing w:after="0" w:line="240" w:lineRule="auto"/>
              <w:textAlignment w:val="baseline"/>
              <w:rPr>
                <w:rFonts w:ascii="Arial" w:hAnsi="Arial" w:cs="Arial"/>
                <w:b/>
                <w:color w:val="E36C0A" w:themeColor="accent6" w:themeShade="BF"/>
                <w:sz w:val="24"/>
                <w:szCs w:val="24"/>
                <w:lang w:eastAsia="zh-CN"/>
              </w:rPr>
            </w:pP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Se promueven espacios de desahogo y escucha activa, generando reflexión e introspección en la mujer.</w:t>
            </w:r>
          </w:p>
        </w:tc>
      </w:tr>
      <w:tr>
        <w:trPr>
          <w:trHeight w:val="573"/>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Cuidado personal</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Pautas sobre el cuidado personal y su importancia para otras dimensiones (Autoestima, proyección hacia los demás, etc.)</w:t>
            </w:r>
          </w:p>
        </w:tc>
      </w:tr>
      <w:tr>
        <w:trPr>
          <w:trHeight w:val="543"/>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Técnicas de relajación</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Conocimiento y puesta en práctica de técnicas de relajación que ayuden a la gestión del estrés y la ansiedad.</w:t>
            </w:r>
          </w:p>
        </w:tc>
      </w:tr>
      <w:tr>
        <w:trPr>
          <w:trHeight w:val="543"/>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Contención emocional</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Dotación de herramientas de autocontrol y gestión emocional para afrontar los diferentes momentos por los que pasa la mujer durante el período de residencia.</w:t>
            </w:r>
          </w:p>
        </w:tc>
      </w:tr>
      <w:tr>
        <w:trPr>
          <w:trHeight w:val="309"/>
        </w:trPr>
        <w:tc>
          <w:tcPr>
            <w:tcW w:w="9464" w:type="dxa"/>
            <w:gridSpan w:val="2"/>
            <w:shd w:val="clear" w:color="auto" w:fill="5F497A" w:themeFill="accent4" w:themeFillShade="BF"/>
          </w:tcPr>
          <w:p>
            <w:pPr>
              <w:suppressAutoHyphens/>
              <w:autoSpaceDN w:val="0"/>
              <w:spacing w:after="0" w:line="240" w:lineRule="auto"/>
              <w:jc w:val="center"/>
              <w:textAlignment w:val="baseline"/>
              <w:rPr>
                <w:rFonts w:ascii="Arial" w:hAnsi="Arial" w:cs="Arial"/>
                <w:sz w:val="24"/>
                <w:szCs w:val="24"/>
                <w:lang w:eastAsia="zh-CN"/>
              </w:rPr>
            </w:pPr>
            <w:r>
              <w:rPr>
                <w:rFonts w:ascii="Arial" w:hAnsi="Arial" w:cs="Arial"/>
                <w:b/>
                <w:bCs/>
                <w:color w:val="FFFFFF" w:themeColor="background1"/>
                <w:sz w:val="24"/>
                <w:szCs w:val="24"/>
                <w:lang w:eastAsia="zh-CN"/>
              </w:rPr>
              <w:t xml:space="preserve"> Convivencia y facilitación social</w:t>
            </w:r>
          </w:p>
        </w:tc>
      </w:tr>
      <w:tr>
        <w:trPr>
          <w:trHeight w:val="703"/>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Habilidades Sociales</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Trabajo diario en los modelos de comunicación, resolución de conflictos, etc. desde la asertividad.</w:t>
            </w:r>
          </w:p>
        </w:tc>
      </w:tr>
      <w:tr>
        <w:trPr>
          <w:trHeight w:val="360"/>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bCs/>
                <w:color w:val="E36C0A" w:themeColor="accent6" w:themeShade="BF"/>
                <w:sz w:val="24"/>
                <w:szCs w:val="24"/>
                <w:lang w:eastAsia="zh-CN"/>
              </w:rPr>
            </w:pPr>
            <w:r>
              <w:rPr>
                <w:rFonts w:ascii="Arial" w:hAnsi="Arial" w:cs="Arial"/>
                <w:b/>
                <w:bCs/>
                <w:color w:val="E36C0A" w:themeColor="accent6" w:themeShade="BF"/>
                <w:sz w:val="24"/>
                <w:szCs w:val="24"/>
                <w:lang w:eastAsia="zh-CN"/>
              </w:rPr>
              <w:lastRenderedPageBreak/>
              <w:t>Asambleas en el hogar</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Espacios compartidos entre el grupo de mujeres residentes y la educadora de turno para abordar temas del hogar o que conciernen a la convivencia.</w:t>
            </w:r>
          </w:p>
        </w:tc>
      </w:tr>
      <w:tr>
        <w:trPr>
          <w:trHeight w:val="285"/>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Habilidades Comunicativas</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Expresión de opinión y deseos. La oratoria, el lenguaje corporal, tipos de comunicación.</w:t>
            </w:r>
          </w:p>
        </w:tc>
      </w:tr>
      <w:tr>
        <w:trPr>
          <w:trHeight w:val="692"/>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Comportamiento en la mesa</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Propiciar un adecuado clima de convivencia, de respeto y de compartir en el comedor, implicando a las mujeres en el cumplimiento y respeto de las normas.</w:t>
            </w:r>
          </w:p>
        </w:tc>
      </w:tr>
      <w:tr>
        <w:trPr>
          <w:trHeight w:val="836"/>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p>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Organización del   tiempo</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 xml:space="preserve">Promoción de la puntualidad y necesidad de gestionar el tiempo en relación a la planificación personal. </w:t>
            </w:r>
          </w:p>
        </w:tc>
      </w:tr>
      <w:tr>
        <w:trPr>
          <w:trHeight w:val="836"/>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Protocolo Saveguarding</w:t>
            </w:r>
          </w:p>
        </w:tc>
        <w:tc>
          <w:tcPr>
            <w:tcW w:w="7201" w:type="dxa"/>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Aplicación Protocolo Safeguarding (Sistema de Protección Interno – SdPI), traslado de incidencias e información a coordinación.</w:t>
            </w:r>
          </w:p>
        </w:tc>
      </w:tr>
    </w:tbl>
    <w:tbl>
      <w:tblPr>
        <w:tblStyle w:val="Tablaconcuadrcula1611"/>
        <w:tblW w:w="9464" w:type="dxa"/>
        <w:tblLayout w:type="fixed"/>
        <w:tblLook w:val="0000" w:firstRow="0" w:lastRow="0" w:firstColumn="0" w:lastColumn="0" w:noHBand="0" w:noVBand="0"/>
      </w:tblPr>
      <w:tblGrid>
        <w:gridCol w:w="2263"/>
        <w:gridCol w:w="7201"/>
      </w:tblGrid>
      <w:tr>
        <w:trPr>
          <w:trHeight w:val="234"/>
        </w:trPr>
        <w:tc>
          <w:tcPr>
            <w:tcW w:w="9464" w:type="dxa"/>
            <w:gridSpan w:val="2"/>
            <w:shd w:val="clear" w:color="auto" w:fill="5F497A" w:themeFill="accent4" w:themeFillShade="BF"/>
          </w:tcPr>
          <w:p>
            <w:pPr>
              <w:tabs>
                <w:tab w:val="left" w:pos="229"/>
              </w:tabs>
              <w:suppressAutoHyphens/>
              <w:autoSpaceDN w:val="0"/>
              <w:spacing w:after="0" w:line="240" w:lineRule="auto"/>
              <w:ind w:left="31"/>
              <w:contextualSpacing/>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t>Ocio y tiempo libre</w:t>
            </w:r>
          </w:p>
        </w:tc>
      </w:tr>
      <w:tr>
        <w:trPr>
          <w:trHeight w:val="940"/>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 xml:space="preserve">Realización actividades de ocio conjunto externo a la casa. </w:t>
            </w:r>
          </w:p>
        </w:tc>
        <w:tc>
          <w:tcPr>
            <w:tcW w:w="7201" w:type="dxa"/>
            <w:shd w:val="clear" w:color="auto" w:fill="auto"/>
          </w:tcPr>
          <w:p>
            <w:pPr>
              <w:numPr>
                <w:ilvl w:val="0"/>
                <w:numId w:val="36"/>
              </w:numPr>
              <w:tabs>
                <w:tab w:val="left" w:pos="229"/>
              </w:tabs>
              <w:suppressAutoHyphens/>
              <w:autoSpaceDN w:val="0"/>
              <w:spacing w:after="0" w:line="240" w:lineRule="auto"/>
              <w:ind w:left="31"/>
              <w:contextualSpacing/>
              <w:jc w:val="both"/>
              <w:textAlignment w:val="baseline"/>
              <w:rPr>
                <w:rFonts w:ascii="Arial" w:hAnsi="Arial" w:cs="Arial"/>
                <w:sz w:val="24"/>
                <w:szCs w:val="24"/>
                <w:lang w:eastAsia="zh-CN"/>
              </w:rPr>
            </w:pPr>
            <w:r>
              <w:rPr>
                <w:rFonts w:ascii="Arial" w:hAnsi="Arial" w:cs="Arial"/>
                <w:sz w:val="24"/>
                <w:szCs w:val="24"/>
                <w:lang w:eastAsia="zh-CN"/>
              </w:rPr>
              <w:t xml:space="preserve">Fomento de la cohesión grupal y del vínculo de confianza entre las mujeres y el equipo educativo, así como dar a conocer nuevas alternativas y lugares/actividades de ocio y/o culturales. </w:t>
            </w:r>
          </w:p>
        </w:tc>
      </w:tr>
      <w:tr>
        <w:trPr>
          <w:trHeight w:val="1692"/>
        </w:trP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 xml:space="preserve">Información referida a recursos que ofertan ocio y actividades culturales, fomentando la autonomía. </w:t>
            </w:r>
          </w:p>
        </w:tc>
        <w:tc>
          <w:tcPr>
            <w:tcW w:w="7201" w:type="dxa"/>
            <w:tcBorders>
              <w:bottom w:val="single" w:sz="4" w:space="0" w:color="auto"/>
            </w:tcBorders>
            <w:shd w:val="clear" w:color="auto" w:fill="auto"/>
          </w:tcPr>
          <w:p>
            <w:pPr>
              <w:numPr>
                <w:ilvl w:val="0"/>
                <w:numId w:val="36"/>
              </w:numPr>
              <w:tabs>
                <w:tab w:val="left" w:pos="229"/>
              </w:tabs>
              <w:suppressAutoHyphens/>
              <w:autoSpaceDN w:val="0"/>
              <w:spacing w:after="0" w:line="240" w:lineRule="auto"/>
              <w:ind w:left="31"/>
              <w:contextualSpacing/>
              <w:jc w:val="both"/>
              <w:textAlignment w:val="baseline"/>
              <w:rPr>
                <w:rFonts w:ascii="Arial" w:hAnsi="Arial" w:cs="Arial"/>
                <w:sz w:val="24"/>
                <w:szCs w:val="24"/>
                <w:lang w:eastAsia="zh-CN"/>
              </w:rPr>
            </w:pPr>
            <w:r>
              <w:rPr>
                <w:rFonts w:ascii="Arial" w:hAnsi="Arial" w:cs="Arial"/>
                <w:sz w:val="24"/>
                <w:szCs w:val="24"/>
                <w:lang w:eastAsia="zh-CN"/>
              </w:rPr>
              <w:t>Animar a las mujeres a participar de manera visible en la sociedad poniendo en marcha actividades que las estimulen a romper con el aislamiento doméstico, tomar conciencia de sus potencialidades, mejorar su autoestima y participar en actividades formativas y culturales que les ayuden a integrarse en el mundo laboral y social.</w:t>
            </w:r>
          </w:p>
        </w:tc>
      </w:tr>
      <w:t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Protocolo de emancipación</w:t>
            </w:r>
          </w:p>
        </w:tc>
        <w:tc>
          <w:tcPr>
            <w:tcW w:w="7201" w:type="dxa"/>
            <w:shd w:val="clear" w:color="auto" w:fill="auto"/>
          </w:tcPr>
          <w:p>
            <w:pPr>
              <w:numPr>
                <w:ilvl w:val="0"/>
                <w:numId w:val="36"/>
              </w:numPr>
              <w:tabs>
                <w:tab w:val="left" w:pos="229"/>
              </w:tabs>
              <w:suppressAutoHyphens/>
              <w:autoSpaceDN w:val="0"/>
              <w:spacing w:after="0" w:line="240" w:lineRule="auto"/>
              <w:ind w:left="31"/>
              <w:contextualSpacing/>
              <w:jc w:val="both"/>
              <w:textAlignment w:val="baseline"/>
              <w:rPr>
                <w:rFonts w:ascii="Arial" w:hAnsi="Arial" w:cs="Arial"/>
                <w:sz w:val="24"/>
                <w:szCs w:val="24"/>
                <w:lang w:eastAsia="zh-CN"/>
              </w:rPr>
            </w:pPr>
            <w:r>
              <w:rPr>
                <w:rFonts w:ascii="Arial" w:hAnsi="Arial" w:cs="Arial"/>
                <w:sz w:val="24"/>
                <w:szCs w:val="24"/>
                <w:lang w:eastAsia="zh-CN"/>
              </w:rPr>
              <w:t xml:space="preserve">Trabajo del Protocolo de emancipación con la mujer. </w:t>
            </w:r>
          </w:p>
        </w:tc>
      </w:tr>
    </w:tbl>
    <w:tbl>
      <w:tblPr>
        <w:tblStyle w:val="Tablaconcuadrcula162"/>
        <w:tblW w:w="9464" w:type="dxa"/>
        <w:tblLayout w:type="fixed"/>
        <w:tblLook w:val="0000" w:firstRow="0" w:lastRow="0" w:firstColumn="0" w:lastColumn="0" w:noHBand="0" w:noVBand="0"/>
      </w:tblPr>
      <w:tblGrid>
        <w:gridCol w:w="2263"/>
        <w:gridCol w:w="7201"/>
      </w:tblGrid>
      <w:tr>
        <w:tc>
          <w:tcPr>
            <w:tcW w:w="9464" w:type="dxa"/>
            <w:gridSpan w:val="2"/>
            <w:shd w:val="clear" w:color="auto" w:fill="7030A0"/>
          </w:tcPr>
          <w:p>
            <w:pPr>
              <w:tabs>
                <w:tab w:val="left" w:pos="229"/>
              </w:tabs>
              <w:suppressAutoHyphens/>
              <w:autoSpaceDN w:val="0"/>
              <w:spacing w:after="0" w:line="240" w:lineRule="auto"/>
              <w:ind w:left="31"/>
              <w:contextualSpacing/>
              <w:jc w:val="center"/>
              <w:textAlignment w:val="baseline"/>
              <w:rPr>
                <w:rFonts w:ascii="Arial" w:hAnsi="Arial" w:cs="Arial"/>
                <w:b/>
                <w:sz w:val="24"/>
                <w:szCs w:val="24"/>
                <w:lang w:eastAsia="zh-CN"/>
              </w:rPr>
            </w:pPr>
            <w:r>
              <w:rPr>
                <w:rFonts w:ascii="Arial" w:hAnsi="Arial" w:cs="Arial"/>
                <w:b/>
                <w:color w:val="FFFFFF" w:themeColor="background1"/>
                <w:sz w:val="24"/>
                <w:szCs w:val="24"/>
                <w:lang w:eastAsia="zh-CN"/>
              </w:rPr>
              <w:t>Relación materno filial</w:t>
            </w:r>
          </w:p>
        </w:tc>
      </w:tr>
      <w:t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Apoyo puntual en el cuidado del/los menores</w:t>
            </w:r>
          </w:p>
        </w:tc>
        <w:tc>
          <w:tcPr>
            <w:tcW w:w="7201" w:type="dxa"/>
            <w:shd w:val="clear" w:color="auto" w:fill="auto"/>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 xml:space="preserve">Cuidado en el hogar, en momentos precisos, de los y las menores para que su madre pueda realizar tareas encomendadas en el hogar. </w:t>
            </w:r>
          </w:p>
        </w:tc>
      </w:tr>
      <w:t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eastAsia="zh-CN"/>
              </w:rPr>
            </w:pPr>
            <w:r>
              <w:rPr>
                <w:rFonts w:ascii="Arial" w:hAnsi="Arial" w:cs="Arial"/>
                <w:b/>
                <w:color w:val="E36C0A" w:themeColor="accent6" w:themeShade="BF"/>
                <w:sz w:val="24"/>
                <w:szCs w:val="24"/>
                <w:lang w:eastAsia="zh-CN"/>
              </w:rPr>
              <w:t>Facilitación herramientas para la crianza y educación de los menores</w:t>
            </w:r>
          </w:p>
        </w:tc>
        <w:tc>
          <w:tcPr>
            <w:tcW w:w="7201" w:type="dxa"/>
            <w:shd w:val="clear" w:color="auto" w:fill="auto"/>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eastAsia="zh-CN"/>
              </w:rPr>
            </w:pPr>
            <w:r>
              <w:rPr>
                <w:rFonts w:ascii="Arial" w:hAnsi="Arial" w:cs="Arial"/>
                <w:sz w:val="24"/>
                <w:szCs w:val="24"/>
                <w:lang w:eastAsia="zh-CN"/>
              </w:rPr>
              <w:t>Diseño de menú infantil; preparación conjunta con la madre de recetas propias para la edad del menor;  diseño de horarios para rutinas propias como es la del sueño, alimentación, etc. ; dotación de herramientas para una crianza basada en un estilo democrático, etc.</w:t>
            </w:r>
          </w:p>
        </w:tc>
      </w:tr>
      <w:tr>
        <w:tc>
          <w:tcPr>
            <w:tcW w:w="2263" w:type="dxa"/>
            <w:shd w:val="clear" w:color="auto" w:fill="B2A1C7" w:themeFill="accent4" w:themeFillTint="99"/>
          </w:tcPr>
          <w:p>
            <w:pPr>
              <w:suppressAutoHyphens/>
              <w:autoSpaceDN w:val="0"/>
              <w:spacing w:after="0" w:line="240" w:lineRule="auto"/>
              <w:jc w:val="center"/>
              <w:textAlignment w:val="baseline"/>
              <w:rPr>
                <w:rFonts w:ascii="Arial" w:hAnsi="Arial" w:cs="Arial"/>
                <w:b/>
                <w:color w:val="E36C0A" w:themeColor="accent6" w:themeShade="BF"/>
                <w:sz w:val="24"/>
                <w:szCs w:val="24"/>
                <w:lang w:val="pt-PT" w:eastAsia="zh-CN"/>
              </w:rPr>
            </w:pPr>
            <w:r>
              <w:rPr>
                <w:rFonts w:ascii="Arial" w:hAnsi="Arial" w:cs="Arial"/>
                <w:b/>
                <w:color w:val="E36C0A" w:themeColor="accent6" w:themeShade="BF"/>
                <w:sz w:val="24"/>
                <w:szCs w:val="24"/>
                <w:lang w:val="pt-PT" w:eastAsia="zh-CN"/>
              </w:rPr>
              <w:t>Búsqueda de recursos escolares y ocio infantil</w:t>
            </w:r>
          </w:p>
        </w:tc>
        <w:tc>
          <w:tcPr>
            <w:tcW w:w="7201" w:type="dxa"/>
            <w:shd w:val="clear" w:color="auto" w:fill="auto"/>
          </w:tcPr>
          <w:p>
            <w:pPr>
              <w:numPr>
                <w:ilvl w:val="0"/>
                <w:numId w:val="35"/>
              </w:numPr>
              <w:suppressAutoHyphens/>
              <w:autoSpaceDN w:val="0"/>
              <w:spacing w:after="0" w:line="240" w:lineRule="auto"/>
              <w:ind w:left="173" w:hanging="173"/>
              <w:contextualSpacing/>
              <w:jc w:val="both"/>
              <w:textAlignment w:val="baseline"/>
              <w:rPr>
                <w:rFonts w:ascii="Arial" w:hAnsi="Arial" w:cs="Arial"/>
                <w:sz w:val="24"/>
                <w:szCs w:val="24"/>
                <w:lang w:val="pt-PT" w:eastAsia="zh-CN"/>
              </w:rPr>
            </w:pPr>
            <w:r>
              <w:rPr>
                <w:rFonts w:ascii="Arial" w:hAnsi="Arial" w:cs="Arial"/>
                <w:sz w:val="24"/>
                <w:szCs w:val="24"/>
                <w:lang w:val="pt-PT" w:eastAsia="zh-CN"/>
              </w:rPr>
              <w:t>Búsqueda de actividades para los menores (Escuelas de verano, Campus de Navidad, actividades con temática festivas infantiles, etc.)</w:t>
            </w:r>
          </w:p>
        </w:tc>
      </w:tr>
    </w:tbl>
    <w:p>
      <w:pPr>
        <w:suppressAutoHyphens/>
        <w:autoSpaceDN w:val="0"/>
        <w:spacing w:after="0"/>
        <w:jc w:val="both"/>
        <w:textAlignment w:val="baseline"/>
        <w:rPr>
          <w:rFonts w:ascii="Arial" w:hAnsi="Arial" w:cs="Arial"/>
          <w:color w:val="FF0000"/>
          <w:sz w:val="24"/>
          <w:szCs w:val="24"/>
          <w:lang w:val="pt-PT" w:eastAsia="zh-CN"/>
        </w:rPr>
      </w:pPr>
    </w:p>
    <w:p>
      <w:pPr>
        <w:suppressAutoHyphens/>
        <w:autoSpaceDN w:val="0"/>
        <w:spacing w:after="0"/>
        <w:jc w:val="both"/>
        <w:textAlignment w:val="baseline"/>
        <w:rPr>
          <w:rFonts w:ascii="Arial" w:hAnsi="Arial" w:cs="Arial"/>
          <w:color w:val="FF0000"/>
          <w:sz w:val="24"/>
          <w:szCs w:val="24"/>
          <w:lang w:eastAsia="zh-CN"/>
        </w:rPr>
      </w:pPr>
    </w:p>
    <w:p>
      <w:pPr>
        <w:suppressAutoHyphens/>
        <w:autoSpaceDN w:val="0"/>
        <w:spacing w:after="0"/>
        <w:jc w:val="both"/>
        <w:textAlignment w:val="baseline"/>
        <w:rPr>
          <w:rFonts w:ascii="Arial" w:hAnsi="Arial" w:cs="Arial"/>
          <w:b/>
          <w:sz w:val="24"/>
          <w:szCs w:val="24"/>
          <w:lang w:eastAsia="zh-CN"/>
        </w:rPr>
      </w:pPr>
    </w:p>
    <w:p>
      <w:pPr>
        <w:suppressAutoHyphens/>
        <w:autoSpaceDN w:val="0"/>
        <w:spacing w:after="0" w:line="360" w:lineRule="auto"/>
        <w:jc w:val="both"/>
        <w:textAlignment w:val="baseline"/>
        <w:rPr>
          <w:rFonts w:ascii="Arial" w:hAnsi="Arial" w:cs="Arial"/>
          <w:color w:val="FF0000"/>
          <w:sz w:val="24"/>
          <w:szCs w:val="24"/>
          <w:lang w:eastAsia="zh-CN"/>
        </w:rPr>
      </w:pPr>
      <w:r>
        <w:rPr>
          <w:rFonts w:ascii="Arial" w:hAnsi="Arial" w:cs="Arial"/>
          <w:b/>
          <w:sz w:val="24"/>
          <w:szCs w:val="24"/>
          <w:lang w:eastAsia="zh-CN"/>
        </w:rPr>
        <w:lastRenderedPageBreak/>
        <w:t>Actividades externas:</w:t>
      </w:r>
      <w:r>
        <w:rPr>
          <w:rFonts w:ascii="Arial" w:hAnsi="Arial" w:cs="Arial"/>
          <w:color w:val="FF0000"/>
          <w:sz w:val="24"/>
          <w:szCs w:val="24"/>
          <w:lang w:eastAsia="zh-CN"/>
        </w:rPr>
        <w:t xml:space="preserve"> </w:t>
      </w: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Dentro de la dimensión de ocio y tiempo libre, se ha intentado acercar a las mujeres a espacios urbanos de diferente índole, con el fin de que los ocupen y usen, como ciudadanas de pleno derecho.</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Por otro lado, se han realizado tareas de difusión de actividades gratuitas para fomentar la participación del grupo de forma autónoma.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A continuación, se detallan las actividades externas realizadas:</w:t>
      </w:r>
    </w:p>
    <w:p>
      <w:pPr>
        <w:suppressAutoHyphens/>
        <w:autoSpaceDN w:val="0"/>
        <w:spacing w:after="0"/>
        <w:jc w:val="both"/>
        <w:textAlignment w:val="baseline"/>
        <w:rPr>
          <w:rFonts w:ascii="Arial" w:hAnsi="Arial" w:cs="Arial"/>
          <w:color w:val="FF0000"/>
          <w:sz w:val="24"/>
          <w:szCs w:val="24"/>
          <w:lang w:eastAsia="zh-CN"/>
        </w:rPr>
      </w:pPr>
    </w:p>
    <w:tbl>
      <w:tblPr>
        <w:tblStyle w:val="Tablaconcuadrcula261"/>
        <w:tblW w:w="9606" w:type="dxa"/>
        <w:tblLook w:val="04A0" w:firstRow="1" w:lastRow="0" w:firstColumn="1" w:lastColumn="0" w:noHBand="0" w:noVBand="1"/>
      </w:tblPr>
      <w:tblGrid>
        <w:gridCol w:w="1525"/>
        <w:gridCol w:w="1710"/>
        <w:gridCol w:w="2048"/>
        <w:gridCol w:w="4323"/>
      </w:tblGrid>
      <w:tr>
        <w:tc>
          <w:tcPr>
            <w:tcW w:w="9606" w:type="dxa"/>
            <w:gridSpan w:val="4"/>
            <w:shd w:val="clear" w:color="auto" w:fill="7030A0"/>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t>Actividades culturales de ocio y tiempo libre</w:t>
            </w:r>
          </w:p>
        </w:tc>
      </w:tr>
      <w:tr>
        <w:trPr>
          <w:trHeight w:val="319"/>
        </w:trPr>
        <w:tc>
          <w:tcPr>
            <w:tcW w:w="1538" w:type="dxa"/>
            <w:shd w:val="clear" w:color="auto" w:fill="B2A1C7" w:themeFill="accent4" w:themeFillTint="99"/>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t>Fecha</w:t>
            </w:r>
          </w:p>
        </w:tc>
        <w:tc>
          <w:tcPr>
            <w:tcW w:w="1576" w:type="dxa"/>
            <w:shd w:val="clear" w:color="auto" w:fill="B2A1C7" w:themeFill="accent4" w:themeFillTint="99"/>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t>Nº de participantes</w:t>
            </w:r>
          </w:p>
        </w:tc>
        <w:tc>
          <w:tcPr>
            <w:tcW w:w="2075" w:type="dxa"/>
            <w:shd w:val="clear" w:color="auto" w:fill="B2A1C7" w:themeFill="accent4" w:themeFillTint="99"/>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t>Lugar</w:t>
            </w:r>
          </w:p>
        </w:tc>
        <w:tc>
          <w:tcPr>
            <w:tcW w:w="4417" w:type="dxa"/>
            <w:shd w:val="clear" w:color="auto" w:fill="B2A1C7" w:themeFill="accent4" w:themeFillTint="99"/>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t>Descripción de la actividad</w:t>
            </w:r>
          </w:p>
        </w:tc>
      </w:tr>
      <w:tr>
        <w:tc>
          <w:tcPr>
            <w:tcW w:w="1538"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26/01/25</w:t>
            </w:r>
          </w:p>
        </w:tc>
        <w:tc>
          <w:tcPr>
            <w:tcW w:w="157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w:t>
            </w:r>
          </w:p>
        </w:tc>
        <w:tc>
          <w:tcPr>
            <w:tcW w:w="2075"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Telde-San Bartolomé de Tirajana</w:t>
            </w:r>
          </w:p>
        </w:tc>
        <w:tc>
          <w:tcPr>
            <w:tcW w:w="4417" w:type="dxa"/>
          </w:tcPr>
          <w:p>
            <w:pPr>
              <w:suppressAutoHyphens/>
              <w:autoSpaceDN w:val="0"/>
              <w:spacing w:after="0"/>
              <w:jc w:val="both"/>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Visita Plata de Tufia – Dunas y Faro de Maspalomas</w:t>
            </w:r>
          </w:p>
        </w:tc>
      </w:tr>
      <w:tr>
        <w:tc>
          <w:tcPr>
            <w:tcW w:w="1538"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02/01/25</w:t>
            </w:r>
          </w:p>
        </w:tc>
        <w:tc>
          <w:tcPr>
            <w:tcW w:w="157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w:t>
            </w:r>
          </w:p>
        </w:tc>
        <w:tc>
          <w:tcPr>
            <w:tcW w:w="2075"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Gáldar</w:t>
            </w:r>
          </w:p>
        </w:tc>
        <w:tc>
          <w:tcPr>
            <w:tcW w:w="4417" w:type="dxa"/>
          </w:tcPr>
          <w:p>
            <w:pPr>
              <w:suppressAutoHyphens/>
              <w:autoSpaceDN w:val="0"/>
              <w:spacing w:after="0"/>
              <w:jc w:val="both"/>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Visita Cueva Pintada</w:t>
            </w:r>
          </w:p>
        </w:tc>
      </w:tr>
      <w:tr>
        <w:tc>
          <w:tcPr>
            <w:tcW w:w="1538"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19/02/25</w:t>
            </w:r>
          </w:p>
        </w:tc>
        <w:tc>
          <w:tcPr>
            <w:tcW w:w="157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2075"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Biblioteca Insular</w:t>
            </w:r>
          </w:p>
        </w:tc>
        <w:tc>
          <w:tcPr>
            <w:tcW w:w="4417" w:type="dxa"/>
          </w:tcPr>
          <w:p>
            <w:pPr>
              <w:suppressAutoHyphens/>
              <w:autoSpaceDN w:val="0"/>
              <w:spacing w:after="0"/>
              <w:jc w:val="both"/>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Realización de manualidades relacionadas con el Carnaval.</w:t>
            </w:r>
          </w:p>
        </w:tc>
      </w:tr>
      <w:tr>
        <w:tc>
          <w:tcPr>
            <w:tcW w:w="1538"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08/03/25</w:t>
            </w:r>
          </w:p>
        </w:tc>
        <w:tc>
          <w:tcPr>
            <w:tcW w:w="157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w:t>
            </w:r>
          </w:p>
        </w:tc>
        <w:tc>
          <w:tcPr>
            <w:tcW w:w="2075"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Las Palmas de Gran Canaria</w:t>
            </w:r>
          </w:p>
        </w:tc>
        <w:tc>
          <w:tcPr>
            <w:tcW w:w="4417" w:type="dxa"/>
          </w:tcPr>
          <w:p>
            <w:pPr>
              <w:suppressAutoHyphens/>
              <w:autoSpaceDN w:val="0"/>
              <w:spacing w:after="0"/>
              <w:jc w:val="both"/>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Salida al carnaval de las Palmas de Gran Canaria</w:t>
            </w:r>
          </w:p>
        </w:tc>
      </w:tr>
      <w:tr>
        <w:tc>
          <w:tcPr>
            <w:tcW w:w="1538"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12/03/25</w:t>
            </w:r>
          </w:p>
        </w:tc>
        <w:tc>
          <w:tcPr>
            <w:tcW w:w="1576"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2075" w:type="dxa"/>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Las Palmas de Gran Canaria</w:t>
            </w:r>
          </w:p>
        </w:tc>
        <w:tc>
          <w:tcPr>
            <w:tcW w:w="4417" w:type="dxa"/>
            <w:shd w:val="clear" w:color="auto" w:fill="auto"/>
          </w:tcPr>
          <w:p>
            <w:pPr>
              <w:suppressAutoHyphens/>
              <w:autoSpaceDN w:val="0"/>
              <w:spacing w:after="0"/>
              <w:jc w:val="both"/>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Visita al Teatro Pérez Galdós “Galdós y la mujer”</w:t>
            </w:r>
          </w:p>
        </w:tc>
      </w:tr>
      <w:tr>
        <w:tc>
          <w:tcPr>
            <w:tcW w:w="1538"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30/08/25</w:t>
            </w:r>
          </w:p>
        </w:tc>
        <w:tc>
          <w:tcPr>
            <w:tcW w:w="1576"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 y 1 menor</w:t>
            </w:r>
          </w:p>
        </w:tc>
        <w:tc>
          <w:tcPr>
            <w:tcW w:w="2075" w:type="dxa"/>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Centro Comercial Las Arenas</w:t>
            </w:r>
          </w:p>
        </w:tc>
        <w:tc>
          <w:tcPr>
            <w:tcW w:w="4417" w:type="dxa"/>
            <w:shd w:val="clear" w:color="auto" w:fill="auto"/>
          </w:tcPr>
          <w:p>
            <w:pPr>
              <w:suppressAutoHyphens/>
              <w:autoSpaceDN w:val="0"/>
              <w:spacing w:after="0"/>
              <w:jc w:val="both"/>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Salida al cine</w:t>
            </w:r>
          </w:p>
        </w:tc>
      </w:tr>
    </w:tbl>
    <w:p>
      <w:pPr>
        <w:suppressAutoHyphens/>
        <w:autoSpaceDN w:val="0"/>
        <w:spacing w:after="0"/>
        <w:jc w:val="both"/>
        <w:textAlignment w:val="baseline"/>
        <w:rPr>
          <w:rFonts w:ascii="Arial" w:hAnsi="Arial" w:cs="Arial"/>
          <w:color w:val="FF0000"/>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Por último, se exponen otro tipo de actividades realizadas que contribuyen a crear un buen clima en el hogar, mediante la dinamización del grupo.  Para ello se han realizado acciones dinámicas y también encuentros formales (como las asambleas), donde se tratan temas relativos a la convivencia y los compromisos necesarios para mejorarla.</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jc w:val="both"/>
        <w:textAlignment w:val="baseline"/>
        <w:rPr>
          <w:rFonts w:ascii="Arial" w:hAnsi="Arial" w:cs="Arial"/>
          <w:color w:val="FF0000"/>
          <w:sz w:val="24"/>
          <w:szCs w:val="24"/>
          <w:lang w:eastAsia="zh-CN"/>
        </w:rPr>
      </w:pPr>
    </w:p>
    <w:tbl>
      <w:tblPr>
        <w:tblStyle w:val="Tablaconcuadrcula261"/>
        <w:tblW w:w="9606" w:type="dxa"/>
        <w:tblLook w:val="04A0" w:firstRow="1" w:lastRow="0" w:firstColumn="1" w:lastColumn="0" w:noHBand="0" w:noVBand="1"/>
      </w:tblPr>
      <w:tblGrid>
        <w:gridCol w:w="2138"/>
        <w:gridCol w:w="2051"/>
        <w:gridCol w:w="1311"/>
        <w:gridCol w:w="4106"/>
      </w:tblGrid>
      <w:tr>
        <w:tc>
          <w:tcPr>
            <w:tcW w:w="9606" w:type="dxa"/>
            <w:gridSpan w:val="4"/>
            <w:shd w:val="clear" w:color="auto" w:fill="7030A0"/>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lastRenderedPageBreak/>
              <w:t>Actividades realizadas propias de la dinámica del hogar</w:t>
            </w:r>
          </w:p>
          <w:p>
            <w:pPr>
              <w:suppressAutoHyphens/>
              <w:autoSpaceDN w:val="0"/>
              <w:spacing w:after="0"/>
              <w:jc w:val="center"/>
              <w:textAlignment w:val="baseline"/>
              <w:rPr>
                <w:rFonts w:ascii="Arial" w:hAnsi="Arial" w:cs="Arial"/>
                <w:b/>
                <w:color w:val="FFFFFF" w:themeColor="background1"/>
                <w:sz w:val="24"/>
                <w:szCs w:val="24"/>
                <w:lang w:eastAsia="zh-CN"/>
              </w:rPr>
            </w:pPr>
          </w:p>
        </w:tc>
      </w:tr>
      <w:tr>
        <w:trPr>
          <w:trHeight w:val="319"/>
        </w:trPr>
        <w:tc>
          <w:tcPr>
            <w:tcW w:w="1538" w:type="dxa"/>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 xml:space="preserve">Fecha </w:t>
            </w:r>
          </w:p>
        </w:tc>
        <w:tc>
          <w:tcPr>
            <w:tcW w:w="2154" w:type="dxa"/>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Nº de participantes</w:t>
            </w:r>
          </w:p>
        </w:tc>
        <w:tc>
          <w:tcPr>
            <w:tcW w:w="1123" w:type="dxa"/>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Lugar</w:t>
            </w:r>
          </w:p>
        </w:tc>
        <w:tc>
          <w:tcPr>
            <w:tcW w:w="4791"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Descripción de la actividad</w:t>
            </w:r>
          </w:p>
        </w:tc>
      </w:tr>
      <w:tr>
        <w:trPr>
          <w:trHeight w:val="2471"/>
        </w:trPr>
        <w:tc>
          <w:tcPr>
            <w:tcW w:w="1538" w:type="dxa"/>
          </w:tcPr>
          <w:p>
            <w:pPr>
              <w:suppressAutoHyphens/>
              <w:autoSpaceDN w:val="0"/>
              <w:spacing w:after="0"/>
              <w:jc w:val="both"/>
              <w:textAlignment w:val="baseline"/>
              <w:rPr>
                <w:rFonts w:ascii="Arial" w:hAnsi="Arial" w:cs="Arial"/>
                <w:color w:val="000000"/>
                <w:sz w:val="24"/>
                <w:szCs w:val="24"/>
                <w:lang w:eastAsia="zh-CN"/>
              </w:rPr>
            </w:pP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02/04/2025</w:t>
            </w: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08/04/2025</w:t>
            </w: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06/09/2025</w:t>
            </w:r>
          </w:p>
          <w:p>
            <w:pPr>
              <w:suppressAutoHyphens/>
              <w:autoSpaceDN w:val="0"/>
              <w:spacing w:after="0"/>
              <w:ind w:left="169"/>
              <w:contextualSpacing/>
              <w:jc w:val="both"/>
              <w:textAlignment w:val="baseline"/>
              <w:rPr>
                <w:rFonts w:ascii="Arial" w:hAnsi="Arial" w:cs="Arial"/>
                <w:color w:val="000000"/>
                <w:sz w:val="24"/>
                <w:szCs w:val="24"/>
                <w:lang w:eastAsia="zh-CN"/>
              </w:rPr>
            </w:pP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02/10/2025</w:t>
            </w:r>
          </w:p>
          <w:p>
            <w:pPr>
              <w:suppressAutoHyphens/>
              <w:autoSpaceDN w:val="0"/>
              <w:spacing w:after="0"/>
              <w:ind w:left="169"/>
              <w:contextualSpacing/>
              <w:jc w:val="both"/>
              <w:textAlignment w:val="baseline"/>
              <w:rPr>
                <w:rFonts w:ascii="Arial" w:hAnsi="Arial" w:cs="Arial"/>
                <w:color w:val="000000"/>
                <w:sz w:val="24"/>
                <w:szCs w:val="24"/>
                <w:lang w:eastAsia="zh-CN"/>
              </w:rPr>
            </w:pP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03/10/2025</w:t>
            </w:r>
          </w:p>
          <w:p>
            <w:pPr>
              <w:suppressAutoHyphens/>
              <w:autoSpaceDN w:val="0"/>
              <w:spacing w:after="0"/>
              <w:ind w:left="169"/>
              <w:contextualSpacing/>
              <w:jc w:val="both"/>
              <w:textAlignment w:val="baseline"/>
              <w:rPr>
                <w:rFonts w:ascii="Arial" w:hAnsi="Arial" w:cs="Arial"/>
                <w:color w:val="000000"/>
                <w:sz w:val="24"/>
                <w:szCs w:val="24"/>
                <w:lang w:eastAsia="zh-CN"/>
              </w:rPr>
            </w:pP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02/11/2025</w:t>
            </w:r>
          </w:p>
          <w:p>
            <w:pPr>
              <w:suppressAutoHyphens/>
              <w:autoSpaceDN w:val="0"/>
              <w:spacing w:after="0"/>
              <w:ind w:left="169"/>
              <w:contextualSpacing/>
              <w:jc w:val="both"/>
              <w:textAlignment w:val="baseline"/>
              <w:rPr>
                <w:rFonts w:ascii="Arial" w:hAnsi="Arial" w:cs="Arial"/>
                <w:color w:val="000000"/>
                <w:sz w:val="24"/>
                <w:szCs w:val="24"/>
                <w:lang w:eastAsia="zh-CN"/>
              </w:rPr>
            </w:pPr>
          </w:p>
          <w:p>
            <w:pPr>
              <w:numPr>
                <w:ilvl w:val="0"/>
                <w:numId w:val="35"/>
              </w:numPr>
              <w:suppressAutoHyphens/>
              <w:autoSpaceDN w:val="0"/>
              <w:spacing w:after="0"/>
              <w:ind w:left="169" w:hanging="169"/>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30/11/2025</w:t>
            </w:r>
          </w:p>
        </w:tc>
        <w:tc>
          <w:tcPr>
            <w:tcW w:w="2154" w:type="dxa"/>
          </w:tcPr>
          <w:p>
            <w:pPr>
              <w:suppressAutoHyphens/>
              <w:autoSpaceDN w:val="0"/>
              <w:spacing w:after="0"/>
              <w:textAlignment w:val="baseline"/>
              <w:rPr>
                <w:rFonts w:ascii="Arial" w:hAnsi="Arial" w:cs="Arial"/>
                <w:color w:val="000000"/>
                <w:sz w:val="24"/>
                <w:szCs w:val="24"/>
                <w:lang w:eastAsia="zh-CN"/>
              </w:rPr>
            </w:pP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4 mujeres </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6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 y 1 menor</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 7 mujeres y 1 menor</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 7 mujeres y 1 menor</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9 mujeres y 2 menores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7 mujeres y 2 menores</w:t>
            </w:r>
          </w:p>
        </w:tc>
        <w:tc>
          <w:tcPr>
            <w:tcW w:w="1123" w:type="dxa"/>
          </w:tcPr>
          <w:p>
            <w:pPr>
              <w:suppressAutoHyphens/>
              <w:autoSpaceDN w:val="0"/>
              <w:spacing w:after="0" w:line="240" w:lineRule="auto"/>
              <w:jc w:val="center"/>
              <w:textAlignment w:val="baseline"/>
              <w:rPr>
                <w:rFonts w:ascii="Arial" w:hAnsi="Arial" w:cs="Arial"/>
                <w:color w:val="000000"/>
                <w:sz w:val="24"/>
                <w:szCs w:val="24"/>
                <w:lang w:eastAsia="zh-CN"/>
              </w:rPr>
            </w:pPr>
          </w:p>
          <w:p>
            <w:pPr>
              <w:suppressAutoHyphens/>
              <w:autoSpaceDN w:val="0"/>
              <w:spacing w:after="0" w:line="240" w:lineRule="auto"/>
              <w:textAlignment w:val="baseline"/>
              <w:rPr>
                <w:rFonts w:ascii="Arial" w:hAnsi="Arial" w:cs="Arial"/>
                <w:color w:val="000000"/>
                <w:sz w:val="24"/>
                <w:szCs w:val="24"/>
                <w:lang w:eastAsia="zh-CN"/>
              </w:rPr>
            </w:pPr>
          </w:p>
          <w:p>
            <w:pPr>
              <w:suppressAutoHyphens/>
              <w:autoSpaceDN w:val="0"/>
              <w:spacing w:after="0" w:line="240" w:lineRule="auto"/>
              <w:jc w:val="center"/>
              <w:textAlignment w:val="baseline"/>
              <w:rPr>
                <w:rFonts w:ascii="Arial" w:hAnsi="Arial" w:cs="Arial"/>
                <w:color w:val="000000"/>
                <w:sz w:val="24"/>
                <w:szCs w:val="24"/>
                <w:lang w:eastAsia="zh-CN"/>
              </w:rPr>
            </w:pPr>
          </w:p>
          <w:p>
            <w:pPr>
              <w:suppressAutoHyphens/>
              <w:autoSpaceDN w:val="0"/>
              <w:spacing w:after="0" w:line="240" w:lineRule="auto"/>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Recurso  de acogida </w:t>
            </w:r>
          </w:p>
        </w:tc>
        <w:tc>
          <w:tcPr>
            <w:tcW w:w="4791" w:type="dxa"/>
          </w:tcPr>
          <w:p>
            <w:pPr>
              <w:suppressAutoHyphens/>
              <w:autoSpaceDN w:val="0"/>
              <w:spacing w:after="0"/>
              <w:textAlignment w:val="baseline"/>
              <w:rPr>
                <w:rFonts w:ascii="Arial" w:hAnsi="Arial" w:cs="Arial"/>
                <w:color w:val="000000" w:themeColor="text1"/>
                <w:sz w:val="24"/>
                <w:szCs w:val="24"/>
                <w:lang w:eastAsia="zh-CN"/>
              </w:rPr>
            </w:pPr>
          </w:p>
          <w:p>
            <w:pPr>
              <w:suppressAutoHyphens/>
              <w:autoSpaceDN w:val="0"/>
              <w:spacing w:after="0"/>
              <w:jc w:val="center"/>
              <w:textAlignment w:val="baseline"/>
              <w:rPr>
                <w:rFonts w:ascii="Arial" w:hAnsi="Arial" w:cs="Arial"/>
                <w:color w:val="000000" w:themeColor="text1"/>
                <w:sz w:val="24"/>
                <w:szCs w:val="24"/>
                <w:lang w:eastAsia="zh-CN"/>
              </w:rPr>
            </w:pPr>
          </w:p>
          <w:p>
            <w:pPr>
              <w:suppressAutoHyphens/>
              <w:autoSpaceDN w:val="0"/>
              <w:spacing w:after="0"/>
              <w:jc w:val="center"/>
              <w:textAlignment w:val="baseline"/>
              <w:rPr>
                <w:rFonts w:ascii="Arial" w:hAnsi="Arial" w:cs="Arial"/>
                <w:color w:val="000000" w:themeColor="text1"/>
                <w:sz w:val="24"/>
                <w:szCs w:val="24"/>
                <w:lang w:eastAsia="zh-CN"/>
              </w:rPr>
            </w:pPr>
          </w:p>
          <w:p>
            <w:pPr>
              <w:suppressAutoHyphens/>
              <w:autoSpaceDN w:val="0"/>
              <w:spacing w:after="0"/>
              <w:jc w:val="center"/>
              <w:textAlignment w:val="baseline"/>
              <w:rPr>
                <w:rFonts w:ascii="Arial" w:hAnsi="Arial" w:cs="Arial"/>
                <w:color w:val="000000" w:themeColor="text1"/>
                <w:sz w:val="24"/>
                <w:szCs w:val="24"/>
                <w:lang w:eastAsia="zh-CN"/>
              </w:rPr>
            </w:pPr>
          </w:p>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Celebración de cumpleaños de las mujeres. Se realizan un total de 7 celebraciones. </w:t>
            </w:r>
          </w:p>
          <w:p>
            <w:pPr>
              <w:tabs>
                <w:tab w:val="left" w:pos="1808"/>
              </w:tabs>
              <w:rPr>
                <w:rFonts w:ascii="Arial" w:hAnsi="Arial" w:cs="Arial"/>
                <w:sz w:val="24"/>
                <w:szCs w:val="24"/>
                <w:lang w:eastAsia="zh-CN"/>
              </w:rPr>
            </w:pPr>
          </w:p>
        </w:tc>
      </w:tr>
      <w:tr>
        <w:tc>
          <w:tcPr>
            <w:tcW w:w="1538"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Sábados, domingos y festivos </w:t>
            </w:r>
          </w:p>
        </w:tc>
        <w:tc>
          <w:tcPr>
            <w:tcW w:w="2154"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Participan la mayoría de mujeres que han estado acogidas en los distintos momentos </w:t>
            </w:r>
          </w:p>
        </w:tc>
        <w:tc>
          <w:tcPr>
            <w:tcW w:w="1123"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Recurso de acogida </w:t>
            </w:r>
          </w:p>
        </w:tc>
        <w:tc>
          <w:tcPr>
            <w:tcW w:w="4791" w:type="dxa"/>
          </w:tcPr>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Cine fórum (el equipo educativo incorpora esta actividad como herramienta para compartir y fomentar la unión y cohesión grupal).  </w:t>
            </w:r>
          </w:p>
        </w:tc>
      </w:tr>
      <w:tr>
        <w:tc>
          <w:tcPr>
            <w:tcW w:w="1538"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Actividad realizada frecuentemente </w:t>
            </w:r>
          </w:p>
        </w:tc>
        <w:tc>
          <w:tcPr>
            <w:tcW w:w="2154"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Participan la mayoría de mujeres que han estado acogidas en los distintos momentos</w:t>
            </w:r>
          </w:p>
        </w:tc>
        <w:tc>
          <w:tcPr>
            <w:tcW w:w="1123"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Recurso de acogida</w:t>
            </w:r>
          </w:p>
        </w:tc>
        <w:tc>
          <w:tcPr>
            <w:tcW w:w="4791" w:type="dxa"/>
          </w:tcPr>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Repostería con la finalidad de compartir espacios de convivencia. </w:t>
            </w:r>
          </w:p>
        </w:tc>
      </w:tr>
      <w:tr>
        <w:tc>
          <w:tcPr>
            <w:tcW w:w="1538"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Asambleas:</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28/01/2025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25/02/2025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25/03/2025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02/05/2025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10/06/2025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14/08/2025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26/09/2025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31/10/2025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t>12/11/2025</w:t>
            </w:r>
          </w:p>
          <w:p>
            <w:pPr>
              <w:numPr>
                <w:ilvl w:val="0"/>
                <w:numId w:val="73"/>
              </w:numPr>
              <w:suppressAutoHyphens/>
              <w:autoSpaceDN w:val="0"/>
              <w:spacing w:after="0"/>
              <w:contextualSpacing/>
              <w:jc w:val="both"/>
              <w:textAlignment w:val="baseline"/>
              <w:rPr>
                <w:rFonts w:ascii="Arial" w:hAnsi="Arial" w:cs="Arial"/>
                <w:color w:val="000000"/>
                <w:sz w:val="24"/>
                <w:szCs w:val="24"/>
                <w:lang w:eastAsia="zh-CN"/>
              </w:rPr>
            </w:pPr>
            <w:r>
              <w:rPr>
                <w:rFonts w:ascii="Arial" w:hAnsi="Arial" w:cs="Arial"/>
                <w:color w:val="000000"/>
                <w:sz w:val="24"/>
                <w:szCs w:val="24"/>
                <w:lang w:eastAsia="zh-CN"/>
              </w:rPr>
              <w:lastRenderedPageBreak/>
              <w:t>16/12/2025</w:t>
            </w:r>
          </w:p>
          <w:p>
            <w:pPr>
              <w:suppressAutoHyphens/>
              <w:autoSpaceDN w:val="0"/>
              <w:spacing w:after="0"/>
              <w:jc w:val="both"/>
              <w:textAlignment w:val="baseline"/>
              <w:rPr>
                <w:rFonts w:ascii="Arial" w:hAnsi="Arial" w:cs="Arial"/>
                <w:color w:val="000000"/>
                <w:sz w:val="24"/>
                <w:szCs w:val="24"/>
                <w:lang w:eastAsia="zh-CN"/>
              </w:rPr>
            </w:pPr>
          </w:p>
        </w:tc>
        <w:tc>
          <w:tcPr>
            <w:tcW w:w="2154" w:type="dxa"/>
          </w:tcPr>
          <w:p>
            <w:pPr>
              <w:suppressAutoHyphens/>
              <w:autoSpaceDN w:val="0"/>
              <w:spacing w:after="0"/>
              <w:jc w:val="center"/>
              <w:textAlignment w:val="baseline"/>
              <w:rPr>
                <w:rFonts w:ascii="Arial" w:hAnsi="Arial" w:cs="Arial"/>
                <w:color w:val="000000"/>
                <w:sz w:val="24"/>
                <w:szCs w:val="24"/>
                <w:lang w:eastAsia="zh-CN"/>
              </w:rPr>
            </w:pP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3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10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6 mujeres </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8 mujeres</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6 mujeres </w:t>
            </w:r>
          </w:p>
          <w:p>
            <w:pPr>
              <w:suppressAutoHyphens/>
              <w:autoSpaceDN w:val="0"/>
              <w:spacing w:after="0"/>
              <w:jc w:val="center"/>
              <w:textAlignment w:val="baseline"/>
              <w:rPr>
                <w:rFonts w:ascii="Arial" w:hAnsi="Arial" w:cs="Arial"/>
                <w:color w:val="000000"/>
                <w:sz w:val="24"/>
                <w:szCs w:val="24"/>
                <w:lang w:eastAsia="zh-CN"/>
              </w:rPr>
            </w:pPr>
          </w:p>
          <w:p>
            <w:pPr>
              <w:suppressAutoHyphens/>
              <w:autoSpaceDN w:val="0"/>
              <w:spacing w:after="0"/>
              <w:jc w:val="center"/>
              <w:textAlignment w:val="baseline"/>
              <w:rPr>
                <w:rFonts w:ascii="Arial" w:hAnsi="Arial" w:cs="Arial"/>
                <w:color w:val="000000"/>
                <w:sz w:val="24"/>
                <w:szCs w:val="24"/>
                <w:lang w:eastAsia="zh-CN"/>
              </w:rPr>
            </w:pPr>
          </w:p>
        </w:tc>
        <w:tc>
          <w:tcPr>
            <w:tcW w:w="1123" w:type="dxa"/>
          </w:tcPr>
          <w:p>
            <w:pPr>
              <w:suppressAutoHyphens/>
              <w:autoSpaceDN w:val="0"/>
              <w:spacing w:after="0"/>
              <w:jc w:val="center"/>
              <w:textAlignment w:val="baseline"/>
              <w:rPr>
                <w:rFonts w:ascii="Arial" w:hAnsi="Arial" w:cs="Arial"/>
                <w:color w:val="000000"/>
                <w:sz w:val="24"/>
                <w:szCs w:val="24"/>
                <w:lang w:eastAsia="zh-CN"/>
              </w:rPr>
            </w:pP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Espacio de oficinas </w:t>
            </w:r>
          </w:p>
        </w:tc>
        <w:tc>
          <w:tcPr>
            <w:tcW w:w="4791" w:type="dxa"/>
          </w:tcPr>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Se han realizado 10 espacios de Asambleas con las mujeres para abordar temas relacionados con la convivencia o aspectos que necesitan reforzarse para garantizar el buen funcionamiento del recurso alojativo. </w:t>
            </w:r>
          </w:p>
        </w:tc>
      </w:tr>
      <w:tr>
        <w:tc>
          <w:tcPr>
            <w:tcW w:w="1538" w:type="dxa"/>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Fiesta del día de los “finaos” y Halloween </w:t>
            </w:r>
          </w:p>
        </w:tc>
        <w:tc>
          <w:tcPr>
            <w:tcW w:w="2154"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5 mujeres </w:t>
            </w:r>
          </w:p>
        </w:tc>
        <w:tc>
          <w:tcPr>
            <w:tcW w:w="1123" w:type="dxa"/>
            <w:shd w:val="clear" w:color="auto" w:fill="auto"/>
          </w:tcPr>
          <w:p>
            <w:pPr>
              <w:suppressAutoHyphens/>
              <w:autoSpaceDN w:val="0"/>
              <w:spacing w:after="0"/>
              <w:jc w:val="center"/>
              <w:textAlignment w:val="baseline"/>
              <w:rPr>
                <w:rFonts w:ascii="Arial" w:hAnsi="Arial" w:cs="Arial"/>
                <w:color w:val="000000"/>
                <w:sz w:val="24"/>
                <w:szCs w:val="24"/>
                <w:lang w:eastAsia="zh-CN"/>
              </w:rPr>
            </w:pPr>
          </w:p>
        </w:tc>
        <w:tc>
          <w:tcPr>
            <w:tcW w:w="4791" w:type="dxa"/>
            <w:shd w:val="clear" w:color="auto" w:fill="auto"/>
          </w:tcPr>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Realización de maquillaje artístico y merienda con la intención de dar a conocer las costumbres culturales de cada país y vivencias propias.</w:t>
            </w:r>
          </w:p>
        </w:tc>
      </w:tr>
      <w:tr>
        <w:tc>
          <w:tcPr>
            <w:tcW w:w="1538" w:type="dxa"/>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Merienda navideña </w:t>
            </w:r>
          </w:p>
        </w:tc>
        <w:tc>
          <w:tcPr>
            <w:tcW w:w="2154"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 Mujeres y 1 menor</w:t>
            </w:r>
          </w:p>
        </w:tc>
        <w:tc>
          <w:tcPr>
            <w:tcW w:w="1123"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Encuentro en Tomás Morales</w:t>
            </w:r>
          </w:p>
        </w:tc>
        <w:tc>
          <w:tcPr>
            <w:tcW w:w="4791" w:type="dxa"/>
            <w:shd w:val="clear" w:color="auto" w:fill="auto"/>
          </w:tcPr>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Merienda compartida entre las mujeres y menor residente en el recurso,  profesionales y  voluntariado.</w:t>
            </w:r>
          </w:p>
        </w:tc>
      </w:tr>
      <w:tr>
        <w:tc>
          <w:tcPr>
            <w:tcW w:w="1538" w:type="dxa"/>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Decoración navideña </w:t>
            </w:r>
          </w:p>
        </w:tc>
        <w:tc>
          <w:tcPr>
            <w:tcW w:w="2154"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 mujeres y 1 menor</w:t>
            </w:r>
          </w:p>
        </w:tc>
        <w:tc>
          <w:tcPr>
            <w:tcW w:w="1123"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Recurso de acogida </w:t>
            </w:r>
          </w:p>
        </w:tc>
        <w:tc>
          <w:tcPr>
            <w:tcW w:w="4791" w:type="dxa"/>
            <w:shd w:val="clear" w:color="auto" w:fill="auto"/>
          </w:tcPr>
          <w:p>
            <w:pPr>
              <w:suppressAutoHyphens/>
              <w:autoSpaceDN w:val="0"/>
              <w:spacing w:after="0"/>
              <w:jc w:val="center"/>
              <w:textAlignment w:val="baseline"/>
              <w:rPr>
                <w:rFonts w:ascii="Arial" w:hAnsi="Arial" w:cs="Arial"/>
                <w:color w:val="000000" w:themeColor="text1"/>
                <w:sz w:val="24"/>
                <w:szCs w:val="24"/>
                <w:lang w:eastAsia="zh-CN"/>
              </w:rPr>
            </w:pPr>
            <w:r>
              <w:rPr>
                <w:rFonts w:ascii="Arial" w:hAnsi="Arial" w:cs="Arial"/>
                <w:color w:val="000000" w:themeColor="text1"/>
                <w:sz w:val="24"/>
                <w:szCs w:val="24"/>
                <w:lang w:eastAsia="zh-CN"/>
              </w:rPr>
              <w:t>Colocación y decoración navideña del hogar.</w:t>
            </w:r>
          </w:p>
        </w:tc>
      </w:tr>
    </w:tbl>
    <w:p>
      <w:pPr>
        <w:suppressAutoHyphens/>
        <w:autoSpaceDN w:val="0"/>
        <w:spacing w:after="0"/>
        <w:jc w:val="both"/>
        <w:textAlignment w:val="baseline"/>
        <w:rPr>
          <w:rFonts w:ascii="Arial" w:hAnsi="Arial" w:cs="Arial"/>
          <w:color w:val="FF0000"/>
          <w:sz w:val="24"/>
          <w:szCs w:val="24"/>
          <w:lang w:eastAsia="zh-CN"/>
        </w:rPr>
      </w:pPr>
    </w:p>
    <w:p>
      <w:pPr>
        <w:suppressAutoHyphens/>
        <w:autoSpaceDN w:val="0"/>
        <w:spacing w:after="0"/>
        <w:jc w:val="both"/>
        <w:textAlignment w:val="baseline"/>
        <w:rPr>
          <w:rFonts w:ascii="Arial" w:hAnsi="Arial" w:cs="Arial"/>
          <w:b/>
          <w:sz w:val="24"/>
          <w:szCs w:val="24"/>
          <w:lang w:eastAsia="zh-CN"/>
        </w:rPr>
      </w:pPr>
    </w:p>
    <w:p>
      <w:pPr>
        <w:suppressAutoHyphens/>
        <w:autoSpaceDN w:val="0"/>
        <w:spacing w:after="0"/>
        <w:jc w:val="both"/>
        <w:textAlignment w:val="baseline"/>
        <w:rPr>
          <w:rFonts w:ascii="Arial" w:hAnsi="Arial" w:cs="Arial"/>
          <w:b/>
          <w:sz w:val="24"/>
          <w:szCs w:val="24"/>
          <w:lang w:eastAsia="zh-CN"/>
        </w:rPr>
      </w:pPr>
      <w:r>
        <w:rPr>
          <w:rFonts w:ascii="Arial" w:hAnsi="Arial" w:cs="Arial"/>
          <w:b/>
          <w:sz w:val="24"/>
          <w:szCs w:val="24"/>
          <w:lang w:eastAsia="zh-CN"/>
        </w:rPr>
        <w:t>ACCIONES FORMATIVAS QUE IMPARTE EL EQUIPO EDUCATIVO Y ENTIDADES EXTERNAS:</w:t>
      </w:r>
    </w:p>
    <w:p>
      <w:pPr>
        <w:suppressAutoHyphens/>
        <w:autoSpaceDN w:val="0"/>
        <w:spacing w:after="0"/>
        <w:jc w:val="both"/>
        <w:textAlignment w:val="baseline"/>
        <w:rPr>
          <w:rFonts w:ascii="Arial" w:hAnsi="Arial" w:cs="Arial"/>
          <w:b/>
          <w:sz w:val="24"/>
          <w:szCs w:val="24"/>
          <w:lang w:eastAsia="zh-CN"/>
        </w:rPr>
      </w:pPr>
    </w:p>
    <w:p>
      <w:pPr>
        <w:spacing w:after="0" w:line="360" w:lineRule="auto"/>
        <w:jc w:val="both"/>
        <w:rPr>
          <w:rFonts w:ascii="Arial" w:hAnsi="Arial" w:cs="Arial"/>
          <w:sz w:val="24"/>
          <w:szCs w:val="24"/>
        </w:rPr>
      </w:pPr>
      <w:r>
        <w:rPr>
          <w:rFonts w:ascii="Arial" w:hAnsi="Arial" w:cs="Arial"/>
          <w:sz w:val="24"/>
          <w:szCs w:val="24"/>
        </w:rPr>
        <w:t xml:space="preserve">El diseño e implementación de los talleres, se basan en las necesidades detectadas por las Educadoras Sociales y/o otros profesionales del Proyecto Casa de Acogida, así como las propuestas que realizan las participantes, teniendo en cuenta dos ejes fundamentales: por un lado, la adquisición y fortalecimiento de competencias para la vida (personales, sociales, comunicativas, emocionales, tecnológicas…). Y, por otro lado, para la promoción de la cohesión grupal y las bases para una buena convivencia.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La realidad cambiante del recurso y la heterogeneidad del grupo que lo compone (diversidad de niveles educativos, lugares de procedencia, edades, estado psico-emocional…), influyen en la selección de contenido, que está en constante adaptación.  Al mismo tiempo, esta misma heterogeneidad, enriquece la acción formativa y a las personas que forman parte de ella.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Durante el año 2025 se han impartido los siguientes talleres educativos: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p>
    <w:p>
      <w:pPr>
        <w:suppressAutoHyphens/>
        <w:autoSpaceDN w:val="0"/>
        <w:spacing w:after="0"/>
        <w:jc w:val="both"/>
        <w:textAlignment w:val="baseline"/>
        <w:rPr>
          <w:rFonts w:ascii="Arial" w:hAnsi="Arial" w:cs="Arial"/>
          <w:sz w:val="24"/>
          <w:szCs w:val="24"/>
          <w:lang w:eastAsia="zh-CN"/>
        </w:rPr>
      </w:pPr>
    </w:p>
    <w:tbl>
      <w:tblPr>
        <w:tblStyle w:val="Tablaconcuadrcula261"/>
        <w:tblW w:w="9464" w:type="dxa"/>
        <w:tblLook w:val="04A0" w:firstRow="1" w:lastRow="0" w:firstColumn="1" w:lastColumn="0" w:noHBand="0" w:noVBand="1"/>
      </w:tblPr>
      <w:tblGrid>
        <w:gridCol w:w="1151"/>
        <w:gridCol w:w="2039"/>
        <w:gridCol w:w="1710"/>
        <w:gridCol w:w="1257"/>
        <w:gridCol w:w="3307"/>
      </w:tblGrid>
      <w:tr>
        <w:trPr>
          <w:trHeight w:val="166"/>
        </w:trPr>
        <w:tc>
          <w:tcPr>
            <w:tcW w:w="9464" w:type="dxa"/>
            <w:gridSpan w:val="5"/>
            <w:shd w:val="clear" w:color="auto" w:fill="7030A0"/>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lastRenderedPageBreak/>
              <w:t>Actividades y talleres impartidos por el Equipo Educativo</w:t>
            </w:r>
          </w:p>
          <w:p>
            <w:pPr>
              <w:suppressAutoHyphens/>
              <w:autoSpaceDN w:val="0"/>
              <w:spacing w:after="0"/>
              <w:textAlignment w:val="baseline"/>
              <w:rPr>
                <w:rFonts w:ascii="Arial" w:hAnsi="Arial" w:cs="Arial"/>
                <w:b/>
                <w:color w:val="F79646" w:themeColor="accent6"/>
                <w:sz w:val="24"/>
                <w:szCs w:val="24"/>
                <w:lang w:eastAsia="zh-CN"/>
              </w:rPr>
            </w:pPr>
          </w:p>
        </w:tc>
      </w:tr>
      <w:tr>
        <w:trPr>
          <w:trHeight w:val="731"/>
        </w:trPr>
        <w:tc>
          <w:tcPr>
            <w:tcW w:w="1053" w:type="dxa"/>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Fecha</w:t>
            </w:r>
          </w:p>
        </w:tc>
        <w:tc>
          <w:tcPr>
            <w:tcW w:w="2082" w:type="dxa"/>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 xml:space="preserve">Titulo </w:t>
            </w:r>
          </w:p>
        </w:tc>
        <w:tc>
          <w:tcPr>
            <w:tcW w:w="1308" w:type="dxa"/>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Nº participantes</w:t>
            </w:r>
          </w:p>
        </w:tc>
        <w:tc>
          <w:tcPr>
            <w:tcW w:w="1101" w:type="dxa"/>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Lugar</w:t>
            </w:r>
          </w:p>
        </w:tc>
        <w:tc>
          <w:tcPr>
            <w:tcW w:w="3920" w:type="dxa"/>
            <w:vAlign w:val="center"/>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Descripción de la actividad o contenidos formativos</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08/01/25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La importancia del orden</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Recurso alojativo</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1ª Sesión: Actividad práctica en algunos espacios del recurso, con posterior valoración sobre los beneficios del orden y la limpieza.</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15/01/25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Atendiendo las necesidades de la casa.</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3</w:t>
            </w:r>
          </w:p>
        </w:tc>
        <w:tc>
          <w:tcPr>
            <w:tcW w:w="1101" w:type="dxa"/>
          </w:tcPr>
          <w:p>
            <w:pPr>
              <w:jc w:val="center"/>
              <w:rPr>
                <w:rFonts w:ascii="Arial" w:hAnsi="Arial" w:cs="Arial"/>
                <w:sz w:val="24"/>
                <w:szCs w:val="24"/>
              </w:rPr>
            </w:pPr>
            <w:r>
              <w:rPr>
                <w:rFonts w:ascii="Arial" w:hAnsi="Arial" w:cs="Arial"/>
                <w:color w:val="000000"/>
                <w:sz w:val="24"/>
                <w:szCs w:val="24"/>
                <w:lang w:eastAsia="zh-CN"/>
              </w:rPr>
              <w:t>Recurso alojativo</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2ª sesión: Continuación del taller “La importancia del orden”, finalizando la actividad con un ejercicio de respiración, concentración y atención plena. </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29/01/25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Gestión de los recursos:  del hogar-Los alimentos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tcPr>
          <w:p>
            <w:pPr>
              <w:jc w:val="center"/>
              <w:rPr>
                <w:rFonts w:ascii="Arial" w:hAnsi="Arial" w:cs="Arial"/>
                <w:sz w:val="24"/>
                <w:szCs w:val="24"/>
              </w:rPr>
            </w:pPr>
            <w:r>
              <w:rPr>
                <w:rFonts w:ascii="Arial" w:hAnsi="Arial" w:cs="Arial"/>
                <w:sz w:val="24"/>
                <w:szCs w:val="24"/>
              </w:rPr>
              <w:t>Centro de día</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Fecha de consumo preferente vs caducidad de los alimentos; técnicas de conservación, manipulación y aprovechamiento de los alimentos. </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05/02/25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Gestión de los recursos: Salud financiera I:</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3</w:t>
            </w:r>
          </w:p>
        </w:tc>
        <w:tc>
          <w:tcPr>
            <w:tcW w:w="1101" w:type="dxa"/>
          </w:tcPr>
          <w:p>
            <w:pPr>
              <w:jc w:val="center"/>
              <w:rPr>
                <w:rFonts w:ascii="Arial" w:hAnsi="Arial" w:cs="Arial"/>
                <w:sz w:val="24"/>
                <w:szCs w:val="24"/>
              </w:rPr>
            </w:pPr>
            <w:r>
              <w:rPr>
                <w:rFonts w:ascii="Arial" w:hAnsi="Arial" w:cs="Arial"/>
                <w:sz w:val="24"/>
                <w:szCs w:val="24"/>
                <w:lang w:val="pt-PT"/>
              </w:rPr>
              <w:t>Biblioteca Insular de Gran Canaria</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Educación financiera. </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Eficacia, eficiencia y sostenibilidad económica, solvencia, independencia económica, gastos hormiga, etc.</w:t>
            </w:r>
          </w:p>
        </w:tc>
      </w:tr>
      <w:tr>
        <w:trPr>
          <w:trHeight w:val="1021"/>
        </w:trP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11/02/25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Gestión de los recursos II: Economía financiera –El presupuesto.</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w:t>
            </w:r>
          </w:p>
        </w:tc>
        <w:tc>
          <w:tcPr>
            <w:tcW w:w="1101" w:type="dxa"/>
          </w:tcPr>
          <w:p>
            <w:pPr>
              <w:jc w:val="center"/>
              <w:rPr>
                <w:rFonts w:ascii="Arial" w:hAnsi="Arial" w:cs="Arial"/>
                <w:sz w:val="24"/>
                <w:szCs w:val="24"/>
                <w:lang w:val="pt-PT"/>
              </w:rPr>
            </w:pPr>
            <w:r>
              <w:rPr>
                <w:rFonts w:ascii="Arial" w:hAnsi="Arial" w:cs="Arial"/>
                <w:sz w:val="24"/>
                <w:szCs w:val="24"/>
                <w:lang w:val="pt-PT"/>
              </w:rPr>
              <w:t>Biblioteca Insular de Gran Canaria</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Ingresos vs gastos. </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El presupuesto</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Gastos del hogar.</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19/02/25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Conociendo nuestro carnaval</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tcPr>
          <w:p>
            <w:pPr>
              <w:jc w:val="center"/>
              <w:rPr>
                <w:rFonts w:ascii="Arial" w:hAnsi="Arial" w:cs="Arial"/>
                <w:sz w:val="24"/>
                <w:szCs w:val="24"/>
              </w:rPr>
            </w:pPr>
            <w:r>
              <w:rPr>
                <w:rFonts w:ascii="Arial" w:hAnsi="Arial" w:cs="Arial"/>
                <w:sz w:val="24"/>
                <w:szCs w:val="24"/>
                <w:lang w:val="pt-PT"/>
              </w:rPr>
              <w:t>Biblioteca Insular de Gran Canaria</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Historia y desarrollo del carnaval de la ciudad, como actividad de interés cultural. </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Creación de una manualidad: antifaz.</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El menú semanal: planificación saludable y la gestión de gastos en alimentación.</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1</w:t>
            </w:r>
          </w:p>
        </w:tc>
        <w:tc>
          <w:tcPr>
            <w:tcW w:w="1101" w:type="dxa"/>
          </w:tcPr>
          <w:p>
            <w:pPr>
              <w:jc w:val="center"/>
              <w:rPr>
                <w:rFonts w:ascii="Arial" w:hAnsi="Arial" w:cs="Arial"/>
                <w:sz w:val="24"/>
                <w:szCs w:val="24"/>
              </w:rPr>
            </w:pPr>
            <w:r>
              <w:rPr>
                <w:rFonts w:ascii="Arial" w:hAnsi="Arial" w:cs="Arial"/>
                <w:sz w:val="24"/>
                <w:szCs w:val="24"/>
              </w:rPr>
              <w:t xml:space="preserve">Centro de día </w:t>
            </w:r>
          </w:p>
        </w:tc>
        <w:tc>
          <w:tcPr>
            <w:tcW w:w="3920" w:type="dxa"/>
          </w:tcPr>
          <w:p>
            <w:pPr>
              <w:widowControl w:val="0"/>
              <w:spacing w:after="0" w:line="240" w:lineRule="auto"/>
              <w:jc w:val="both"/>
              <w:rPr>
                <w:rFonts w:ascii="Arial" w:hAnsi="Arial" w:cs="Arial"/>
                <w:sz w:val="24"/>
                <w:szCs w:val="24"/>
                <w:lang w:eastAsia="zh-CN"/>
              </w:rPr>
            </w:pPr>
            <w:r>
              <w:rPr>
                <w:rFonts w:ascii="Arial" w:hAnsi="Arial" w:cs="Arial"/>
                <w:sz w:val="24"/>
                <w:szCs w:val="24"/>
                <w:lang w:eastAsia="zh-CN"/>
              </w:rPr>
              <w:t>Pasos previos a la elaboración del menú semanal.</w:t>
            </w:r>
          </w:p>
          <w:p>
            <w:pPr>
              <w:widowControl w:val="0"/>
              <w:spacing w:after="0" w:line="240" w:lineRule="auto"/>
              <w:jc w:val="both"/>
              <w:rPr>
                <w:rFonts w:ascii="Arial" w:hAnsi="Arial" w:cs="Arial"/>
                <w:sz w:val="24"/>
                <w:szCs w:val="24"/>
                <w:lang w:eastAsia="zh-CN"/>
              </w:rPr>
            </w:pPr>
            <w:r>
              <w:rPr>
                <w:rFonts w:ascii="Arial" w:hAnsi="Arial" w:cs="Arial"/>
                <w:sz w:val="24"/>
                <w:szCs w:val="24"/>
                <w:lang w:eastAsia="zh-CN"/>
              </w:rPr>
              <w:t>Pautas para diseñar menús saludables. Aprovechamiento de un mismo alimento para diversificar el menú.</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Buenas prácticas para la cesta de la compra.</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02/04/25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Evaluación final de trimestre</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tcPr>
          <w:p>
            <w:pPr>
              <w:jc w:val="center"/>
              <w:rPr>
                <w:rFonts w:ascii="Arial" w:hAnsi="Arial" w:cs="Arial"/>
                <w:sz w:val="24"/>
                <w:szCs w:val="24"/>
              </w:rPr>
            </w:pPr>
            <w:r>
              <w:rPr>
                <w:rFonts w:ascii="Arial" w:hAnsi="Arial" w:cs="Arial"/>
                <w:sz w:val="24"/>
                <w:szCs w:val="24"/>
              </w:rPr>
              <w:t xml:space="preserve">Centro de día </w:t>
            </w:r>
          </w:p>
        </w:tc>
        <w:tc>
          <w:tcPr>
            <w:tcW w:w="3920" w:type="dxa"/>
          </w:tcPr>
          <w:p>
            <w:pPr>
              <w:widowControl w:val="0"/>
              <w:spacing w:after="0" w:line="240" w:lineRule="auto"/>
              <w:jc w:val="both"/>
              <w:rPr>
                <w:rFonts w:ascii="Arial" w:hAnsi="Arial" w:cs="Arial"/>
                <w:strike/>
                <w:sz w:val="24"/>
                <w:szCs w:val="24"/>
                <w:lang w:eastAsia="zh-CN"/>
              </w:rPr>
            </w:pPr>
            <w:r>
              <w:rPr>
                <w:rFonts w:ascii="Arial" w:hAnsi="Arial" w:cs="Arial"/>
                <w:sz w:val="24"/>
                <w:szCs w:val="24"/>
                <w:lang w:eastAsia="zh-CN"/>
              </w:rPr>
              <w:t xml:space="preserve">Repaso de los contenidos trabajados en sesiones anteriores y cumplimiento del cuestionario de evaluación del bloque temático </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09/04/25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Mi oportunidad de enseñar</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tcPr>
          <w:p>
            <w:pPr>
              <w:rPr>
                <w:rFonts w:ascii="Arial" w:hAnsi="Arial" w:cs="Arial"/>
                <w:sz w:val="24"/>
                <w:szCs w:val="24"/>
              </w:rPr>
            </w:pPr>
            <w:r>
              <w:rPr>
                <w:rFonts w:ascii="Arial" w:hAnsi="Arial" w:cs="Arial"/>
                <w:sz w:val="24"/>
                <w:szCs w:val="24"/>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Preparación de taller individual por cada participante sobre una temática de interés, para compartir y exponer en el grupo.</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p>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23/04/25</w:t>
            </w:r>
          </w:p>
        </w:tc>
        <w:tc>
          <w:tcPr>
            <w:tcW w:w="2082" w:type="dxa"/>
          </w:tcPr>
          <w:p>
            <w:pPr>
              <w:suppressAutoHyphens/>
              <w:autoSpaceDN w:val="0"/>
              <w:spacing w:after="0"/>
              <w:jc w:val="center"/>
              <w:textAlignment w:val="baseline"/>
              <w:rPr>
                <w:rFonts w:ascii="Arial" w:hAnsi="Arial" w:cs="Arial"/>
                <w:color w:val="000000"/>
                <w:sz w:val="24"/>
                <w:szCs w:val="24"/>
                <w:lang w:eastAsia="zh-CN"/>
              </w:rPr>
            </w:pP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Presentación transitando hacia La inserción</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tcPr>
          <w:p>
            <w:pPr>
              <w:rPr>
                <w:rFonts w:ascii="Arial" w:hAnsi="Arial" w:cs="Arial"/>
                <w:sz w:val="24"/>
                <w:szCs w:val="24"/>
              </w:rPr>
            </w:pPr>
          </w:p>
          <w:p>
            <w:pPr>
              <w:rPr>
                <w:rFonts w:ascii="Arial" w:hAnsi="Arial" w:cs="Arial"/>
                <w:sz w:val="24"/>
                <w:szCs w:val="24"/>
              </w:rPr>
            </w:pPr>
            <w:r>
              <w:rPr>
                <w:rFonts w:ascii="Arial" w:hAnsi="Arial" w:cs="Arial"/>
                <w:sz w:val="24"/>
                <w:szCs w:val="24"/>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Se trata de un proyecto formativo pre-laboral, que forma parte del Programa Oblatas Daniela y en el que participan también algunas de las mujeres residentes.</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30/04/25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Género-conociendo conceptos claves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Conceptos claves de igualdad de género, roles y estereotipos, discriminación por género, lenguaje sexista y las diferencia entre : género y sexo.</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07/05/25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Deconstruyendo roles de género y estereotipos sexistas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El taller consiste en explicar los agentes socializadores que influyen en los estereotipos. </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Repasar conceptos: igualdad de género, coeducación y corresponsabilidad</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lastRenderedPageBreak/>
              <w:t>21/05/25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La mujer a lo largo de la historia</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Breve descripción de la mujer a lo largo de la historia y en la actualidad.</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11/06/25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El feminismo</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Definición, distintas olas que caracterizan esta lucha y los mitos que existen a día de hoy sobre su fin.</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18/06/25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Mitos del amor romántico</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4</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Centro de día</w:t>
            </w:r>
          </w:p>
        </w:tc>
        <w:tc>
          <w:tcPr>
            <w:tcW w:w="3920" w:type="dxa"/>
            <w:shd w:val="clear" w:color="auto" w:fill="auto"/>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El objetivo principal del taller es desmitificar las creencias o mitos acerca del amor.</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02/07/25</w:t>
            </w:r>
          </w:p>
        </w:tc>
        <w:tc>
          <w:tcPr>
            <w:tcW w:w="2082"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Relaciones interpersonales  -Relaciones de pareja tóxicas vs sanas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3</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Se enmarca las relaciones de pareja en el ámbito de las relaciones interpersonales y conocer cómo influyen en ellas los contextos de socialización. Adquirir herramientas para reconocer dinámicas tóxicas en las relaciones de pareja y ofrecer estrategias para salir de éstas. </w:t>
            </w:r>
          </w:p>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Se explora en el concepto de amor propio y la autoestima, como elementos protectores y evitativos de relaciones tóxicas en el ámbito de la pareja.</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09/07/25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Violencia de género</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Conocer aspectos relevantes sobre la violencia de género, descripción de los contextos donde se ejerce y los factores de riesgo que influyen.</w:t>
            </w:r>
          </w:p>
        </w:tc>
      </w:tr>
      <w:tr>
        <w:tc>
          <w:tcPr>
            <w:tcW w:w="1053" w:type="dxa"/>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16/07/25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Orientación y</w:t>
            </w:r>
            <w:r>
              <w:rPr>
                <w:rFonts w:ascii="Arial" w:hAnsi="Arial" w:cs="Arial"/>
                <w:color w:val="000000"/>
                <w:sz w:val="24"/>
                <w:szCs w:val="24"/>
                <w:lang w:eastAsia="zh-CN"/>
              </w:rPr>
              <w:br/>
              <w:t xml:space="preserve"> recursos en las islas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Dar a conocer los  recursos existentes donde poder acudir en caso de sufrir violencia o presenciarla.</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23/07/25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Cierre del bloque:</w:t>
            </w:r>
          </w:p>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lastRenderedPageBreak/>
              <w:t>violencia de género</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lastRenderedPageBreak/>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 xml:space="preserve">Breve repaso por lo aprendido en los últimos talleres, ampliando </w:t>
            </w:r>
            <w:r>
              <w:rPr>
                <w:rFonts w:ascii="Arial" w:hAnsi="Arial" w:cs="Arial"/>
                <w:sz w:val="24"/>
                <w:szCs w:val="24"/>
                <w:lang w:eastAsia="zh-CN"/>
              </w:rPr>
              <w:lastRenderedPageBreak/>
              <w:t>conocimiento, creando un espacio de escucha y desahogo.</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lastRenderedPageBreak/>
              <w:t>03/09/25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Habilidades Sociales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tabs>
                <w:tab w:val="left" w:pos="5247"/>
              </w:tabs>
              <w:spacing w:after="0" w:line="240" w:lineRule="auto"/>
              <w:jc w:val="both"/>
              <w:rPr>
                <w:rFonts w:ascii="Arial" w:hAnsi="Arial" w:cs="Arial"/>
                <w:sz w:val="24"/>
                <w:szCs w:val="24"/>
                <w:lang w:val="es-ES_tradnl"/>
              </w:rPr>
            </w:pPr>
            <w:r>
              <w:rPr>
                <w:rFonts w:ascii="Arial" w:hAnsi="Arial" w:cs="Arial"/>
                <w:sz w:val="24"/>
                <w:szCs w:val="24"/>
                <w:lang w:eastAsia="zh-CN"/>
              </w:rPr>
              <w:t>Conceptos básicos relacionados con las habilidades sociales y actividades prácticas para interiorizar los contenidos.</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10/09/25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Resolución de conflictos</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tabs>
                <w:tab w:val="left" w:pos="5247"/>
              </w:tabs>
              <w:spacing w:after="0" w:line="240" w:lineRule="auto"/>
              <w:jc w:val="both"/>
              <w:rPr>
                <w:rFonts w:ascii="Arial" w:hAnsi="Arial" w:cs="Arial"/>
                <w:sz w:val="24"/>
                <w:szCs w:val="24"/>
                <w:lang w:eastAsia="zh-CN"/>
              </w:rPr>
            </w:pPr>
            <w:r>
              <w:rPr>
                <w:rFonts w:ascii="Arial" w:hAnsi="Arial" w:cs="Arial"/>
                <w:sz w:val="24"/>
                <w:szCs w:val="24"/>
                <w:lang w:eastAsia="zh-CN"/>
              </w:rPr>
              <w:t>Concepto, causas y tipos  de conflicto así como estrategias para su manejo y resolución.</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17/09/25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Estilos de comunicación</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tabs>
                <w:tab w:val="left" w:pos="5247"/>
              </w:tabs>
              <w:spacing w:after="0" w:line="240" w:lineRule="auto"/>
              <w:jc w:val="both"/>
              <w:rPr>
                <w:rFonts w:ascii="Arial" w:hAnsi="Arial" w:cs="Arial"/>
                <w:sz w:val="24"/>
                <w:szCs w:val="24"/>
                <w:lang w:eastAsia="zh-CN"/>
              </w:rPr>
            </w:pPr>
            <w:r>
              <w:rPr>
                <w:rFonts w:ascii="Arial" w:hAnsi="Arial" w:cs="Arial"/>
                <w:sz w:val="24"/>
                <w:szCs w:val="24"/>
                <w:lang w:eastAsia="zh-CN"/>
              </w:rPr>
              <w:t>Habilidades de comunicación verbal y no verbal  y estilos de comunicación.</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24/09/25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Relaciones interpersonales en el ámbito laboral</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2</w:t>
            </w:r>
          </w:p>
        </w:tc>
        <w:tc>
          <w:tcPr>
            <w:tcW w:w="1101" w:type="dxa"/>
            <w:vAlign w:val="center"/>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Centro de día </w:t>
            </w:r>
          </w:p>
        </w:tc>
        <w:tc>
          <w:tcPr>
            <w:tcW w:w="3920" w:type="dxa"/>
          </w:tcPr>
          <w:p>
            <w:pPr>
              <w:tabs>
                <w:tab w:val="left" w:pos="5247"/>
              </w:tabs>
              <w:spacing w:after="0" w:line="240" w:lineRule="auto"/>
              <w:jc w:val="both"/>
              <w:rPr>
                <w:rFonts w:ascii="Arial" w:hAnsi="Arial" w:cs="Arial"/>
                <w:sz w:val="24"/>
                <w:szCs w:val="24"/>
                <w:lang w:val="es-ES_tradnl"/>
              </w:rPr>
            </w:pPr>
            <w:r>
              <w:rPr>
                <w:rFonts w:ascii="Arial" w:hAnsi="Arial" w:cs="Arial"/>
                <w:sz w:val="24"/>
                <w:szCs w:val="24"/>
              </w:rPr>
              <w:t>Las relaciones interpersonales en el ámbito laboral y la gestión emocional en el contexto de trabajo. El trabajo en equipo, la comunicación efectiva, inteligencia emocional, etc.</w:t>
            </w:r>
          </w:p>
        </w:tc>
      </w:tr>
      <w:tr>
        <w:tc>
          <w:tcPr>
            <w:tcW w:w="1053"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26/11/25</w:t>
            </w:r>
          </w:p>
        </w:tc>
        <w:tc>
          <w:tcPr>
            <w:tcW w:w="2082" w:type="dxa"/>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Cierre, evaluación y conclusiones del bloque temático “Habilidades sociales y personales +  Cierre final de los talleres y evaluación final.</w:t>
            </w:r>
          </w:p>
        </w:tc>
        <w:tc>
          <w:tcPr>
            <w:tcW w:w="1308"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5</w:t>
            </w:r>
          </w:p>
        </w:tc>
        <w:tc>
          <w:tcPr>
            <w:tcW w:w="1101" w:type="dxa"/>
            <w:vAlign w:val="center"/>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Centro de día</w:t>
            </w:r>
          </w:p>
        </w:tc>
        <w:tc>
          <w:tcPr>
            <w:tcW w:w="3920"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Clausura de las actividades formativas previstas para el año, acompañada de evaluación y conclusiones por parte de las mujeres participantes.</w:t>
            </w:r>
          </w:p>
        </w:tc>
      </w:tr>
    </w:tbl>
    <w:p>
      <w:pPr>
        <w:suppressAutoHyphens/>
        <w:autoSpaceDN w:val="0"/>
        <w:spacing w:after="0"/>
        <w:jc w:val="both"/>
        <w:textAlignment w:val="baseline"/>
        <w:rPr>
          <w:rFonts w:ascii="Arial" w:hAnsi="Arial" w:cs="Arial"/>
          <w:color w:val="FF0000"/>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Cabe concretar que el número de participantes, no es el mismo que el número de residentes en las fechas en las que se impartieron las diferentes acciones formativas, siendo el principal motivo la incompatibilidad para asistir por motivos laborales o por estar realizando otras acciones formativas. En este espacio también participaron otras mujeres de otros proyectos del Programa, aunque solo se han señalado mujeres participantes residentes en la Casa de Acogida.</w:t>
      </w:r>
    </w:p>
    <w:p>
      <w:pPr>
        <w:suppressAutoHyphens/>
        <w:autoSpaceDN w:val="0"/>
        <w:spacing w:after="0"/>
        <w:jc w:val="both"/>
        <w:textAlignment w:val="baseline"/>
        <w:rPr>
          <w:rFonts w:ascii="Arial" w:hAnsi="Arial" w:cs="Arial"/>
          <w:color w:val="FF0000"/>
          <w:sz w:val="24"/>
          <w:szCs w:val="24"/>
          <w:lang w:eastAsia="zh-CN"/>
        </w:rPr>
      </w:pPr>
    </w:p>
    <w:tbl>
      <w:tblPr>
        <w:tblStyle w:val="Tablaconcuadrcula261"/>
        <w:tblW w:w="9464" w:type="dxa"/>
        <w:tblLook w:val="04A0" w:firstRow="1" w:lastRow="0" w:firstColumn="1" w:lastColumn="0" w:noHBand="0" w:noVBand="1"/>
      </w:tblPr>
      <w:tblGrid>
        <w:gridCol w:w="1831"/>
        <w:gridCol w:w="1657"/>
        <w:gridCol w:w="1710"/>
        <w:gridCol w:w="22"/>
        <w:gridCol w:w="1157"/>
        <w:gridCol w:w="3069"/>
        <w:gridCol w:w="18"/>
      </w:tblGrid>
      <w:tr>
        <w:trPr>
          <w:gridAfter w:val="1"/>
          <w:wAfter w:w="28" w:type="dxa"/>
          <w:trHeight w:val="166"/>
        </w:trPr>
        <w:tc>
          <w:tcPr>
            <w:tcW w:w="9436" w:type="dxa"/>
            <w:gridSpan w:val="6"/>
            <w:shd w:val="clear" w:color="auto" w:fill="7030A0"/>
          </w:tcPr>
          <w:p>
            <w:pPr>
              <w:suppressAutoHyphens/>
              <w:autoSpaceDN w:val="0"/>
              <w:spacing w:after="0"/>
              <w:jc w:val="center"/>
              <w:textAlignment w:val="baseline"/>
              <w:rPr>
                <w:rFonts w:ascii="Arial" w:hAnsi="Arial" w:cs="Arial"/>
                <w:b/>
                <w:color w:val="FFFFFF" w:themeColor="background1"/>
                <w:sz w:val="24"/>
                <w:szCs w:val="24"/>
                <w:lang w:eastAsia="zh-CN"/>
              </w:rPr>
            </w:pPr>
            <w:r>
              <w:rPr>
                <w:rFonts w:ascii="Arial" w:hAnsi="Arial" w:cs="Arial"/>
                <w:b/>
                <w:color w:val="FFFFFF" w:themeColor="background1"/>
                <w:sz w:val="24"/>
                <w:szCs w:val="24"/>
                <w:lang w:eastAsia="zh-CN"/>
              </w:rPr>
              <w:lastRenderedPageBreak/>
              <w:t xml:space="preserve">Actividades impartidas por entidades externas o voluntariado </w:t>
            </w:r>
          </w:p>
        </w:tc>
      </w:tr>
      <w:tr>
        <w:trPr>
          <w:gridAfter w:val="1"/>
          <w:wAfter w:w="28" w:type="dxa"/>
          <w:trHeight w:val="519"/>
        </w:trPr>
        <w:tc>
          <w:tcPr>
            <w:tcW w:w="1369" w:type="dxa"/>
            <w:shd w:val="clear" w:color="auto" w:fill="CCC0D9" w:themeFill="accent4" w:themeFillTint="66"/>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Taller</w:t>
            </w:r>
          </w:p>
        </w:tc>
        <w:tc>
          <w:tcPr>
            <w:tcW w:w="1316" w:type="dxa"/>
            <w:shd w:val="clear" w:color="auto" w:fill="CCC0D9" w:themeFill="accent4" w:themeFillTint="66"/>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Periodicidad</w:t>
            </w:r>
          </w:p>
        </w:tc>
        <w:tc>
          <w:tcPr>
            <w:tcW w:w="1595" w:type="dxa"/>
            <w:shd w:val="clear" w:color="auto" w:fill="CCC0D9" w:themeFill="accent4" w:themeFillTint="66"/>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Nº de participantes</w:t>
            </w:r>
          </w:p>
        </w:tc>
        <w:tc>
          <w:tcPr>
            <w:tcW w:w="1244" w:type="dxa"/>
            <w:gridSpan w:val="2"/>
            <w:shd w:val="clear" w:color="auto" w:fill="CCC0D9" w:themeFill="accent4" w:themeFillTint="66"/>
            <w:vAlign w:val="center"/>
          </w:tcPr>
          <w:p>
            <w:pPr>
              <w:suppressAutoHyphens/>
              <w:autoSpaceDN w:val="0"/>
              <w:spacing w:after="0"/>
              <w:jc w:val="center"/>
              <w:textAlignment w:val="baseline"/>
              <w:rPr>
                <w:rFonts w:ascii="Arial" w:hAnsi="Arial" w:cs="Arial"/>
                <w:b/>
                <w:color w:val="000000"/>
                <w:sz w:val="24"/>
                <w:szCs w:val="24"/>
                <w:lang w:eastAsia="zh-CN"/>
              </w:rPr>
            </w:pPr>
            <w:r>
              <w:rPr>
                <w:rFonts w:ascii="Arial" w:hAnsi="Arial" w:cs="Arial"/>
                <w:b/>
                <w:color w:val="000000"/>
                <w:sz w:val="24"/>
                <w:szCs w:val="24"/>
                <w:lang w:eastAsia="zh-CN"/>
              </w:rPr>
              <w:t>Lugar</w:t>
            </w:r>
          </w:p>
        </w:tc>
        <w:tc>
          <w:tcPr>
            <w:tcW w:w="3912" w:type="dxa"/>
            <w:shd w:val="clear" w:color="auto" w:fill="CCC0D9" w:themeFill="accent4" w:themeFillTint="66"/>
            <w:vAlign w:val="center"/>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Descripción de la actividad</w:t>
            </w:r>
          </w:p>
        </w:tc>
      </w:tr>
      <w:tr>
        <w:trPr>
          <w:gridAfter w:val="1"/>
          <w:wAfter w:w="28" w:type="dxa"/>
        </w:trPr>
        <w:tc>
          <w:tcPr>
            <w:tcW w:w="1369"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Crochet</w:t>
            </w:r>
          </w:p>
        </w:tc>
        <w:tc>
          <w:tcPr>
            <w:tcW w:w="131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Lunes de17 a 19 hrs.</w:t>
            </w:r>
          </w:p>
        </w:tc>
        <w:tc>
          <w:tcPr>
            <w:tcW w:w="1595"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La mujeres que residen en el recurso alojativo, exceptuando las que por jornada laboral o por  actividades formativas externas a la entidad no pueden acudir.</w:t>
            </w:r>
          </w:p>
        </w:tc>
        <w:tc>
          <w:tcPr>
            <w:tcW w:w="1244" w:type="dxa"/>
            <w:gridSpan w:val="2"/>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Centro de día</w:t>
            </w:r>
          </w:p>
        </w:tc>
        <w:tc>
          <w:tcPr>
            <w:tcW w:w="3912" w:type="dxa"/>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rPr>
              <w:t>Trabajar a través de la técnica del crochet los beneficios mentales que esta actividad reporta (reducción del estrés y  ansiedad, mejorando el ánimo y la concentración)</w:t>
            </w:r>
          </w:p>
        </w:tc>
      </w:tr>
      <w:tr>
        <w:trPr>
          <w:gridAfter w:val="1"/>
          <w:wAfter w:w="28" w:type="dxa"/>
        </w:trPr>
        <w:tc>
          <w:tcPr>
            <w:tcW w:w="1369"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Cocina</w:t>
            </w:r>
          </w:p>
        </w:tc>
        <w:tc>
          <w:tcPr>
            <w:tcW w:w="131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Todos los miércoles de 10.30 a 12.30 hrs.</w:t>
            </w:r>
          </w:p>
          <w:p>
            <w:pPr>
              <w:suppressAutoHyphens/>
              <w:autoSpaceDN w:val="0"/>
              <w:spacing w:after="0"/>
              <w:jc w:val="center"/>
              <w:textAlignment w:val="baseline"/>
              <w:rPr>
                <w:rFonts w:ascii="Arial" w:hAnsi="Arial" w:cs="Arial"/>
                <w:color w:val="000000"/>
                <w:sz w:val="24"/>
                <w:szCs w:val="24"/>
                <w:lang w:eastAsia="zh-CN"/>
              </w:rPr>
            </w:pPr>
          </w:p>
        </w:tc>
        <w:tc>
          <w:tcPr>
            <w:tcW w:w="1595"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La mujeres que residen en el recurso alojativo, exceptuando las que por jornada laboral o por  actividades formativas externas a la entidad no pueden acudir.</w:t>
            </w:r>
          </w:p>
        </w:tc>
        <w:tc>
          <w:tcPr>
            <w:tcW w:w="1244" w:type="dxa"/>
            <w:gridSpan w:val="2"/>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Recurso de acogida</w:t>
            </w:r>
          </w:p>
        </w:tc>
        <w:tc>
          <w:tcPr>
            <w:tcW w:w="3912" w:type="dxa"/>
          </w:tcPr>
          <w:p>
            <w:pPr>
              <w:suppressAutoHyphens/>
              <w:autoSpaceDN w:val="0"/>
              <w:spacing w:after="0"/>
              <w:jc w:val="both"/>
              <w:textAlignment w:val="baseline"/>
              <w:rPr>
                <w:rFonts w:ascii="Arial" w:hAnsi="Arial" w:cs="Arial"/>
                <w:color w:val="FF0000"/>
                <w:sz w:val="24"/>
                <w:szCs w:val="24"/>
                <w:lang w:eastAsia="zh-CN"/>
              </w:rPr>
            </w:pPr>
            <w:r>
              <w:rPr>
                <w:rFonts w:ascii="Arial" w:hAnsi="Arial" w:cs="Arial"/>
                <w:sz w:val="24"/>
                <w:szCs w:val="24"/>
              </w:rPr>
              <w:t>Aprendizaje de nuevas recetas culinarias y conocimiento de la gastronomía local .</w:t>
            </w:r>
          </w:p>
        </w:tc>
      </w:tr>
      <w:tr>
        <w:tc>
          <w:tcPr>
            <w:tcW w:w="1369"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Autocuidado</w:t>
            </w:r>
          </w:p>
        </w:tc>
        <w:tc>
          <w:tcPr>
            <w:tcW w:w="131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Todos los viernes de 10.30 a 12.00 hrs</w:t>
            </w:r>
          </w:p>
        </w:tc>
        <w:tc>
          <w:tcPr>
            <w:tcW w:w="1630" w:type="dxa"/>
            <w:gridSpan w:val="2"/>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La mujeres que residen en el recurso alojativo, exceptuando las que por jornada laboral o por  actividades </w:t>
            </w:r>
            <w:r>
              <w:rPr>
                <w:rFonts w:ascii="Arial" w:hAnsi="Arial" w:cs="Arial"/>
                <w:color w:val="000000"/>
                <w:sz w:val="24"/>
                <w:szCs w:val="24"/>
                <w:lang w:eastAsia="zh-CN"/>
              </w:rPr>
              <w:lastRenderedPageBreak/>
              <w:t>formativas externas a la entidad no pueden acudir.</w:t>
            </w:r>
          </w:p>
        </w:tc>
        <w:tc>
          <w:tcPr>
            <w:tcW w:w="1209"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lastRenderedPageBreak/>
              <w:t>Centro de día</w:t>
            </w:r>
          </w:p>
        </w:tc>
        <w:tc>
          <w:tcPr>
            <w:tcW w:w="3940" w:type="dxa"/>
            <w:gridSpan w:val="2"/>
            <w:shd w:val="clear" w:color="auto" w:fill="auto"/>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Psicoterapia a nivel grupal donde se abordan temáticas varias (autoestima, autoconcepto, autoconocimiento, estrategias para el bienestar personal, etc.)</w:t>
            </w:r>
          </w:p>
        </w:tc>
      </w:tr>
      <w:tr>
        <w:tc>
          <w:tcPr>
            <w:tcW w:w="1369"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Lengua española </w:t>
            </w:r>
          </w:p>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(Competencias claves nivel 2 y 3)</w:t>
            </w:r>
          </w:p>
        </w:tc>
        <w:tc>
          <w:tcPr>
            <w:tcW w:w="1316"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sz w:val="24"/>
                <w:szCs w:val="24"/>
                <w:lang w:eastAsia="zh-CN"/>
              </w:rPr>
              <w:t>Jueves de 17 a 19 hrs.</w:t>
            </w:r>
          </w:p>
        </w:tc>
        <w:tc>
          <w:tcPr>
            <w:tcW w:w="1630" w:type="dxa"/>
            <w:gridSpan w:val="2"/>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La mujeres que residen en el recurso alojativo, exceptuando las que por jornada laboral o por  actividades formativas externas a la entidad no pueden acudir.</w:t>
            </w:r>
          </w:p>
        </w:tc>
        <w:tc>
          <w:tcPr>
            <w:tcW w:w="1209"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Centro de día</w:t>
            </w:r>
          </w:p>
        </w:tc>
        <w:tc>
          <w:tcPr>
            <w:tcW w:w="3940" w:type="dxa"/>
            <w:gridSpan w:val="2"/>
            <w:shd w:val="clear" w:color="auto" w:fill="auto"/>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Taller de preparación para los exámenes de obtención de Competencias clave en la materia de Lengua española.</w:t>
            </w:r>
          </w:p>
          <w:p>
            <w:pPr>
              <w:suppressAutoHyphens/>
              <w:autoSpaceDN w:val="0"/>
              <w:spacing w:after="0"/>
              <w:jc w:val="both"/>
              <w:textAlignment w:val="baseline"/>
              <w:rPr>
                <w:rFonts w:ascii="Arial" w:hAnsi="Arial" w:cs="Arial"/>
                <w:sz w:val="24"/>
                <w:szCs w:val="24"/>
                <w:lang w:eastAsia="zh-CN"/>
              </w:rPr>
            </w:pPr>
          </w:p>
        </w:tc>
      </w:tr>
      <w:tr>
        <w:tc>
          <w:tcPr>
            <w:tcW w:w="1369" w:type="dxa"/>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Matemáticas e inglés (Competencias Clave Nivel 2 y 3)</w:t>
            </w:r>
          </w:p>
        </w:tc>
        <w:tc>
          <w:tcPr>
            <w:tcW w:w="1316" w:type="dxa"/>
          </w:tcPr>
          <w:p>
            <w:pPr>
              <w:suppressAutoHyphens/>
              <w:autoSpaceDN w:val="0"/>
              <w:spacing w:after="0"/>
              <w:textAlignment w:val="baseline"/>
              <w:rPr>
                <w:rFonts w:ascii="Arial" w:hAnsi="Arial" w:cs="Arial"/>
                <w:color w:val="000000"/>
                <w:sz w:val="24"/>
                <w:szCs w:val="24"/>
                <w:lang w:eastAsia="zh-CN"/>
              </w:rPr>
            </w:pPr>
            <w:r>
              <w:rPr>
                <w:rFonts w:ascii="Arial" w:hAnsi="Arial" w:cs="Arial"/>
                <w:color w:val="000000"/>
                <w:sz w:val="24"/>
                <w:szCs w:val="24"/>
                <w:lang w:eastAsia="zh-CN"/>
              </w:rPr>
              <w:t xml:space="preserve">Miércoles   de 17.00 a 19:00 hrs </w:t>
            </w:r>
          </w:p>
        </w:tc>
        <w:tc>
          <w:tcPr>
            <w:tcW w:w="1630" w:type="dxa"/>
            <w:gridSpan w:val="2"/>
            <w:shd w:val="clear" w:color="auto" w:fill="auto"/>
          </w:tcPr>
          <w:p>
            <w:pPr>
              <w:suppressAutoHyphens/>
              <w:autoSpaceDN w:val="0"/>
              <w:spacing w:after="0"/>
              <w:jc w:val="both"/>
              <w:textAlignment w:val="baseline"/>
              <w:rPr>
                <w:rFonts w:ascii="Arial" w:hAnsi="Arial" w:cs="Arial"/>
                <w:color w:val="000000"/>
                <w:sz w:val="24"/>
                <w:szCs w:val="24"/>
                <w:lang w:eastAsia="zh-CN"/>
              </w:rPr>
            </w:pPr>
            <w:r>
              <w:rPr>
                <w:rFonts w:ascii="Arial" w:hAnsi="Arial" w:cs="Arial"/>
                <w:color w:val="000000"/>
                <w:sz w:val="24"/>
                <w:szCs w:val="24"/>
                <w:lang w:eastAsia="zh-CN"/>
              </w:rPr>
              <w:t>La mujeres que residen en el recurso alojativo, exceptuando las que por jornada laboral o por  actividades formativas externas a la entidad no pueden acudir.</w:t>
            </w:r>
          </w:p>
        </w:tc>
        <w:tc>
          <w:tcPr>
            <w:tcW w:w="1209" w:type="dxa"/>
            <w:shd w:val="clear" w:color="auto" w:fill="auto"/>
          </w:tcPr>
          <w:p>
            <w:pPr>
              <w:suppressAutoHyphens/>
              <w:autoSpaceDN w:val="0"/>
              <w:spacing w:after="0"/>
              <w:jc w:val="center"/>
              <w:textAlignment w:val="baseline"/>
              <w:rPr>
                <w:rFonts w:ascii="Arial" w:hAnsi="Arial" w:cs="Arial"/>
                <w:color w:val="000000"/>
                <w:sz w:val="24"/>
                <w:szCs w:val="24"/>
                <w:lang w:eastAsia="zh-CN"/>
              </w:rPr>
            </w:pPr>
            <w:r>
              <w:rPr>
                <w:rFonts w:ascii="Arial" w:hAnsi="Arial" w:cs="Arial"/>
                <w:color w:val="000000"/>
                <w:sz w:val="24"/>
                <w:szCs w:val="24"/>
                <w:lang w:eastAsia="zh-CN"/>
              </w:rPr>
              <w:t>Centro de día</w:t>
            </w:r>
          </w:p>
        </w:tc>
        <w:tc>
          <w:tcPr>
            <w:tcW w:w="3940" w:type="dxa"/>
            <w:gridSpan w:val="2"/>
            <w:shd w:val="clear" w:color="auto" w:fill="auto"/>
          </w:tcPr>
          <w:p>
            <w:pPr>
              <w:suppressAutoHyphens/>
              <w:autoSpaceDN w:val="0"/>
              <w:spacing w:after="0"/>
              <w:jc w:val="both"/>
              <w:textAlignment w:val="baseline"/>
              <w:rPr>
                <w:rFonts w:ascii="Arial" w:hAnsi="Arial" w:cs="Arial"/>
                <w:sz w:val="24"/>
                <w:szCs w:val="24"/>
                <w:lang w:eastAsia="zh-CN"/>
              </w:rPr>
            </w:pPr>
            <w:r>
              <w:rPr>
                <w:rFonts w:ascii="Arial" w:hAnsi="Arial" w:cs="Arial"/>
                <w:sz w:val="24"/>
                <w:szCs w:val="24"/>
                <w:lang w:eastAsia="zh-CN"/>
              </w:rPr>
              <w:t>Preparación para obtención de Competencias clave.</w:t>
            </w:r>
          </w:p>
        </w:tc>
      </w:tr>
    </w:tbl>
    <w:p>
      <w:pPr>
        <w:suppressAutoHyphens/>
        <w:autoSpaceDN w:val="0"/>
        <w:spacing w:after="0"/>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 Detallar que han acudido las mujeres del recurso alojativo que no se encontraban realizando ninguna otra acción formativa, ni tampoco activas laboralmente. </w:t>
      </w:r>
    </w:p>
    <w:p>
      <w:pPr>
        <w:suppressAutoHyphens/>
        <w:autoSpaceDN w:val="0"/>
        <w:spacing w:after="0"/>
        <w:textAlignment w:val="baseline"/>
        <w:rPr>
          <w:rFonts w:ascii="Arial" w:hAnsi="Arial" w:cs="Arial"/>
          <w:sz w:val="24"/>
          <w:szCs w:val="24"/>
          <w:lang w:eastAsia="zh-CN"/>
        </w:rPr>
      </w:pPr>
    </w:p>
    <w:p>
      <w:pPr>
        <w:suppressAutoHyphens/>
        <w:autoSpaceDN w:val="0"/>
        <w:spacing w:after="0"/>
        <w:textAlignment w:val="baseline"/>
        <w:rPr>
          <w:rFonts w:ascii="Arial" w:hAnsi="Arial" w:cs="Arial"/>
          <w:sz w:val="24"/>
          <w:szCs w:val="24"/>
          <w:lang w:eastAsia="zh-CN"/>
        </w:rPr>
      </w:pPr>
    </w:p>
    <w:p>
      <w:pPr>
        <w:suppressAutoHyphens/>
        <w:autoSpaceDN w:val="0"/>
        <w:spacing w:after="0"/>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b/>
          <w:sz w:val="24"/>
          <w:szCs w:val="24"/>
          <w:lang w:eastAsia="zh-CN"/>
        </w:rPr>
      </w:pPr>
      <w:r>
        <w:rPr>
          <w:rFonts w:ascii="Arial" w:hAnsi="Arial" w:cs="Arial"/>
          <w:b/>
          <w:sz w:val="24"/>
          <w:szCs w:val="24"/>
          <w:lang w:eastAsia="zh-CN"/>
        </w:rPr>
        <w:lastRenderedPageBreak/>
        <w:t>ACTIVIDADES INTERNAS DE EQUIPO EDUCATIVO Y DEL EQUIPO INTERDISCIPLINAR.</w:t>
      </w:r>
    </w:p>
    <w:p>
      <w:pPr>
        <w:suppressAutoHyphens/>
        <w:autoSpaceDN w:val="0"/>
        <w:spacing w:after="0" w:line="360" w:lineRule="auto"/>
        <w:jc w:val="both"/>
        <w:textAlignment w:val="baseline"/>
        <w:rPr>
          <w:rFonts w:ascii="Arial" w:hAnsi="Arial" w:cs="Arial"/>
          <w:b/>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Las reuniones de equipo educativo, se realizan de manera quincenal, alternas con las reuniones de equipo interdisciplinar. Sin embargo, según las circunstancias o necesidades que puedan surgir a nivel interno, la periodicidad puede variar.</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A continuación, se detallan las actividades que se desarrollan en cada una de ellas: </w:t>
      </w: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jc w:val="both"/>
        <w:textAlignment w:val="baseline"/>
        <w:rPr>
          <w:rFonts w:ascii="Arial" w:hAnsi="Arial" w:cs="Arial"/>
          <w:sz w:val="24"/>
          <w:szCs w:val="24"/>
          <w:lang w:eastAsia="zh-CN"/>
        </w:rPr>
      </w:pPr>
      <w:r>
        <w:rPr>
          <w:rFonts w:ascii="Arial" w:hAnsi="Arial" w:cs="Arial"/>
          <w:noProof/>
          <w:sz w:val="24"/>
          <w:szCs w:val="24"/>
          <w:lang w:eastAsia="es-ES"/>
        </w:rPr>
        <w:drawing>
          <wp:inline distT="0" distB="0" distL="0" distR="0">
            <wp:extent cx="5650230" cy="4248150"/>
            <wp:effectExtent l="0" t="0" r="26670" b="19050"/>
            <wp:docPr id="29" name="Diagrama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textAlignment w:val="baseline"/>
        <w:rPr>
          <w:rFonts w:ascii="Arial" w:hAnsi="Arial" w:cs="Arial"/>
          <w:b/>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Durante el año 2025 se han llevado a cabo un total de 42 reuniones. De ellas, 16 fueron del equipo educativo y 26 del equipo interdisciplinar.</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textAlignment w:val="baseline"/>
        <w:rPr>
          <w:rFonts w:ascii="Arial" w:hAnsi="Arial" w:cs="Arial"/>
          <w:b/>
          <w:sz w:val="24"/>
          <w:szCs w:val="24"/>
          <w:lang w:eastAsia="zh-CN"/>
        </w:rPr>
      </w:pPr>
      <w:r>
        <w:rPr>
          <w:rFonts w:ascii="Arial" w:hAnsi="Arial" w:cs="Arial"/>
          <w:b/>
          <w:sz w:val="24"/>
          <w:szCs w:val="24"/>
          <w:lang w:eastAsia="zh-CN"/>
        </w:rPr>
        <w:lastRenderedPageBreak/>
        <w:t>ACTIVIDADES DE FORMACIÓN, SENSIBILIZACIÓN Y DIFUSIÓN.</w:t>
      </w:r>
    </w:p>
    <w:p>
      <w:pPr>
        <w:suppressAutoHyphens/>
        <w:autoSpaceDN w:val="0"/>
        <w:spacing w:after="0" w:line="360" w:lineRule="auto"/>
        <w:textAlignment w:val="baseline"/>
        <w:rPr>
          <w:rFonts w:ascii="Arial" w:hAnsi="Arial" w:cs="Arial"/>
          <w:b/>
          <w:sz w:val="24"/>
          <w:szCs w:val="24"/>
          <w:lang w:eastAsia="zh-CN"/>
        </w:rPr>
      </w:pPr>
    </w:p>
    <w:p>
      <w:pPr>
        <w:numPr>
          <w:ilvl w:val="0"/>
          <w:numId w:val="51"/>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b/>
          <w:sz w:val="24"/>
          <w:szCs w:val="24"/>
          <w:lang w:eastAsia="zh-CN"/>
        </w:rPr>
        <w:t>Jornadas contra la trata con fines de explotación sexual</w:t>
      </w:r>
    </w:p>
    <w:p>
      <w:pPr>
        <w:numPr>
          <w:ilvl w:val="0"/>
          <w:numId w:val="78"/>
        </w:numPr>
        <w:suppressAutoHyphens/>
        <w:autoSpaceDN w:val="0"/>
        <w:spacing w:after="0" w:line="360" w:lineRule="auto"/>
        <w:ind w:firstLine="414"/>
        <w:contextualSpacing/>
        <w:jc w:val="both"/>
        <w:textAlignment w:val="baseline"/>
        <w:rPr>
          <w:rFonts w:ascii="Arial" w:hAnsi="Arial" w:cs="Arial"/>
          <w:b/>
          <w:sz w:val="24"/>
          <w:szCs w:val="24"/>
          <w:lang w:eastAsia="zh-CN"/>
        </w:rPr>
      </w:pPr>
      <w:r>
        <w:rPr>
          <w:rFonts w:ascii="Arial" w:hAnsi="Arial" w:cs="Arial"/>
          <w:b/>
          <w:sz w:val="24"/>
          <w:szCs w:val="24"/>
          <w:lang w:eastAsia="zh-CN"/>
        </w:rPr>
        <w:t xml:space="preserve">Lugar: </w:t>
      </w:r>
      <w:r>
        <w:rPr>
          <w:rFonts w:ascii="Arial" w:hAnsi="Arial" w:cs="Arial"/>
          <w:sz w:val="24"/>
          <w:szCs w:val="24"/>
          <w:lang w:eastAsia="zh-CN"/>
        </w:rPr>
        <w:t>Casa-Museo Colón. Las Palmas de Gran Canaria.</w:t>
      </w:r>
    </w:p>
    <w:p>
      <w:pPr>
        <w:numPr>
          <w:ilvl w:val="0"/>
          <w:numId w:val="78"/>
        </w:numPr>
        <w:suppressAutoHyphens/>
        <w:autoSpaceDN w:val="0"/>
        <w:spacing w:after="0" w:line="360" w:lineRule="auto"/>
        <w:ind w:firstLine="414"/>
        <w:contextualSpacing/>
        <w:jc w:val="both"/>
        <w:textAlignment w:val="baseline"/>
        <w:rPr>
          <w:rFonts w:ascii="Arial" w:hAnsi="Arial" w:cs="Arial"/>
          <w:b/>
          <w:sz w:val="24"/>
          <w:szCs w:val="24"/>
          <w:lang w:eastAsia="zh-CN"/>
        </w:rPr>
      </w:pPr>
      <w:r>
        <w:rPr>
          <w:rFonts w:ascii="Arial" w:hAnsi="Arial" w:cs="Arial"/>
          <w:b/>
          <w:sz w:val="24"/>
          <w:szCs w:val="24"/>
          <w:lang w:eastAsia="zh-CN"/>
        </w:rPr>
        <w:t xml:space="preserve">Fecha: </w:t>
      </w:r>
      <w:r>
        <w:rPr>
          <w:rFonts w:ascii="Arial" w:hAnsi="Arial" w:cs="Arial"/>
          <w:sz w:val="24"/>
          <w:szCs w:val="24"/>
          <w:lang w:eastAsia="zh-CN"/>
        </w:rPr>
        <w:t>Del 22 al 24 de septiembre de 2025.</w:t>
      </w:r>
    </w:p>
    <w:p>
      <w:pPr>
        <w:numPr>
          <w:ilvl w:val="0"/>
          <w:numId w:val="78"/>
        </w:numPr>
        <w:suppressAutoHyphens/>
        <w:autoSpaceDN w:val="0"/>
        <w:spacing w:after="0" w:line="360" w:lineRule="auto"/>
        <w:ind w:firstLine="414"/>
        <w:contextualSpacing/>
        <w:jc w:val="both"/>
        <w:textAlignment w:val="baseline"/>
        <w:rPr>
          <w:rFonts w:ascii="Arial" w:hAnsi="Arial" w:cs="Arial"/>
          <w:sz w:val="24"/>
          <w:szCs w:val="24"/>
          <w:lang w:eastAsia="zh-CN"/>
        </w:rPr>
      </w:pPr>
      <w:r>
        <w:rPr>
          <w:rFonts w:ascii="Arial" w:hAnsi="Arial" w:cs="Arial"/>
          <w:b/>
          <w:sz w:val="24"/>
          <w:szCs w:val="24"/>
          <w:lang w:eastAsia="zh-CN"/>
        </w:rPr>
        <w:t xml:space="preserve">Descripción: </w:t>
      </w:r>
      <w:r>
        <w:rPr>
          <w:rFonts w:ascii="Arial" w:hAnsi="Arial" w:cs="Arial"/>
          <w:sz w:val="24"/>
          <w:szCs w:val="24"/>
          <w:lang w:eastAsia="zh-CN"/>
        </w:rPr>
        <w:t xml:space="preserve">Mesa redonda, con diferentes ponentes, especialistas en temáticas vinculadas a la trata y la explotación sexual. </w:t>
      </w:r>
    </w:p>
    <w:p>
      <w:pPr>
        <w:numPr>
          <w:ilvl w:val="0"/>
          <w:numId w:val="78"/>
        </w:numPr>
        <w:suppressAutoHyphens/>
        <w:autoSpaceDN w:val="0"/>
        <w:spacing w:after="0" w:line="360" w:lineRule="auto"/>
        <w:ind w:firstLine="414"/>
        <w:contextualSpacing/>
        <w:jc w:val="both"/>
        <w:textAlignment w:val="baseline"/>
        <w:rPr>
          <w:rFonts w:ascii="Arial" w:hAnsi="Arial" w:cs="Arial"/>
          <w:sz w:val="24"/>
          <w:szCs w:val="24"/>
          <w:lang w:eastAsia="zh-CN"/>
        </w:rPr>
      </w:pPr>
      <w:r>
        <w:rPr>
          <w:rFonts w:ascii="Arial" w:hAnsi="Arial" w:cs="Arial"/>
          <w:b/>
          <w:sz w:val="24"/>
          <w:szCs w:val="24"/>
          <w:lang w:eastAsia="zh-CN"/>
        </w:rPr>
        <w:t xml:space="preserve">Nº de participantes: </w:t>
      </w:r>
      <w:r>
        <w:rPr>
          <w:rFonts w:ascii="Arial" w:hAnsi="Arial" w:cs="Arial"/>
          <w:sz w:val="24"/>
          <w:szCs w:val="24"/>
          <w:lang w:eastAsia="zh-CN"/>
        </w:rPr>
        <w:t>El equipo educativo en su totalidad (5 componentes)</w:t>
      </w:r>
    </w:p>
    <w:p>
      <w:pPr>
        <w:numPr>
          <w:ilvl w:val="0"/>
          <w:numId w:val="78"/>
        </w:numPr>
        <w:suppressAutoHyphens/>
        <w:autoSpaceDN w:val="0"/>
        <w:spacing w:after="0" w:line="360" w:lineRule="auto"/>
        <w:ind w:firstLine="414"/>
        <w:contextualSpacing/>
        <w:jc w:val="both"/>
        <w:textAlignment w:val="baseline"/>
        <w:rPr>
          <w:rFonts w:ascii="Arial" w:hAnsi="Arial" w:cs="Arial"/>
          <w:sz w:val="24"/>
          <w:szCs w:val="24"/>
          <w:lang w:val="pt-PT" w:eastAsia="zh-CN"/>
        </w:rPr>
      </w:pPr>
      <w:r>
        <w:rPr>
          <w:rFonts w:ascii="Arial" w:hAnsi="Arial" w:cs="Arial"/>
          <w:b/>
          <w:sz w:val="24"/>
          <w:szCs w:val="24"/>
          <w:lang w:val="pt-PT" w:eastAsia="zh-CN"/>
        </w:rPr>
        <w:t>Modalidad:</w:t>
      </w:r>
      <w:r>
        <w:rPr>
          <w:rFonts w:ascii="Arial" w:hAnsi="Arial" w:cs="Arial"/>
          <w:sz w:val="24"/>
          <w:szCs w:val="24"/>
          <w:lang w:val="pt-PT" w:eastAsia="zh-CN"/>
        </w:rPr>
        <w:t xml:space="preserve"> Presencial. </w:t>
      </w:r>
    </w:p>
    <w:p>
      <w:pPr>
        <w:suppressAutoHyphens/>
        <w:autoSpaceDN w:val="0"/>
        <w:spacing w:after="0" w:line="360" w:lineRule="auto"/>
        <w:ind w:left="1134"/>
        <w:contextualSpacing/>
        <w:jc w:val="both"/>
        <w:textAlignment w:val="baseline"/>
        <w:rPr>
          <w:rFonts w:ascii="Arial" w:hAnsi="Arial" w:cs="Arial"/>
          <w:sz w:val="24"/>
          <w:szCs w:val="24"/>
          <w:lang w:val="pt-PT" w:eastAsia="zh-CN"/>
        </w:rPr>
      </w:pPr>
    </w:p>
    <w:p>
      <w:pPr>
        <w:numPr>
          <w:ilvl w:val="0"/>
          <w:numId w:val="51"/>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b/>
          <w:sz w:val="24"/>
          <w:szCs w:val="24"/>
          <w:lang w:eastAsia="zh-CN"/>
        </w:rPr>
        <w:t>Encuentro formativo de equipos y Proyectos Oblatas</w:t>
      </w:r>
    </w:p>
    <w:p>
      <w:pPr>
        <w:numPr>
          <w:ilvl w:val="0"/>
          <w:numId w:val="77"/>
        </w:numPr>
        <w:suppressAutoHyphens/>
        <w:autoSpaceDN w:val="0"/>
        <w:spacing w:after="0" w:line="360" w:lineRule="auto"/>
        <w:contextualSpacing/>
        <w:jc w:val="both"/>
        <w:textAlignment w:val="baseline"/>
        <w:rPr>
          <w:rFonts w:ascii="Arial" w:hAnsi="Arial" w:cs="Arial"/>
          <w:b/>
          <w:sz w:val="24"/>
          <w:szCs w:val="24"/>
          <w:lang w:eastAsia="zh-CN"/>
        </w:rPr>
      </w:pPr>
      <w:r>
        <w:rPr>
          <w:rFonts w:ascii="Arial" w:hAnsi="Arial" w:cs="Arial"/>
          <w:b/>
          <w:sz w:val="24"/>
          <w:szCs w:val="24"/>
          <w:lang w:eastAsia="zh-CN"/>
        </w:rPr>
        <w:t xml:space="preserve">Lugar: </w:t>
      </w:r>
      <w:r>
        <w:rPr>
          <w:rFonts w:ascii="Arial" w:hAnsi="Arial" w:cs="Arial"/>
          <w:sz w:val="24"/>
          <w:szCs w:val="24"/>
          <w:lang w:eastAsia="zh-CN"/>
        </w:rPr>
        <w:t>Casa de la espiritualidad. Ciempozuelos, Madrid).</w:t>
      </w:r>
    </w:p>
    <w:p>
      <w:pPr>
        <w:numPr>
          <w:ilvl w:val="0"/>
          <w:numId w:val="77"/>
        </w:numPr>
        <w:suppressAutoHyphens/>
        <w:autoSpaceDN w:val="0"/>
        <w:spacing w:after="0" w:line="360" w:lineRule="auto"/>
        <w:contextualSpacing/>
        <w:jc w:val="both"/>
        <w:textAlignment w:val="baseline"/>
        <w:rPr>
          <w:rFonts w:ascii="Arial" w:hAnsi="Arial" w:cs="Arial"/>
          <w:b/>
          <w:sz w:val="24"/>
          <w:szCs w:val="24"/>
          <w:lang w:eastAsia="zh-CN"/>
        </w:rPr>
      </w:pPr>
      <w:r>
        <w:rPr>
          <w:rFonts w:ascii="Arial" w:hAnsi="Arial" w:cs="Arial"/>
          <w:b/>
          <w:sz w:val="24"/>
          <w:szCs w:val="24"/>
          <w:lang w:eastAsia="zh-CN"/>
        </w:rPr>
        <w:t xml:space="preserve">Fecha: </w:t>
      </w:r>
      <w:r>
        <w:rPr>
          <w:rFonts w:ascii="Arial" w:hAnsi="Arial" w:cs="Arial"/>
          <w:sz w:val="24"/>
          <w:szCs w:val="24"/>
          <w:lang w:eastAsia="zh-CN"/>
        </w:rPr>
        <w:t>Del 20 al 23 de octubre de 2025.</w:t>
      </w:r>
    </w:p>
    <w:p>
      <w:pPr>
        <w:numPr>
          <w:ilvl w:val="0"/>
          <w:numId w:val="77"/>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b/>
          <w:sz w:val="24"/>
          <w:szCs w:val="24"/>
          <w:lang w:eastAsia="zh-CN"/>
        </w:rPr>
        <w:t xml:space="preserve">Descripción: </w:t>
      </w:r>
      <w:r>
        <w:rPr>
          <w:rFonts w:ascii="Arial" w:hAnsi="Arial" w:cs="Arial"/>
          <w:sz w:val="24"/>
          <w:szCs w:val="24"/>
          <w:lang w:eastAsia="zh-CN"/>
        </w:rPr>
        <w:t xml:space="preserve">Encuentro con equipos y otros proyectos de Oblatas, con la finalidad de seguir trabajando, a través del encuentro, en la misión, los valores y el carisma de la Congregación, así como conocer otros proyectos y aunar líneas de trabajo a nivel institucional. </w:t>
      </w:r>
    </w:p>
    <w:p>
      <w:pPr>
        <w:numPr>
          <w:ilvl w:val="0"/>
          <w:numId w:val="77"/>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b/>
          <w:sz w:val="24"/>
          <w:szCs w:val="24"/>
          <w:lang w:eastAsia="zh-CN"/>
        </w:rPr>
        <w:t xml:space="preserve">Nº de participantes: </w:t>
      </w:r>
      <w:r>
        <w:rPr>
          <w:rFonts w:ascii="Arial" w:hAnsi="Arial" w:cs="Arial"/>
          <w:sz w:val="24"/>
          <w:szCs w:val="24"/>
          <w:lang w:eastAsia="zh-CN"/>
        </w:rPr>
        <w:t>El equipo educativo en su totalidad (5 componentes)</w:t>
      </w:r>
    </w:p>
    <w:p>
      <w:pPr>
        <w:numPr>
          <w:ilvl w:val="0"/>
          <w:numId w:val="77"/>
        </w:numPr>
        <w:suppressAutoHyphens/>
        <w:autoSpaceDN w:val="0"/>
        <w:spacing w:after="0" w:line="360" w:lineRule="auto"/>
        <w:contextualSpacing/>
        <w:jc w:val="both"/>
        <w:textAlignment w:val="baseline"/>
        <w:rPr>
          <w:rFonts w:ascii="Arial" w:hAnsi="Arial" w:cs="Arial"/>
          <w:sz w:val="24"/>
          <w:szCs w:val="24"/>
          <w:lang w:val="pt-PT" w:eastAsia="zh-CN"/>
        </w:rPr>
      </w:pPr>
      <w:r>
        <w:rPr>
          <w:rFonts w:ascii="Arial" w:hAnsi="Arial" w:cs="Arial"/>
          <w:b/>
          <w:sz w:val="24"/>
          <w:szCs w:val="24"/>
          <w:lang w:val="pt-PT" w:eastAsia="zh-CN"/>
        </w:rPr>
        <w:t>Modalidad:</w:t>
      </w:r>
      <w:r>
        <w:rPr>
          <w:rFonts w:ascii="Arial" w:hAnsi="Arial" w:cs="Arial"/>
          <w:sz w:val="24"/>
          <w:szCs w:val="24"/>
          <w:lang w:val="pt-PT" w:eastAsia="zh-CN"/>
        </w:rPr>
        <w:t xml:space="preserve"> Presencial.</w:t>
      </w:r>
    </w:p>
    <w:p>
      <w:pPr>
        <w:suppressAutoHyphens/>
        <w:autoSpaceDN w:val="0"/>
        <w:spacing w:after="0" w:line="360" w:lineRule="auto"/>
        <w:ind w:left="1440"/>
        <w:contextualSpacing/>
        <w:jc w:val="both"/>
        <w:textAlignment w:val="baseline"/>
        <w:rPr>
          <w:rFonts w:ascii="Arial" w:hAnsi="Arial" w:cs="Arial"/>
          <w:sz w:val="24"/>
          <w:szCs w:val="24"/>
          <w:lang w:val="pt-PT" w:eastAsia="zh-CN"/>
        </w:rPr>
      </w:pPr>
    </w:p>
    <w:p>
      <w:pPr>
        <w:numPr>
          <w:ilvl w:val="0"/>
          <w:numId w:val="51"/>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b/>
          <w:sz w:val="24"/>
          <w:szCs w:val="24"/>
          <w:lang w:eastAsia="zh-CN"/>
        </w:rPr>
        <w:t>V Jornada Internacional sobre Trata con Fines de explotación sexual -Provincia Europa</w:t>
      </w:r>
    </w:p>
    <w:p>
      <w:pPr>
        <w:numPr>
          <w:ilvl w:val="0"/>
          <w:numId w:val="79"/>
        </w:numPr>
        <w:suppressAutoHyphens/>
        <w:autoSpaceDN w:val="0"/>
        <w:spacing w:after="0" w:line="360" w:lineRule="auto"/>
        <w:ind w:firstLine="414"/>
        <w:contextualSpacing/>
        <w:jc w:val="both"/>
        <w:textAlignment w:val="baseline"/>
        <w:rPr>
          <w:rFonts w:ascii="Arial" w:hAnsi="Arial" w:cs="Arial"/>
          <w:b/>
          <w:sz w:val="24"/>
          <w:szCs w:val="24"/>
          <w:lang w:eastAsia="zh-CN"/>
        </w:rPr>
      </w:pPr>
      <w:r>
        <w:rPr>
          <w:rFonts w:ascii="Arial" w:hAnsi="Arial" w:cs="Arial"/>
          <w:b/>
          <w:sz w:val="24"/>
          <w:szCs w:val="24"/>
          <w:lang w:val="pt-PT" w:eastAsia="zh-CN"/>
        </w:rPr>
        <w:t xml:space="preserve">Lugar: </w:t>
      </w:r>
      <w:r>
        <w:rPr>
          <w:rFonts w:ascii="Arial" w:hAnsi="Arial" w:cs="Arial"/>
          <w:sz w:val="24"/>
          <w:szCs w:val="24"/>
          <w:lang w:val="pt-PT" w:eastAsia="zh-CN"/>
        </w:rPr>
        <w:t>Sala de Conferencias Miguel de Cervantes</w:t>
      </w:r>
      <w:r>
        <w:rPr>
          <w:rFonts w:ascii="Arial" w:hAnsi="Arial" w:cs="Arial"/>
          <w:color w:val="666666"/>
          <w:sz w:val="24"/>
          <w:szCs w:val="24"/>
          <w:shd w:val="clear" w:color="auto" w:fill="FFFFFF"/>
          <w:lang w:val="pt-PT"/>
        </w:rPr>
        <w:t>.</w:t>
      </w:r>
      <w:r>
        <w:rPr>
          <w:rFonts w:ascii="Arial" w:hAnsi="Arial" w:cs="Arial"/>
          <w:sz w:val="24"/>
          <w:szCs w:val="24"/>
          <w:lang w:eastAsia="zh-CN"/>
        </w:rPr>
        <w:t xml:space="preserve">Madrid. </w:t>
      </w:r>
    </w:p>
    <w:p>
      <w:pPr>
        <w:numPr>
          <w:ilvl w:val="0"/>
          <w:numId w:val="79"/>
        </w:numPr>
        <w:suppressAutoHyphens/>
        <w:autoSpaceDN w:val="0"/>
        <w:spacing w:after="0" w:line="360" w:lineRule="auto"/>
        <w:ind w:firstLine="414"/>
        <w:contextualSpacing/>
        <w:jc w:val="both"/>
        <w:textAlignment w:val="baseline"/>
        <w:rPr>
          <w:rFonts w:ascii="Arial" w:hAnsi="Arial" w:cs="Arial"/>
          <w:b/>
          <w:sz w:val="24"/>
          <w:szCs w:val="24"/>
          <w:lang w:eastAsia="zh-CN"/>
        </w:rPr>
      </w:pPr>
      <w:r>
        <w:rPr>
          <w:rFonts w:ascii="Arial" w:hAnsi="Arial" w:cs="Arial"/>
          <w:b/>
          <w:sz w:val="24"/>
          <w:szCs w:val="24"/>
          <w:lang w:eastAsia="zh-CN"/>
        </w:rPr>
        <w:t xml:space="preserve">Fecha: </w:t>
      </w:r>
      <w:r>
        <w:rPr>
          <w:rFonts w:ascii="Arial" w:hAnsi="Arial" w:cs="Arial"/>
          <w:sz w:val="24"/>
          <w:szCs w:val="24"/>
          <w:lang w:eastAsia="zh-CN"/>
        </w:rPr>
        <w:t>13 de noviembre de 2025.</w:t>
      </w:r>
    </w:p>
    <w:p>
      <w:pPr>
        <w:numPr>
          <w:ilvl w:val="0"/>
          <w:numId w:val="79"/>
        </w:numPr>
        <w:suppressAutoHyphens/>
        <w:autoSpaceDN w:val="0"/>
        <w:spacing w:after="0" w:line="360" w:lineRule="auto"/>
        <w:ind w:firstLine="414"/>
        <w:contextualSpacing/>
        <w:jc w:val="both"/>
        <w:textAlignment w:val="baseline"/>
        <w:rPr>
          <w:rFonts w:ascii="Arial" w:hAnsi="Arial" w:cs="Arial"/>
          <w:sz w:val="24"/>
          <w:szCs w:val="24"/>
          <w:lang w:eastAsia="zh-CN"/>
        </w:rPr>
      </w:pPr>
      <w:r>
        <w:rPr>
          <w:rFonts w:ascii="Arial" w:hAnsi="Arial" w:cs="Arial"/>
          <w:b/>
          <w:sz w:val="24"/>
          <w:szCs w:val="24"/>
          <w:lang w:eastAsia="zh-CN"/>
        </w:rPr>
        <w:t xml:space="preserve">Descripción: </w:t>
      </w:r>
      <w:r>
        <w:rPr>
          <w:rFonts w:ascii="Arial" w:hAnsi="Arial" w:cs="Arial"/>
          <w:sz w:val="24"/>
          <w:szCs w:val="24"/>
          <w:lang w:eastAsia="zh-CN"/>
        </w:rPr>
        <w:t xml:space="preserve">Mesa redonda, con diferentes ponentes, especialistas en temáticas vinculadas a la trata y la explotación sexual. </w:t>
      </w:r>
    </w:p>
    <w:p>
      <w:pPr>
        <w:numPr>
          <w:ilvl w:val="0"/>
          <w:numId w:val="79"/>
        </w:numPr>
        <w:suppressAutoHyphens/>
        <w:autoSpaceDN w:val="0"/>
        <w:spacing w:after="0" w:line="360" w:lineRule="auto"/>
        <w:ind w:firstLine="414"/>
        <w:contextualSpacing/>
        <w:jc w:val="both"/>
        <w:textAlignment w:val="baseline"/>
        <w:rPr>
          <w:rFonts w:ascii="Arial" w:hAnsi="Arial" w:cs="Arial"/>
          <w:sz w:val="24"/>
          <w:szCs w:val="24"/>
          <w:lang w:eastAsia="zh-CN"/>
        </w:rPr>
      </w:pPr>
      <w:r>
        <w:rPr>
          <w:rFonts w:ascii="Arial" w:hAnsi="Arial" w:cs="Arial"/>
          <w:b/>
          <w:sz w:val="24"/>
          <w:szCs w:val="24"/>
          <w:lang w:eastAsia="zh-CN"/>
        </w:rPr>
        <w:t xml:space="preserve">Nº de participantes: </w:t>
      </w:r>
      <w:r>
        <w:rPr>
          <w:rFonts w:ascii="Arial" w:hAnsi="Arial" w:cs="Arial"/>
          <w:sz w:val="24"/>
          <w:szCs w:val="24"/>
          <w:lang w:eastAsia="zh-CN"/>
        </w:rPr>
        <w:t xml:space="preserve">El equipo educativo en su totalidad (5 componentes) </w:t>
      </w:r>
    </w:p>
    <w:p>
      <w:pPr>
        <w:numPr>
          <w:ilvl w:val="0"/>
          <w:numId w:val="79"/>
        </w:numPr>
        <w:suppressAutoHyphens/>
        <w:autoSpaceDN w:val="0"/>
        <w:spacing w:after="0" w:line="360" w:lineRule="auto"/>
        <w:ind w:firstLine="414"/>
        <w:contextualSpacing/>
        <w:jc w:val="both"/>
        <w:textAlignment w:val="baseline"/>
        <w:rPr>
          <w:rFonts w:ascii="Arial" w:hAnsi="Arial" w:cs="Arial"/>
          <w:sz w:val="24"/>
          <w:szCs w:val="24"/>
          <w:lang w:val="pt-PT" w:eastAsia="zh-CN"/>
        </w:rPr>
      </w:pPr>
      <w:r>
        <w:rPr>
          <w:rFonts w:ascii="Arial" w:hAnsi="Arial" w:cs="Arial"/>
          <w:b/>
          <w:sz w:val="24"/>
          <w:szCs w:val="24"/>
          <w:lang w:val="pt-PT" w:eastAsia="zh-CN"/>
        </w:rPr>
        <w:t>Modalidad:</w:t>
      </w:r>
      <w:r>
        <w:rPr>
          <w:rFonts w:ascii="Arial" w:hAnsi="Arial" w:cs="Arial"/>
          <w:sz w:val="24"/>
          <w:szCs w:val="24"/>
          <w:lang w:val="pt-PT" w:eastAsia="zh-CN"/>
        </w:rPr>
        <w:t xml:space="preserve"> Streaming. </w:t>
      </w:r>
    </w:p>
    <w:p>
      <w:pPr>
        <w:tabs>
          <w:tab w:val="left" w:pos="1891"/>
        </w:tabs>
        <w:suppressAutoHyphens/>
        <w:autoSpaceDN w:val="0"/>
        <w:spacing w:after="0" w:line="360" w:lineRule="auto"/>
        <w:contextualSpacing/>
        <w:jc w:val="both"/>
        <w:textAlignment w:val="baseline"/>
        <w:rPr>
          <w:rFonts w:ascii="Arial" w:hAnsi="Arial" w:cs="Arial"/>
          <w:sz w:val="24"/>
          <w:szCs w:val="24"/>
          <w:lang w:eastAsia="zh-CN"/>
        </w:rPr>
      </w:pPr>
    </w:p>
    <w:p>
      <w:pPr>
        <w:autoSpaceDE w:val="0"/>
        <w:autoSpaceDN w:val="0"/>
        <w:adjustRightInd w:val="0"/>
        <w:spacing w:after="0" w:line="201" w:lineRule="atLeast"/>
        <w:ind w:right="142"/>
        <w:jc w:val="both"/>
        <w:rPr>
          <w:rFonts w:ascii="Arial" w:eastAsia="Times New Roman" w:hAnsi="Arial" w:cs="Arial"/>
          <w:b/>
          <w:color w:val="000000"/>
          <w:sz w:val="24"/>
          <w:szCs w:val="24"/>
          <w:lang w:eastAsia="es-ES"/>
        </w:rPr>
      </w:pPr>
    </w:p>
    <w:p>
      <w:pPr>
        <w:shd w:val="clear" w:color="auto" w:fill="B2A1C7" w:themeFill="accent4" w:themeFillTint="99"/>
        <w:jc w:val="both"/>
        <w:rPr>
          <w:rFonts w:ascii="Arial" w:eastAsia="Times New Roman" w:hAnsi="Arial" w:cs="Arial"/>
          <w:b/>
          <w:sz w:val="24"/>
          <w:szCs w:val="24"/>
        </w:rPr>
      </w:pPr>
      <w:r>
        <w:rPr>
          <w:rFonts w:ascii="Arial" w:eastAsia="Times New Roman" w:hAnsi="Arial" w:cs="Arial"/>
          <w:b/>
          <w:sz w:val="24"/>
          <w:szCs w:val="24"/>
          <w:shd w:val="clear" w:color="auto" w:fill="B2A1C7" w:themeFill="accent4" w:themeFillTint="99"/>
        </w:rPr>
        <w:lastRenderedPageBreak/>
        <w:t>E. EVALUACIÓN DE LA INTERVENCIÓN EDUCATIVA.</w:t>
      </w:r>
      <w:r>
        <w:rPr>
          <w:rFonts w:ascii="Arial" w:eastAsia="Times New Roman" w:hAnsi="Arial" w:cs="Arial"/>
          <w:b/>
          <w:sz w:val="24"/>
          <w:szCs w:val="24"/>
        </w:rPr>
        <w:t xml:space="preserve"> RESULTADOS Y ANÁLISIS DE DATOS</w:t>
      </w: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La evaluación que realiza el equipo educativo, abarca dos vertientes: por un lado, la que evalúa las intervenciones en relación los procesos individuales de las mujeres mediante evaluación procesual o continua, la cual permite realizar cambios en la implementación (objetivos, metodología, actividades, etc.) si fuera necesario. Al mismo tiempo, la evaluación es interna, pues los seguimientos y resultados de la práctica son valorados por el propio equipo educativo en el día a día.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Al finalizar el año se lleva a cabo también una evaluación ex - post o terminal. Este tipo de evaluación permite obtener datos finales sobre los efectos de la intervención del equipo educativo y la labor profesional en sí misma. Esta evaluación se lleva a cabo de forma anual.  Los datos quedarán reflejados en el presente documento (memoria anual) que es de gran utilidad, pues no sólo aparecen en ella resultados cualitativos y cuantitativos, sino también dificultades y propuestas de mejoras para la intervención profesional futura.</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Dicha exposición de resultados se inicia con el análisis de las hojas de valoración, donde se evalúan las diferentes dimensiones educativas en el marco de los procesos individuales de cada una de las mujeres en las diferentes etapas residenciales. Para asignar una u otra puntuación se suelen considerar los indicadores, medibles y/u observables, realizando una evaluación cuantitativa:</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jc w:val="both"/>
        <w:textAlignment w:val="baseline"/>
        <w:rPr>
          <w:rFonts w:ascii="Arial" w:hAnsi="Arial" w:cs="Arial"/>
          <w:sz w:val="24"/>
          <w:szCs w:val="24"/>
          <w:lang w:eastAsia="zh-CN"/>
        </w:rPr>
      </w:pPr>
      <w:r>
        <w:rPr>
          <w:rFonts w:ascii="Arial" w:hAnsi="Arial" w:cs="Arial"/>
          <w:noProof/>
          <w:sz w:val="24"/>
          <w:szCs w:val="24"/>
          <w:lang w:eastAsia="es-ES"/>
        </w:rPr>
        <w:lastRenderedPageBreak/>
        <w:drawing>
          <wp:inline distT="0" distB="0" distL="0" distR="0">
            <wp:extent cx="5248275" cy="4819650"/>
            <wp:effectExtent l="95250" t="57150" r="85725" b="133350"/>
            <wp:docPr id="49" name="Diagrama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pPr>
        <w:suppressAutoHyphens/>
        <w:autoSpaceDN w:val="0"/>
        <w:spacing w:after="0"/>
        <w:textAlignment w:val="baseline"/>
        <w:rPr>
          <w:rFonts w:ascii="Arial" w:hAnsi="Arial" w:cs="Arial"/>
          <w:b/>
          <w:color w:val="538135"/>
          <w:sz w:val="24"/>
          <w:szCs w:val="24"/>
          <w:lang w:eastAsia="zh-CN"/>
        </w:rPr>
      </w:pPr>
      <w:r>
        <w:rPr>
          <w:rFonts w:ascii="Arial" w:hAnsi="Arial" w:cs="Arial"/>
          <w:b/>
          <w:noProof/>
          <w:color w:val="538135"/>
          <w:sz w:val="24"/>
          <w:szCs w:val="24"/>
          <w:lang w:eastAsia="es-ES"/>
        </w:rPr>
        <w:lastRenderedPageBreak/>
        <w:drawing>
          <wp:inline distT="0" distB="0" distL="0" distR="0">
            <wp:extent cx="5248275" cy="3733800"/>
            <wp:effectExtent l="95250" t="57150" r="104775" b="133350"/>
            <wp:docPr id="43" name="Diagrama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pPr>
        <w:suppressAutoHyphens/>
        <w:autoSpaceDN w:val="0"/>
        <w:spacing w:after="0"/>
        <w:textAlignment w:val="baseline"/>
        <w:rPr>
          <w:rFonts w:ascii="Arial" w:hAnsi="Arial" w:cs="Arial"/>
          <w:b/>
          <w:color w:val="538135"/>
          <w:sz w:val="24"/>
          <w:szCs w:val="24"/>
          <w:lang w:eastAsia="zh-CN"/>
        </w:rPr>
      </w:pPr>
      <w:r>
        <w:rPr>
          <w:rFonts w:ascii="Arial" w:hAnsi="Arial" w:cs="Arial"/>
          <w:b/>
          <w:noProof/>
          <w:color w:val="538135"/>
          <w:sz w:val="24"/>
          <w:szCs w:val="24"/>
          <w:lang w:eastAsia="es-ES"/>
        </w:rPr>
        <w:drawing>
          <wp:inline distT="0" distB="0" distL="0" distR="0">
            <wp:extent cx="5305425" cy="3505200"/>
            <wp:effectExtent l="95250" t="57150" r="85725" b="133350"/>
            <wp:docPr id="45" name="Diagrama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pPr>
        <w:suppressAutoHyphens/>
        <w:autoSpaceDN w:val="0"/>
        <w:spacing w:after="0"/>
        <w:textAlignment w:val="baseline"/>
        <w:rPr>
          <w:rFonts w:ascii="Arial" w:hAnsi="Arial" w:cs="Arial"/>
          <w:b/>
          <w:color w:val="538135"/>
          <w:sz w:val="24"/>
          <w:szCs w:val="24"/>
          <w:lang w:eastAsia="zh-CN"/>
        </w:rPr>
      </w:pPr>
      <w:r>
        <w:rPr>
          <w:rFonts w:ascii="Arial" w:hAnsi="Arial" w:cs="Arial"/>
          <w:b/>
          <w:noProof/>
          <w:color w:val="538135"/>
          <w:sz w:val="24"/>
          <w:szCs w:val="24"/>
          <w:lang w:eastAsia="es-ES"/>
        </w:rPr>
        <w:lastRenderedPageBreak/>
        <w:drawing>
          <wp:inline distT="0" distB="0" distL="0" distR="0">
            <wp:extent cx="5286375" cy="3150235"/>
            <wp:effectExtent l="57150" t="57150" r="47625" b="50165"/>
            <wp:docPr id="46" name="Diagrama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pPr>
        <w:suppressAutoHyphens/>
        <w:autoSpaceDN w:val="0"/>
        <w:spacing w:after="0"/>
        <w:textAlignment w:val="baseline"/>
        <w:rPr>
          <w:rFonts w:ascii="Arial" w:hAnsi="Arial" w:cs="Arial"/>
          <w:b/>
          <w:color w:val="538135"/>
          <w:sz w:val="24"/>
          <w:szCs w:val="24"/>
          <w:highlight w:val="yellow"/>
          <w:lang w:eastAsia="zh-CN"/>
        </w:rPr>
      </w:pPr>
    </w:p>
    <w:p>
      <w:pPr>
        <w:suppressAutoHyphens/>
        <w:autoSpaceDN w:val="0"/>
        <w:spacing w:after="0"/>
        <w:textAlignment w:val="baseline"/>
        <w:rPr>
          <w:rFonts w:ascii="Arial" w:hAnsi="Arial" w:cs="Arial"/>
          <w:b/>
          <w:color w:val="538135"/>
          <w:sz w:val="24"/>
          <w:szCs w:val="24"/>
          <w:lang w:eastAsia="zh-CN"/>
        </w:rPr>
      </w:pPr>
    </w:p>
    <w:p>
      <w:pPr>
        <w:suppressAutoHyphens/>
        <w:autoSpaceDN w:val="0"/>
        <w:spacing w:after="0" w:line="360" w:lineRule="auto"/>
        <w:textAlignment w:val="baseline"/>
        <w:rPr>
          <w:rFonts w:ascii="Arial" w:hAnsi="Arial" w:cs="Arial"/>
          <w:b/>
          <w:color w:val="538135"/>
          <w:sz w:val="24"/>
          <w:szCs w:val="24"/>
          <w:lang w:eastAsia="zh-CN"/>
        </w:rPr>
      </w:pPr>
      <w:r>
        <w:rPr>
          <w:rFonts w:ascii="Arial" w:hAnsi="Arial" w:cs="Arial"/>
          <w:b/>
          <w:color w:val="538135"/>
          <w:sz w:val="24"/>
          <w:szCs w:val="24"/>
          <w:lang w:eastAsia="zh-CN"/>
        </w:rPr>
        <w:t>HOJAS DE VALORACIONES</w:t>
      </w:r>
    </w:p>
    <w:p>
      <w:pPr>
        <w:suppressAutoHyphens/>
        <w:autoSpaceDN w:val="0"/>
        <w:spacing w:after="0" w:line="360" w:lineRule="auto"/>
        <w:textAlignment w:val="baseline"/>
        <w:rPr>
          <w:rFonts w:ascii="Arial" w:hAnsi="Arial" w:cs="Arial"/>
          <w:b/>
          <w:color w:val="538135"/>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Las puntuaciones proceden del cálculo de la media aritmética anual. </w:t>
      </w: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Semanalmente, durante todo el año, se hacen seguimientos de los procesos individuales donde cada una de las dimensiones educativas es puntuada para valorar y detectar aquellas dimensiones en las que incidir.  Cada mujer, dispone de una hoja de valoración, donde se recoge la información más relevante sobre las dimensiones educativas y se puntúan del 1 al 5 (1=Muy Negativo, implica la puntuación más baja; y   5=Muy positivo, puntuación más alta. Así mismo, cuando la puntuación es igual o inferior a 2, es necesario detallar una propuesta de intervención) para hacer posteriormente, un cálculo del promedio (Media aritmética) de cada dimensión educativa.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Posteriormente, se hace el cálculo de la media mensual, para finalmente, al terminar el año realizar una media anual.</w:t>
      </w: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lastRenderedPageBreak/>
        <w:t>Mediante el procedimiento de evaluación detallado, se obtienen datos muy descriptivos y también cualitativos, pues las puntuaciones indican y reflejan las características más relevantes del grupo de mujeres que han residido a lo largo de año.</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jc w:val="center"/>
        <w:textAlignment w:val="baseline"/>
        <w:rPr>
          <w:rFonts w:ascii="Arial" w:hAnsi="Arial" w:cs="Arial"/>
          <w:b/>
          <w:color w:val="538135"/>
          <w:sz w:val="24"/>
          <w:szCs w:val="24"/>
          <w:lang w:eastAsia="zh-CN"/>
        </w:rPr>
      </w:pPr>
      <w:r>
        <w:rPr>
          <w:rFonts w:ascii="Arial" w:hAnsi="Arial" w:cs="Arial"/>
          <w:b/>
          <w:noProof/>
          <w:color w:val="538135"/>
          <w:sz w:val="24"/>
          <w:szCs w:val="24"/>
          <w:lang w:eastAsia="es-ES"/>
        </w:rPr>
        <w:drawing>
          <wp:inline distT="0" distB="0" distL="0" distR="0">
            <wp:extent cx="5638800" cy="3848100"/>
            <wp:effectExtent l="0" t="0" r="0" b="0"/>
            <wp:docPr id="42" name="Gráfico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Las dimensiones que mayor puntuación obtienen son higiene, cuidado personal y motivación académica laboral; se percibe que el grupo de mujeres residentes, tienen en general hábitos de higiene y cuidado personal adquiridos, en relación a la dimensión motivación académica laboral, las mujeres que han iniciado cursos de formación o han entrado al mercado laboral, se han mantenido constantes en el desempeño y transcurso del mismo, llegando a obtener los certificados-títulos correspondientes y mostrando durante el proceso, esfuerzo e ilusión por la posibilidad de acceder a algún curso y/o trabajo.</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lastRenderedPageBreak/>
        <w:t>El cuidado de la salud también es una dimensión favorable, lo cual supone que las mujeres residentes a las que se les ha prescrito en algún momento alguna pauta farmacológica, han presentado adherencia al mismo. El control de firmas previo a la toma de la medicación como medida de seguimiento, supone una herramienta que facilita la supervisión.</w:t>
      </w:r>
    </w:p>
    <w:p>
      <w:pPr>
        <w:suppressAutoHyphens/>
        <w:autoSpaceDN w:val="0"/>
        <w:spacing w:after="0" w:line="360" w:lineRule="auto"/>
        <w:contextualSpacing/>
        <w:jc w:val="both"/>
        <w:textAlignment w:val="baseline"/>
        <w:rPr>
          <w:rFonts w:ascii="Arial" w:hAnsi="Arial" w:cs="Arial"/>
          <w:sz w:val="24"/>
          <w:szCs w:val="24"/>
          <w:lang w:eastAsia="zh-CN"/>
        </w:rPr>
      </w:pPr>
    </w:p>
    <w:p>
      <w:p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En las dimensiones de   convivencia, relaciones sociales externas y ocio se valoran con una puntuación similar.</w:t>
      </w:r>
    </w:p>
    <w:p>
      <w:pPr>
        <w:suppressAutoHyphens/>
        <w:autoSpaceDN w:val="0"/>
        <w:spacing w:after="0" w:line="360" w:lineRule="auto"/>
        <w:contextualSpacing/>
        <w:jc w:val="both"/>
        <w:textAlignment w:val="baseline"/>
        <w:rPr>
          <w:rFonts w:ascii="Arial" w:hAnsi="Arial" w:cs="Arial"/>
          <w:sz w:val="24"/>
          <w:szCs w:val="24"/>
          <w:lang w:eastAsia="zh-CN"/>
        </w:rPr>
      </w:pPr>
    </w:p>
    <w:p>
      <w:p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 </w:t>
      </w:r>
      <w:r>
        <w:rPr>
          <w:rFonts w:ascii="Arial" w:hAnsi="Arial" w:cs="Arial"/>
          <w:sz w:val="24"/>
          <w:szCs w:val="24"/>
          <w:u w:val="single"/>
          <w:lang w:eastAsia="zh-CN"/>
        </w:rPr>
        <w:t>Convivencia</w:t>
      </w:r>
      <w:r>
        <w:rPr>
          <w:rFonts w:ascii="Arial" w:hAnsi="Arial" w:cs="Arial"/>
          <w:sz w:val="24"/>
          <w:szCs w:val="24"/>
          <w:lang w:eastAsia="zh-CN"/>
        </w:rPr>
        <w:t>: la Casa de Acogida es un espacio en el que conviven mujeres de diferentes culturas, edades, capacidades, problemáticas. Las mujeres tienen en común que son supervivientes a múltiples violencias machistas. Esto genera que estas tres dimensiones se vean interpeladas constantemente en cualquier etapa de estancia en la casa y que se requiera un trabajo profesional constante de habilidades sociales, resolución de conflicto, asertividad, creación de actividades de relación, intermediación y desahogo emocional.</w:t>
      </w:r>
    </w:p>
    <w:p>
      <w:pPr>
        <w:suppressAutoHyphens/>
        <w:autoSpaceDN w:val="0"/>
        <w:spacing w:after="0" w:line="360" w:lineRule="auto"/>
        <w:contextualSpacing/>
        <w:jc w:val="both"/>
        <w:textAlignment w:val="baseline"/>
        <w:rPr>
          <w:rFonts w:ascii="Arial" w:hAnsi="Arial" w:cs="Arial"/>
          <w:sz w:val="24"/>
          <w:szCs w:val="24"/>
          <w:lang w:eastAsia="zh-CN"/>
        </w:rPr>
      </w:pPr>
    </w:p>
    <w:p>
      <w:p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u w:val="single"/>
          <w:lang w:eastAsia="zh-CN"/>
        </w:rPr>
        <w:t>- Relaciones sociales externas y ocio</w:t>
      </w:r>
      <w:r>
        <w:rPr>
          <w:rFonts w:ascii="Arial" w:hAnsi="Arial" w:cs="Arial"/>
          <w:sz w:val="24"/>
          <w:szCs w:val="24"/>
          <w:lang w:eastAsia="zh-CN"/>
        </w:rPr>
        <w:t>: debido al aumento de las actividades formativas durante el presente año, las mujeres han podido desenvolverse en contextos externos a la casa, lo cual se ha traducido en una ampliación de su círculo social en la isla y, por ende, de actividades de ocio, en compañía de esos nuevos vínculos.</w:t>
      </w:r>
    </w:p>
    <w:p>
      <w:pPr>
        <w:suppressAutoHyphens/>
        <w:autoSpaceDN w:val="0"/>
        <w:spacing w:after="0" w:line="360" w:lineRule="auto"/>
        <w:contextualSpacing/>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u w:val="single"/>
          <w:lang w:eastAsia="zh-CN"/>
        </w:rPr>
        <w:t>- Dimensión económica</w:t>
      </w:r>
      <w:r>
        <w:rPr>
          <w:rFonts w:ascii="Arial" w:hAnsi="Arial" w:cs="Arial"/>
          <w:sz w:val="24"/>
          <w:szCs w:val="24"/>
          <w:lang w:eastAsia="zh-CN"/>
        </w:rPr>
        <w:t>: muchas de las mujeres residentes no disponen de ingresos, percibiendo únicamente la ayuda social que se le facilita desde el Programa como dinero de bolsillo. Luego sucede que, las mujeres que obtienen ingresos por encontrar y acceder a un empleo, asumen y cuentan con cargas familiares económicas en el país de origen, lo cual supone que no cuenten con ese dinero para ellas en exclusividad. Es importante destacar, que esta dimensión, va estrechamente ligada a la dimensión “Motivación académico-laboral”, sobre la que hay que realizar un análisis estructural, pues en muchas ocasiones las mujeres tienen diferentes situaciones administrativas que le dificultan o anulan el acceso a talleres, cursos y/o contratos de trabajo.</w:t>
      </w:r>
    </w:p>
    <w:p>
      <w:p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u w:val="single"/>
          <w:lang w:eastAsia="zh-CN"/>
        </w:rPr>
        <w:lastRenderedPageBreak/>
        <w:t>-Estado emocional</w:t>
      </w:r>
      <w:r>
        <w:rPr>
          <w:rFonts w:ascii="Arial" w:hAnsi="Arial" w:cs="Arial"/>
          <w:sz w:val="24"/>
          <w:szCs w:val="24"/>
          <w:lang w:eastAsia="zh-CN"/>
        </w:rPr>
        <w:t>:  es una dimensión bastante fluctuante por el perfil con el que se trabaja, pues las historias de vida de las mujeres y las cargas emocionales que cargan consigo (trastorno de estrés post-traumático y otras patologías, desestructuración familiar, duelo migratorio, escasa o nula red de apoyos, vulnerabilidad extrema, escasa formación y experiencia laboral, etc.…) influyen en el estado anímico de la mujer.  A su vez, la convivencia y el clima entre residentes, también influye en el día a día de las mujeres, por lo que, cuando la situación lo requiere, se vuelve necesario intervenir para lograr que la casa sea un espacio favorecedor para los procesos individuales.</w:t>
      </w:r>
    </w:p>
    <w:p>
      <w:pPr>
        <w:suppressAutoHyphens/>
        <w:autoSpaceDN w:val="0"/>
        <w:spacing w:after="0" w:line="360" w:lineRule="auto"/>
        <w:contextualSpacing/>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 A continuación, se detalla gráficamente los resultados obtenidos en la dimensión relación materno filial.</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jc w:val="center"/>
        <w:textAlignment w:val="baseline"/>
        <w:rPr>
          <w:rFonts w:ascii="Arial" w:hAnsi="Arial" w:cs="Arial"/>
          <w:sz w:val="24"/>
          <w:szCs w:val="24"/>
          <w:lang w:eastAsia="zh-CN"/>
        </w:rPr>
      </w:pPr>
      <w:r>
        <w:rPr>
          <w:rFonts w:ascii="Arial" w:hAnsi="Arial" w:cs="Arial"/>
          <w:noProof/>
          <w:sz w:val="24"/>
          <w:szCs w:val="24"/>
          <w:lang w:eastAsia="es-ES"/>
        </w:rPr>
        <w:drawing>
          <wp:inline distT="0" distB="0" distL="0" distR="0">
            <wp:extent cx="5924550" cy="3648075"/>
            <wp:effectExtent l="0" t="0" r="0" b="9525"/>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suppressAutoHyphens/>
        <w:autoSpaceDN w:val="0"/>
        <w:spacing w:after="0"/>
        <w:textAlignment w:val="baseline"/>
        <w:rPr>
          <w:rFonts w:ascii="Arial" w:hAnsi="Arial" w:cs="Arial"/>
          <w:b/>
          <w:color w:val="538135"/>
          <w:sz w:val="24"/>
          <w:szCs w:val="24"/>
          <w:lang w:eastAsia="zh-CN"/>
        </w:rPr>
      </w:pPr>
    </w:p>
    <w:p>
      <w:pPr>
        <w:suppressAutoHyphens/>
        <w:autoSpaceDN w:val="0"/>
        <w:spacing w:after="0" w:line="360" w:lineRule="auto"/>
        <w:textAlignment w:val="baseline"/>
        <w:rPr>
          <w:rFonts w:ascii="Arial" w:hAnsi="Arial" w:cs="Arial"/>
          <w:sz w:val="24"/>
          <w:szCs w:val="24"/>
          <w:lang w:eastAsia="zh-CN"/>
        </w:rPr>
      </w:pPr>
      <w:r>
        <w:rPr>
          <w:rFonts w:ascii="Arial" w:hAnsi="Arial" w:cs="Arial"/>
          <w:sz w:val="24"/>
          <w:szCs w:val="24"/>
          <w:lang w:eastAsia="zh-CN"/>
        </w:rPr>
        <w:t>Se observa en la tabla que las dimensiones que más intervención han requerido han sido:</w:t>
      </w:r>
    </w:p>
    <w:p>
      <w:pPr>
        <w:numPr>
          <w:ilvl w:val="0"/>
          <w:numId w:val="51"/>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u w:val="single"/>
          <w:lang w:eastAsia="zh-CN"/>
        </w:rPr>
        <w:t>Hábitos alimenticios</w:t>
      </w:r>
      <w:r>
        <w:rPr>
          <w:rFonts w:ascii="Arial" w:hAnsi="Arial" w:cs="Arial"/>
          <w:sz w:val="24"/>
          <w:szCs w:val="24"/>
          <w:lang w:eastAsia="zh-CN"/>
        </w:rPr>
        <w:t xml:space="preserve">:  las madres con menores a cargo suelen ser las responsables de la alimentación de los menores, lo que implica, cocinen y </w:t>
      </w:r>
      <w:r>
        <w:rPr>
          <w:rFonts w:ascii="Arial" w:hAnsi="Arial" w:cs="Arial"/>
          <w:sz w:val="24"/>
          <w:szCs w:val="24"/>
          <w:lang w:eastAsia="zh-CN"/>
        </w:rPr>
        <w:lastRenderedPageBreak/>
        <w:t xml:space="preserve">preparen ellas mismas el menú para los mismos. Sin embargo, hay que trabajar e incidir mucho en que sea un menú adaptado a las necesidades alimentarias del menor, según la etapa evolutiva y las recomendaciones pediátricas. A su vez, ha sido necesario fomentar la importancia de consolidar horarios para las diferentes tomas. </w:t>
      </w:r>
    </w:p>
    <w:p>
      <w:pPr>
        <w:suppressAutoHyphens/>
        <w:autoSpaceDN w:val="0"/>
        <w:spacing w:after="0" w:line="360" w:lineRule="auto"/>
        <w:ind w:left="720"/>
        <w:contextualSpacing/>
        <w:jc w:val="both"/>
        <w:textAlignment w:val="baseline"/>
        <w:rPr>
          <w:rFonts w:ascii="Arial" w:hAnsi="Arial" w:cs="Arial"/>
          <w:sz w:val="24"/>
          <w:szCs w:val="24"/>
          <w:lang w:eastAsia="zh-CN"/>
        </w:rPr>
      </w:pPr>
    </w:p>
    <w:p>
      <w:pPr>
        <w:numPr>
          <w:ilvl w:val="0"/>
          <w:numId w:val="51"/>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u w:val="single"/>
          <w:lang w:eastAsia="zh-CN"/>
        </w:rPr>
        <w:t>Establecimiento de límites</w:t>
      </w:r>
      <w:r>
        <w:rPr>
          <w:rFonts w:ascii="Arial" w:hAnsi="Arial" w:cs="Arial"/>
          <w:sz w:val="24"/>
          <w:szCs w:val="24"/>
          <w:lang w:eastAsia="zh-CN"/>
        </w:rPr>
        <w:t>:  se da una tendencia a replicar modelos educativos que las mujeres han recibido en su infancia, basados en el castigo físico, verbal y/o por omisión, con gran influencia cultural. Desde el equipo educativo, así como desde otras áreas a nivel interdisciplinar, se aborda esta problemática como principio fundamental de protección a la infancia y atendiendo al protocolo Safeguarding, que recoge la premisa de entornos protectores, libres de violencias. Simultáneamente, se ha trabajado con las madres sobre estilos educativos más democráticos, dotándolas de herramientas para que puedan reconducir y regular emocionalmente a los menores desde un estilo más educativo ante el establecimiento de límite.</w:t>
      </w:r>
    </w:p>
    <w:p>
      <w:pPr>
        <w:suppressAutoHyphens/>
        <w:autoSpaceDN w:val="0"/>
        <w:spacing w:after="0" w:line="360" w:lineRule="auto"/>
        <w:ind w:left="360"/>
        <w:contextualSpacing/>
        <w:jc w:val="both"/>
        <w:textAlignment w:val="baseline"/>
        <w:rPr>
          <w:rFonts w:ascii="Arial" w:hAnsi="Arial" w:cs="Arial"/>
          <w:sz w:val="24"/>
          <w:szCs w:val="24"/>
          <w:lang w:eastAsia="zh-CN"/>
        </w:rPr>
      </w:pPr>
    </w:p>
    <w:p>
      <w:pPr>
        <w:numPr>
          <w:ilvl w:val="0"/>
          <w:numId w:val="51"/>
        </w:numPr>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u w:val="single"/>
          <w:lang w:eastAsia="zh-CN"/>
        </w:rPr>
        <w:t>Tiempo libre/ocio</w:t>
      </w:r>
      <w:r>
        <w:rPr>
          <w:rFonts w:ascii="Arial" w:hAnsi="Arial" w:cs="Arial"/>
          <w:sz w:val="24"/>
          <w:szCs w:val="24"/>
          <w:lang w:eastAsia="zh-CN"/>
        </w:rPr>
        <w:t>: es una dimensión que este año ha requerido intervención; se ha incentivado a las madres a dedicar tiempo de ocio a los menores y se ha trabajado en la importancia del mismo de cara a la sociabilización y estimulación del/la menor, regulación emocional, realización de actividades de movimiento para canalizar energía y facilitación del sueño llegado el horario establecido, etc.  Para ello, se facilita a las madres regularmente, oferta sobre actividades infantiles programadas en la ciudad o lugares tales como parques infantiles, a los que pueden acudir y dedicar a sus hijos/as tiempo de ocio.</w:t>
      </w:r>
    </w:p>
    <w:p>
      <w:pPr>
        <w:suppressAutoHyphens/>
        <w:autoSpaceDN w:val="0"/>
        <w:spacing w:after="0" w:line="360" w:lineRule="auto"/>
        <w:ind w:left="720"/>
        <w:contextualSpacing/>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En las dimensiones anteriores, influye considerablemente las diferencias culturales y los patrones de educación de las madres. Sin embargo, a medida que las madres establecen el vínculo de confianza (y los menores también), suelen mostrar una gran receptividad a herramientas que les hace llegar el equipo educativo para integrarlos en su estilo de crianza y de cuidados.</w:t>
      </w: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lastRenderedPageBreak/>
        <w:t>Las dimensiones de higiene, cuidado personal y de la salud, son las dimensiones más favorables en las que no ha sido necesaria la intervención por parte del equipo educativo.</w:t>
      </w:r>
    </w:p>
    <w:p>
      <w:pPr>
        <w:suppressAutoHyphens/>
        <w:autoSpaceDN w:val="0"/>
        <w:spacing w:after="0" w:line="360" w:lineRule="auto"/>
        <w:textAlignment w:val="baseline"/>
        <w:rPr>
          <w:rFonts w:ascii="Arial" w:hAnsi="Arial" w:cs="Arial"/>
          <w:sz w:val="24"/>
          <w:szCs w:val="24"/>
          <w:lang w:eastAsia="zh-CN"/>
        </w:rPr>
      </w:pPr>
    </w:p>
    <w:p>
      <w:pPr>
        <w:suppressAutoHyphens/>
        <w:autoSpaceDN w:val="0"/>
        <w:spacing w:after="0" w:line="360" w:lineRule="auto"/>
        <w:textAlignment w:val="baseline"/>
        <w:rPr>
          <w:rFonts w:ascii="Arial" w:hAnsi="Arial" w:cs="Arial"/>
          <w:b/>
          <w:sz w:val="24"/>
          <w:szCs w:val="24"/>
          <w:lang w:eastAsia="zh-CN"/>
        </w:rPr>
      </w:pPr>
      <w:r>
        <w:rPr>
          <w:rFonts w:ascii="Arial" w:hAnsi="Arial" w:cs="Arial"/>
          <w:b/>
          <w:sz w:val="24"/>
          <w:szCs w:val="24"/>
          <w:lang w:eastAsia="zh-CN"/>
        </w:rPr>
        <w:t>Evaluación de las Asambleas</w:t>
      </w:r>
    </w:p>
    <w:p>
      <w:pPr>
        <w:suppressAutoHyphens/>
        <w:autoSpaceDN w:val="0"/>
        <w:spacing w:after="0" w:line="360" w:lineRule="auto"/>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Se considera que las asambleas son un espacio de encuentro en la casa entre mujeres residente y profesionales del equipo educativo de vital importancia, ya que en ellas se abordan, no solo temas que conciernen a la convivencia, sino que además es un espacio donde las mujeres participan, opinan y trasladan sus propuestas de mejora, sugerencias, etc. Se concibe así, la voz de las mujeres residentes, como protagonistas sobre su estancia en el recurso y participantes del clima que se desarrolla en el hogar, así como el cuidado del mismo.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Durante el año 2025, se han desarrollado un total de 10 asambleas. </w:t>
      </w:r>
    </w:p>
    <w:p>
      <w:pPr>
        <w:suppressAutoHyphens/>
        <w:autoSpaceDN w:val="0"/>
        <w:spacing w:after="0"/>
        <w:jc w:val="both"/>
        <w:textAlignment w:val="baseline"/>
        <w:rPr>
          <w:rFonts w:ascii="Arial" w:hAnsi="Arial" w:cs="Arial"/>
          <w:sz w:val="24"/>
          <w:szCs w:val="24"/>
          <w:lang w:eastAsia="zh-CN"/>
        </w:rPr>
      </w:pPr>
    </w:p>
    <w:tbl>
      <w:tblPr>
        <w:tblStyle w:val="Tablaconcuadrcula271"/>
        <w:tblW w:w="0" w:type="auto"/>
        <w:jc w:val="center"/>
        <w:tblLook w:val="04A0" w:firstRow="1" w:lastRow="0" w:firstColumn="1" w:lastColumn="0" w:noHBand="0" w:noVBand="1"/>
      </w:tblPr>
      <w:tblGrid>
        <w:gridCol w:w="2123"/>
        <w:gridCol w:w="2123"/>
        <w:gridCol w:w="2124"/>
        <w:gridCol w:w="2124"/>
      </w:tblGrid>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p>
        </w:tc>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Nº de participantes</w:t>
            </w:r>
          </w:p>
        </w:tc>
        <w:tc>
          <w:tcPr>
            <w:tcW w:w="2124"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Nº de residentes</w:t>
            </w:r>
          </w:p>
        </w:tc>
        <w:tc>
          <w:tcPr>
            <w:tcW w:w="2124"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Nivel de participación</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Enero</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3</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4</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90%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 xml:space="preserve">Febrero </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5</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5</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100%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 xml:space="preserve">Marzo </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4</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5</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90%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Abril</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5</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6</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90%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Junio</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10</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10</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100%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Agosto</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5</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7</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80%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Septiembre</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6</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7</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90%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Octubre</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4</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8</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50%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Noviembre</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8</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9</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90%</w:t>
            </w:r>
          </w:p>
        </w:tc>
      </w:tr>
      <w:tr>
        <w:trPr>
          <w:jc w:val="center"/>
        </w:trPr>
        <w:tc>
          <w:tcPr>
            <w:tcW w:w="2123" w:type="dxa"/>
          </w:tcPr>
          <w:p>
            <w:pPr>
              <w:suppressAutoHyphens/>
              <w:autoSpaceDN w:val="0"/>
              <w:spacing w:after="0"/>
              <w:jc w:val="center"/>
              <w:textAlignment w:val="baseline"/>
              <w:rPr>
                <w:rFonts w:ascii="Arial" w:hAnsi="Arial" w:cs="Arial"/>
                <w:b/>
                <w:sz w:val="24"/>
                <w:szCs w:val="24"/>
                <w:lang w:eastAsia="zh-CN"/>
              </w:rPr>
            </w:pPr>
            <w:r>
              <w:rPr>
                <w:rFonts w:ascii="Arial" w:hAnsi="Arial" w:cs="Arial"/>
                <w:b/>
                <w:sz w:val="24"/>
                <w:szCs w:val="24"/>
                <w:lang w:eastAsia="zh-CN"/>
              </w:rPr>
              <w:t>Diciembre</w:t>
            </w:r>
          </w:p>
        </w:tc>
        <w:tc>
          <w:tcPr>
            <w:tcW w:w="2123"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7</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7</w:t>
            </w:r>
          </w:p>
        </w:tc>
        <w:tc>
          <w:tcPr>
            <w:tcW w:w="2124" w:type="dxa"/>
          </w:tcPr>
          <w:p>
            <w:pPr>
              <w:suppressAutoHyphens/>
              <w:autoSpaceDN w:val="0"/>
              <w:spacing w:after="0"/>
              <w:jc w:val="center"/>
              <w:textAlignment w:val="baseline"/>
              <w:rPr>
                <w:rFonts w:ascii="Arial" w:hAnsi="Arial" w:cs="Arial"/>
                <w:sz w:val="24"/>
                <w:szCs w:val="24"/>
                <w:lang w:eastAsia="zh-CN"/>
              </w:rPr>
            </w:pPr>
            <w:r>
              <w:rPr>
                <w:rFonts w:ascii="Arial" w:hAnsi="Arial" w:cs="Arial"/>
                <w:sz w:val="24"/>
                <w:szCs w:val="24"/>
                <w:lang w:eastAsia="zh-CN"/>
              </w:rPr>
              <w:t>100%</w:t>
            </w:r>
          </w:p>
        </w:tc>
      </w:tr>
    </w:tbl>
    <w:p>
      <w:pPr>
        <w:suppressAutoHyphens/>
        <w:autoSpaceDN w:val="0"/>
        <w:spacing w:after="0"/>
        <w:textAlignment w:val="baseline"/>
        <w:rPr>
          <w:rFonts w:ascii="Arial" w:hAnsi="Arial" w:cs="Arial"/>
          <w:color w:val="538135"/>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Se observa que en la mayoría de las asambleas la participación ha sido muy alta. Las ausencias han sido por causas justificadas (curso, empleo, asistencia al médico).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Este dato corrobora la importancia, una vez más, que las mujeres otorgan a este espacio dentro de la dinámica del hogar. También ha de considerarse en la evaluación </w:t>
      </w:r>
      <w:r>
        <w:rPr>
          <w:rFonts w:ascii="Arial" w:hAnsi="Arial" w:cs="Arial"/>
          <w:sz w:val="24"/>
          <w:szCs w:val="24"/>
          <w:lang w:eastAsia="zh-CN"/>
        </w:rPr>
        <w:lastRenderedPageBreak/>
        <w:t xml:space="preserve">de las mismas cómo el clima de convivencia que se esté dando en la casa en el momento previsto para la asamblea, influye mucho en la ejecución de la misma. En dicha evaluación se llevan a cabo dos tipos de evaluación: una llevada a cabo por las mujeres residentes y otra por la educadora que ha dinamizado la asamblea.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En la siguiente gráfica se resume la valoración obtenida en las evaluaciones respondidas por las residentes: </w:t>
      </w: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jc w:val="center"/>
        <w:textAlignment w:val="baseline"/>
        <w:rPr>
          <w:rFonts w:ascii="Arial" w:hAnsi="Arial" w:cs="Arial"/>
          <w:sz w:val="24"/>
          <w:szCs w:val="24"/>
          <w:lang w:eastAsia="zh-CN"/>
        </w:rPr>
      </w:pPr>
      <w:r>
        <w:rPr>
          <w:rFonts w:ascii="Arial" w:hAnsi="Arial" w:cs="Arial"/>
          <w:noProof/>
          <w:sz w:val="24"/>
          <w:szCs w:val="24"/>
          <w:lang w:eastAsia="es-ES"/>
        </w:rPr>
        <w:drawing>
          <wp:inline distT="0" distB="0" distL="0" distR="0">
            <wp:extent cx="5424001" cy="2905125"/>
            <wp:effectExtent l="0" t="0" r="571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49349" cy="2918702"/>
                    </a:xfrm>
                    <a:prstGeom prst="rect">
                      <a:avLst/>
                    </a:prstGeom>
                    <a:noFill/>
                  </pic:spPr>
                </pic:pic>
              </a:graphicData>
            </a:graphic>
          </wp:inline>
        </w:drawing>
      </w:r>
    </w:p>
    <w:p>
      <w:pPr>
        <w:suppressAutoHyphens/>
        <w:autoSpaceDN w:val="0"/>
        <w:spacing w:after="0"/>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Las preguntas relativas al nivel de satisfacción tienen que ver con la adecuación de las asambleas dentro de la dinámica de la Casa de Acogida, la metodología empleada, el tipo de actividades seleccionadas, la valoración del clima durante la sesión y la utilidad de la participación del grupo. De los 55 cuestionarios de evaluación realizados, el 85,12% se corresponde con respuestas positivas por cada uno de esos ítems.</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En este cuestionario de evaluación existen otro tipo preguntas abiertas, que no presentan puntuación, de modo que mujer dispone de un espacio para expresar su opinión, o la desestima en base a la respuesta de la pregunta anterior. </w:t>
      </w: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p>
    <w:p>
      <w:pPr>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lastRenderedPageBreak/>
        <w:t xml:space="preserve">Se recoge a continuación algunas de las respuestas recogidas por las mujeres a las preguntas abiertas: </w:t>
      </w:r>
    </w:p>
    <w:p>
      <w:pPr>
        <w:suppressAutoHyphens/>
        <w:autoSpaceDN w:val="0"/>
        <w:spacing w:after="0" w:line="360" w:lineRule="auto"/>
        <w:jc w:val="both"/>
        <w:textAlignment w:val="baseline"/>
        <w:rPr>
          <w:rFonts w:ascii="Arial" w:hAnsi="Arial" w:cs="Arial"/>
          <w:sz w:val="24"/>
          <w:szCs w:val="24"/>
          <w:lang w:eastAsia="zh-CN"/>
        </w:rPr>
      </w:pPr>
    </w:p>
    <w:p>
      <w:pPr>
        <w:pStyle w:val="Prrafodelista"/>
        <w:numPr>
          <w:ilvl w:val="0"/>
          <w:numId w:val="140"/>
        </w:numPr>
        <w:spacing w:after="160" w:line="360" w:lineRule="auto"/>
        <w:jc w:val="both"/>
        <w:rPr>
          <w:rFonts w:ascii="Arial" w:eastAsia="Times New Roman" w:hAnsi="Arial" w:cs="Arial"/>
          <w:color w:val="000000"/>
          <w:sz w:val="24"/>
          <w:szCs w:val="24"/>
          <w:lang w:eastAsia="es-ES"/>
        </w:rPr>
      </w:pPr>
      <w:r>
        <w:rPr>
          <w:rFonts w:ascii="Arial" w:hAnsi="Arial" w:cs="Arial"/>
          <w:b/>
          <w:sz w:val="24"/>
          <w:szCs w:val="24"/>
          <w:lang w:eastAsia="zh-CN"/>
        </w:rPr>
        <w:t>*¿Qué es lo que más te ha gustado?:</w:t>
      </w:r>
      <w:r>
        <w:rPr>
          <w:rFonts w:ascii="Arial" w:hAnsi="Arial" w:cs="Arial"/>
          <w:sz w:val="24"/>
          <w:szCs w:val="24"/>
          <w:lang w:eastAsia="zh-CN"/>
        </w:rPr>
        <w:t xml:space="preserve"> </w:t>
      </w:r>
      <w:r>
        <w:rPr>
          <w:rFonts w:ascii="Arial" w:hAnsi="Arial" w:cs="Arial"/>
          <w:i/>
          <w:sz w:val="24"/>
          <w:szCs w:val="24"/>
          <w:lang w:eastAsia="zh-CN"/>
        </w:rPr>
        <w:t xml:space="preserve">“Que participaran todas” </w:t>
      </w:r>
      <w:r>
        <w:rPr>
          <w:rFonts w:ascii="Arial" w:eastAsia="Times New Roman" w:hAnsi="Arial" w:cs="Arial"/>
          <w:color w:val="000000"/>
          <w:sz w:val="24"/>
          <w:szCs w:val="24"/>
          <w:lang w:eastAsia="es-ES"/>
        </w:rPr>
        <w:t>“Momento de risas y respeto”</w:t>
      </w:r>
    </w:p>
    <w:p>
      <w:pPr>
        <w:pStyle w:val="Prrafodelista"/>
        <w:numPr>
          <w:ilvl w:val="0"/>
          <w:numId w:val="140"/>
        </w:numPr>
        <w:spacing w:after="160" w:line="360" w:lineRule="auto"/>
        <w:jc w:val="both"/>
        <w:rPr>
          <w:rFonts w:ascii="Arial" w:eastAsia="Times New Roman" w:hAnsi="Arial" w:cs="Arial"/>
          <w:b/>
          <w:color w:val="000000"/>
          <w:sz w:val="24"/>
          <w:szCs w:val="24"/>
          <w:lang w:eastAsia="es-ES"/>
        </w:rPr>
      </w:pPr>
      <w:r>
        <w:rPr>
          <w:rFonts w:ascii="Arial" w:eastAsia="Times New Roman" w:hAnsi="Arial" w:cs="Arial"/>
          <w:b/>
          <w:i/>
          <w:color w:val="000000"/>
          <w:sz w:val="24"/>
          <w:szCs w:val="24"/>
          <w:lang w:eastAsia="es-ES"/>
        </w:rPr>
        <w:t>*¿Qué es lo que menos te ha gustado?</w:t>
      </w:r>
      <w:r>
        <w:rPr>
          <w:rFonts w:ascii="Arial" w:eastAsia="Times New Roman" w:hAnsi="Arial" w:cs="Arial"/>
          <w:b/>
          <w:color w:val="000000"/>
          <w:sz w:val="24"/>
          <w:szCs w:val="24"/>
          <w:lang w:eastAsia="es-ES"/>
        </w:rPr>
        <w:t xml:space="preserve">: </w:t>
      </w:r>
      <w:r>
        <w:rPr>
          <w:rFonts w:ascii="Arial" w:eastAsia="Times New Roman" w:hAnsi="Arial" w:cs="Arial"/>
          <w:i/>
          <w:color w:val="000000"/>
          <w:sz w:val="24"/>
          <w:szCs w:val="24"/>
          <w:lang w:eastAsia="es-ES"/>
        </w:rPr>
        <w:t>“La falta de sinceridad de algunas compañeras” “La ausencia de compañeras en la asamblea”.</w:t>
      </w:r>
      <w:r>
        <w:rPr>
          <w:rFonts w:ascii="Arial" w:eastAsia="Times New Roman" w:hAnsi="Arial" w:cs="Arial"/>
          <w:b/>
          <w:color w:val="000000"/>
          <w:sz w:val="24"/>
          <w:szCs w:val="24"/>
          <w:lang w:eastAsia="es-ES"/>
        </w:rPr>
        <w:t xml:space="preserve"> </w:t>
      </w:r>
    </w:p>
    <w:p>
      <w:pPr>
        <w:spacing w:after="0" w:line="240" w:lineRule="auto"/>
        <w:rPr>
          <w:rFonts w:ascii="Arial" w:hAnsi="Arial" w:cs="Arial"/>
          <w:b/>
          <w:sz w:val="24"/>
          <w:szCs w:val="24"/>
        </w:rPr>
      </w:pPr>
    </w:p>
    <w:p>
      <w:pPr>
        <w:shd w:val="clear" w:color="auto" w:fill="B2A1C7" w:themeFill="accent4" w:themeFillTint="99"/>
        <w:tabs>
          <w:tab w:val="left" w:pos="284"/>
        </w:tabs>
        <w:suppressAutoHyphens/>
        <w:autoSpaceDN w:val="0"/>
        <w:spacing w:after="0"/>
        <w:contextualSpacing/>
        <w:jc w:val="both"/>
        <w:textAlignment w:val="baseline"/>
        <w:rPr>
          <w:rFonts w:ascii="Arial" w:hAnsi="Arial" w:cs="Arial"/>
          <w:b/>
          <w:sz w:val="24"/>
          <w:szCs w:val="24"/>
          <w:lang w:eastAsia="zh-CN"/>
        </w:rPr>
      </w:pPr>
      <w:r>
        <w:rPr>
          <w:rFonts w:ascii="Arial" w:hAnsi="Arial" w:cs="Arial"/>
          <w:b/>
          <w:sz w:val="24"/>
          <w:szCs w:val="24"/>
          <w:lang w:eastAsia="zh-CN"/>
        </w:rPr>
        <w:t>F. LOGROS ALCANZADOS, DIFICULTADES, NECESIDADES DETECTADAS Y PROPUESTAS DE MEJORA.</w:t>
      </w:r>
    </w:p>
    <w:p>
      <w:pPr>
        <w:spacing w:after="0" w:line="240" w:lineRule="auto"/>
        <w:rPr>
          <w:rFonts w:ascii="Arial" w:hAnsi="Arial" w:cs="Arial"/>
          <w:b/>
          <w:sz w:val="24"/>
          <w:szCs w:val="24"/>
        </w:rPr>
      </w:pPr>
    </w:p>
    <w:p>
      <w:pPr>
        <w:tabs>
          <w:tab w:val="left" w:pos="284"/>
        </w:tabs>
        <w:suppressAutoHyphens/>
        <w:autoSpaceDN w:val="0"/>
        <w:spacing w:after="0" w:line="360" w:lineRule="auto"/>
        <w:jc w:val="both"/>
        <w:textAlignment w:val="baseline"/>
        <w:rPr>
          <w:rFonts w:ascii="Arial" w:hAnsi="Arial" w:cs="Arial"/>
          <w:b/>
          <w:sz w:val="24"/>
          <w:szCs w:val="24"/>
          <w:lang w:eastAsia="zh-CN"/>
        </w:rPr>
      </w:pPr>
      <w:r>
        <w:rPr>
          <w:rFonts w:ascii="Arial" w:hAnsi="Arial" w:cs="Arial"/>
          <w:b/>
          <w:sz w:val="24"/>
          <w:szCs w:val="24"/>
          <w:lang w:eastAsia="zh-CN"/>
        </w:rPr>
        <w:t xml:space="preserve">Logros alcanzados referidos a las dimensiones educativas y/o en relación a los objetivos y procesos individuales de las mujeres: </w:t>
      </w:r>
    </w:p>
    <w:p>
      <w:pPr>
        <w:tabs>
          <w:tab w:val="left" w:pos="284"/>
        </w:tabs>
        <w:suppressAutoHyphens/>
        <w:autoSpaceDN w:val="0"/>
        <w:spacing w:after="0" w:line="360" w:lineRule="auto"/>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Considerable número de salidas culturales y de ocio, así como según la demanda de las mujeres actividades referidas a la cocina y de manualidades, despertando cierto interés por los espacios urbanos, actividades, etc. Al mismo tiempo ha favorecido la unión y el conocimiento grupal. El equipo educativo se convierte en un punto de referencia y un apoyo afectivo para las mujeres, especialmente cuando las redes sociales y/o familiares son escasas o nulas, mediante el fomento del vínculo de confianza. </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Se observa que, durante la estancia en el hogar, las mujeres recurren al equipo educativo para compartir experiencias, dificultades o como espacio de desahogo emocional. Este año ponemos en valor los siguientes aspectos:</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numPr>
          <w:ilvl w:val="0"/>
          <w:numId w:val="75"/>
        </w:numPr>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Cuadros de rutinas diarias para aquellas mujeres que lo necesiten, con la finalidad de conseguir una autonomía plena. </w:t>
      </w:r>
    </w:p>
    <w:p>
      <w:pPr>
        <w:widowControl w:val="0"/>
        <w:numPr>
          <w:ilvl w:val="0"/>
          <w:numId w:val="75"/>
        </w:numPr>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Las madres han logrado que sus hijos/as se ajusten a las rutinas diarias (comida, alimentación, juegos…), sirviéndose de herramientas y estrategias trabajadas con la educadora. Esto ha mejorado la autonomía y el bienestar de los menores. </w:t>
      </w:r>
    </w:p>
    <w:p>
      <w:pPr>
        <w:widowControl w:val="0"/>
        <w:numPr>
          <w:ilvl w:val="0"/>
          <w:numId w:val="75"/>
        </w:numPr>
        <w:tabs>
          <w:tab w:val="left" w:pos="284"/>
          <w:tab w:val="left" w:pos="709"/>
          <w:tab w:val="left" w:pos="851"/>
        </w:tab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Notable avance en cuanto al clima y ambiente del hogar, siendo positiva la relación </w:t>
      </w:r>
      <w:r>
        <w:rPr>
          <w:rFonts w:ascii="Arial" w:hAnsi="Arial" w:cs="Arial"/>
          <w:sz w:val="24"/>
          <w:szCs w:val="24"/>
          <w:lang w:eastAsia="zh-CN"/>
        </w:rPr>
        <w:lastRenderedPageBreak/>
        <w:t xml:space="preserve">entre las mujeres que hacen uso del recurso, poniendo en práctica estrategias de afrontamiento a los conflictos, desde un estilo asertivo. </w:t>
      </w:r>
    </w:p>
    <w:p>
      <w:pPr>
        <w:widowControl w:val="0"/>
        <w:numPr>
          <w:ilvl w:val="0"/>
          <w:numId w:val="75"/>
        </w:numPr>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rPr>
        <w:t xml:space="preserve">Mayor implicación y predisposición por participar en los talleres socioeducativos y asambleas, desde que se realizan en las oficinas de la entidad, aportando una mayor formalidad a estas acciones. </w:t>
      </w:r>
    </w:p>
    <w:p>
      <w:pPr>
        <w:widowControl w:val="0"/>
        <w:numPr>
          <w:ilvl w:val="0"/>
          <w:numId w:val="75"/>
        </w:numPr>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rPr>
        <w:t xml:space="preserve">El papel de la educadora en espacios o aulas formativas no sólo en el hogar </w:t>
      </w:r>
    </w:p>
    <w:p>
      <w:pPr>
        <w:widowControl w:val="0"/>
        <w:numPr>
          <w:ilvl w:val="0"/>
          <w:numId w:val="75"/>
        </w:numPr>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rPr>
        <w:t>El haber contado con recursos como las aulas de la biblioteca municipal para impartir talleres o hacer cine fórums.</w:t>
      </w:r>
    </w:p>
    <w:p>
      <w:pPr>
        <w:widowControl w:val="0"/>
        <w:numPr>
          <w:ilvl w:val="0"/>
          <w:numId w:val="75"/>
        </w:numPr>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Se otorga este año, diploma acreditativo de los talleres y beca, algo que aumenta la motivación de las mujeres para acudir a los talleres. </w:t>
      </w:r>
      <w:r>
        <w:rPr>
          <w:rFonts w:ascii="Arial" w:hAnsi="Arial" w:cs="Arial"/>
          <w:sz w:val="24"/>
          <w:szCs w:val="24"/>
        </w:rPr>
        <w:t xml:space="preserve"> </w:t>
      </w:r>
    </w:p>
    <w:p>
      <w:pPr>
        <w:widowControl w:val="0"/>
        <w:numPr>
          <w:ilvl w:val="0"/>
          <w:numId w:val="75"/>
        </w:numPr>
        <w:tabs>
          <w:tab w:val="left" w:pos="284"/>
          <w:tab w:val="left" w:pos="709"/>
          <w:tab w:val="left" w:pos="851"/>
        </w:tab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Las mujeres residentes han expresado sentimientos de seguridad y protección que les proporciona el hogar, lo que se interpreta como un logro relacionado con la calidad de la intervención y el buen clima creado entre todo el equipo educativo. Se observa un mayor sentimiento de pertenencia, proactividad a la hora de realizar actividades en el hogar o fuera de él, con las compañeras y educadoras.</w:t>
      </w:r>
    </w:p>
    <w:p>
      <w:pPr>
        <w:widowControl w:val="0"/>
        <w:numPr>
          <w:ilvl w:val="0"/>
          <w:numId w:val="75"/>
        </w:numPr>
        <w:tabs>
          <w:tab w:val="left" w:pos="284"/>
          <w:tab w:val="left" w:pos="709"/>
          <w:tab w:val="left" w:pos="851"/>
        </w:tab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Integración al mundo laboral </w:t>
      </w:r>
    </w:p>
    <w:p>
      <w:pPr>
        <w:widowControl w:val="0"/>
        <w:numPr>
          <w:ilvl w:val="0"/>
          <w:numId w:val="75"/>
        </w:numPr>
        <w:tabs>
          <w:tab w:val="left" w:pos="284"/>
          <w:tab w:val="left" w:pos="709"/>
          <w:tab w:val="left" w:pos="851"/>
        </w:tab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Integración de alumna en prácticas en el recurso alojativo, contando el equipo educativo con apoyo en cada turno.</w:t>
      </w:r>
    </w:p>
    <w:p>
      <w:pPr>
        <w:widowControl w:val="0"/>
        <w:numPr>
          <w:ilvl w:val="0"/>
          <w:numId w:val="75"/>
        </w:numPr>
        <w:tabs>
          <w:tab w:val="left" w:pos="284"/>
          <w:tab w:val="left" w:pos="709"/>
          <w:tab w:val="left" w:pos="851"/>
        </w:tab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Avances destacables en los procesos de crecimiento personal, lo que supone dosis de autonomía, desarrollo de sus capacidades y destrezas para afrontar proyecto de vida fuera de la casa, logrando hasta tres incorporaciones al piso de autonomía. </w:t>
      </w:r>
    </w:p>
    <w:p>
      <w:pPr>
        <w:numPr>
          <w:ilvl w:val="0"/>
          <w:numId w:val="75"/>
        </w:numPr>
        <w:spacing w:after="0" w:line="360" w:lineRule="auto"/>
        <w:contextualSpacing/>
        <w:jc w:val="both"/>
        <w:rPr>
          <w:rFonts w:ascii="Arial" w:hAnsi="Arial" w:cs="Arial"/>
          <w:sz w:val="24"/>
          <w:szCs w:val="24"/>
        </w:rPr>
      </w:pPr>
      <w:r>
        <w:rPr>
          <w:rFonts w:ascii="Arial" w:hAnsi="Arial" w:cs="Arial"/>
          <w:sz w:val="24"/>
          <w:szCs w:val="24"/>
        </w:rPr>
        <w:t xml:space="preserve">Estar presentes en las entrevistas de derivación, en las cuales, nuestro papel junto con el área social, es la de mantener un primer contacto con la mujer y valorar así su perfil, de cara a ofrecer una atención óptima en el recurso de acogida. </w:t>
      </w:r>
    </w:p>
    <w:p>
      <w:pPr>
        <w:widowControl w:val="0"/>
        <w:tabs>
          <w:tab w:val="left" w:pos="284"/>
          <w:tab w:val="left" w:pos="709"/>
          <w:tab w:val="left" w:pos="851"/>
        </w:tabs>
        <w:autoSpaceDN w:val="0"/>
        <w:spacing w:after="160" w:line="360" w:lineRule="auto"/>
        <w:contextualSpacing/>
        <w:jc w:val="both"/>
        <w:textAlignment w:val="baseline"/>
        <w:rPr>
          <w:rFonts w:ascii="Arial" w:hAnsi="Arial" w:cs="Arial"/>
          <w:sz w:val="24"/>
          <w:szCs w:val="24"/>
          <w:lang w:eastAsia="zh-CN"/>
        </w:rPr>
      </w:pPr>
    </w:p>
    <w:p>
      <w:pPr>
        <w:widowControl w:val="0"/>
        <w:tabs>
          <w:tab w:val="left" w:pos="284"/>
          <w:tab w:val="left" w:pos="709"/>
          <w:tab w:val="left" w:pos="851"/>
        </w:tabs>
        <w:autoSpaceDN w:val="0"/>
        <w:spacing w:after="0" w:line="360" w:lineRule="auto"/>
        <w:jc w:val="both"/>
        <w:textAlignment w:val="baseline"/>
        <w:rPr>
          <w:rFonts w:ascii="Arial" w:hAnsi="Arial" w:cs="Arial"/>
          <w:b/>
          <w:sz w:val="24"/>
          <w:szCs w:val="24"/>
          <w:lang w:eastAsia="zh-CN"/>
        </w:rPr>
      </w:pPr>
      <w:r>
        <w:rPr>
          <w:rFonts w:ascii="Arial" w:hAnsi="Arial" w:cs="Arial"/>
          <w:b/>
          <w:sz w:val="24"/>
          <w:szCs w:val="24"/>
          <w:lang w:eastAsia="zh-CN"/>
        </w:rPr>
        <w:t>Logros referidos a la dinamización, funcionamiento y mantenimiento del hogar:</w:t>
      </w:r>
    </w:p>
    <w:p>
      <w:pPr>
        <w:widowControl w:val="0"/>
        <w:tabs>
          <w:tab w:val="left" w:pos="284"/>
          <w:tab w:val="left" w:pos="709"/>
          <w:tab w:val="left" w:pos="851"/>
        </w:tabs>
        <w:autoSpaceDN w:val="0"/>
        <w:spacing w:after="0" w:line="360" w:lineRule="auto"/>
        <w:jc w:val="both"/>
        <w:textAlignment w:val="baseline"/>
        <w:rPr>
          <w:rFonts w:ascii="Arial" w:hAnsi="Arial" w:cs="Arial"/>
          <w:sz w:val="24"/>
          <w:szCs w:val="24"/>
          <w:lang w:eastAsia="zh-CN"/>
        </w:rPr>
      </w:pPr>
    </w:p>
    <w:p>
      <w:pPr>
        <w:widowControl w:val="0"/>
        <w:tabs>
          <w:tab w:val="left" w:pos="284"/>
          <w:tab w:val="left" w:pos="709"/>
          <w:tab w:val="left" w:pos="851"/>
        </w:tab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Mejor estado de la casa en general: reformas necesarias (pintura, fontanería, etc.)  haciendo de la casa, un hogar más seguro y digno. Para ello ha sido fundamental el contar con una subvención concedida por Naturgy, con vigencia desde finales de 2025 </w:t>
      </w:r>
      <w:r>
        <w:rPr>
          <w:rFonts w:ascii="Arial" w:hAnsi="Arial" w:cs="Arial"/>
          <w:sz w:val="24"/>
          <w:szCs w:val="24"/>
          <w:lang w:eastAsia="zh-CN"/>
        </w:rPr>
        <w:lastRenderedPageBreak/>
        <w:t>hasta el año 2027, específica para la mejora en el mantenimiento y equipamiento de la Casa de Acogida Daniela.</w:t>
      </w:r>
    </w:p>
    <w:p>
      <w:pPr>
        <w:widowControl w:val="0"/>
        <w:tabs>
          <w:tab w:val="left" w:pos="284"/>
          <w:tab w:val="left" w:pos="709"/>
          <w:tab w:val="left" w:pos="851"/>
        </w:tabs>
        <w:autoSpaceDN w:val="0"/>
        <w:spacing w:after="0" w:line="360" w:lineRule="auto"/>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Durante el año 2025 se han realizado un total de 10 asambleas. Se percibe implicación de las participantes en el desarrollo de las mismas, dando lugar a una óptima convivencia.</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Interiorización por parte de las mujeres de los horarios de apertura y cierre del hogar, para acudir a actividades formativas o de otra índole, favorecedor para su proceso personal. Además, se ha observado una mayor implicación de las mujeres en tareas en las que se requieren su colaboración.</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La dinámica de supervisión del orden y limpieza del recurso de acogida, se ha visto reflejada en la importancia que las mujeres dan a cuidar el espacio.</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b/>
          <w:sz w:val="24"/>
          <w:szCs w:val="24"/>
          <w:lang w:eastAsia="zh-CN"/>
        </w:rPr>
      </w:pPr>
      <w:r>
        <w:rPr>
          <w:rFonts w:ascii="Arial" w:hAnsi="Arial" w:cs="Arial"/>
          <w:b/>
          <w:sz w:val="24"/>
          <w:szCs w:val="24"/>
          <w:lang w:eastAsia="zh-CN"/>
        </w:rPr>
        <w:t xml:space="preserve">Logros referidos a la redacción/manejo de documentos técnicos y/o reuniones y coordinación de equipo educativo e interdisciplinar: </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Se han realizado en tiempo y forma los diferentes documentos técnicos que conciernen a los procesos individuales de las mujeres. Siendo los datos anuales bastante fiables, conteniendo aportaciones de todo el equipo educativo, de cara a recoger una información lo más completa y objetiva posible.</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Se ha mejorado la coordinación interna, gracias a un calendario virtual común al cual tienen acceso todas las áreas del programa, donde se reflejan las reuniones de equipo, citas, talleres, formaciones de equipo, etc.</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r>
        <w:rPr>
          <w:rFonts w:ascii="Arial" w:hAnsi="Arial" w:cs="Arial"/>
          <w:b/>
          <w:sz w:val="24"/>
          <w:szCs w:val="24"/>
          <w:lang w:eastAsia="zh-CN"/>
        </w:rPr>
        <w:lastRenderedPageBreak/>
        <w:t xml:space="preserve">Logros Referidos a la coordinación con otros recursos y/o agentes externos: </w:t>
      </w: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r>
        <w:rPr>
          <w:rFonts w:ascii="Arial" w:hAnsi="Arial" w:cs="Arial"/>
          <w:sz w:val="24"/>
          <w:szCs w:val="24"/>
          <w:lang w:eastAsia="zh-CN"/>
        </w:rPr>
        <w:t xml:space="preserve">El Programa continúa en apertura a admitir alumnado en prácticas. En el año 2025 se acoge a una alumna del Ciclo Superior de Integración Social, ampliando así los perfiles profesionales, enriqueciendo al equipo educativo y, por ende, al equipo interdisciplinar. </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La presencia del voluntariado ha supuesto una ampliación en la temática de talleres formativos, realizándose a lo largo del año 2025 diversas actividades que han suscitado en las mujeres el deseo de participación. </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r>
        <w:rPr>
          <w:rFonts w:ascii="Arial" w:hAnsi="Arial" w:cs="Arial"/>
          <w:b/>
          <w:sz w:val="24"/>
          <w:szCs w:val="24"/>
          <w:lang w:eastAsia="zh-CN"/>
        </w:rPr>
        <w:t>Dificultades y necesidades detectadas referidos a las dimensiones educativas y/o en relación a los objetivos y procesos individuales de las mujeres:</w:t>
      </w: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Ha sido preciso seguir incidiendo con el grupo de residentes en la importancia de respetar y entender los diferentes ritmos en los procesos personales, con el fin de evitar las rivalidades y comparaciones entre compañeras.</w:t>
      </w: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0" w:line="360" w:lineRule="auto"/>
        <w:jc w:val="both"/>
        <w:textAlignment w:val="baseline"/>
        <w:rPr>
          <w:rFonts w:ascii="Arial" w:hAnsi="Arial" w:cs="Arial"/>
          <w:sz w:val="24"/>
          <w:szCs w:val="24"/>
          <w:lang w:eastAsia="zh-CN"/>
        </w:rPr>
      </w:pPr>
      <w:r>
        <w:rPr>
          <w:rFonts w:ascii="Arial" w:hAnsi="Arial" w:cs="Arial"/>
          <w:sz w:val="24"/>
          <w:szCs w:val="24"/>
          <w:lang w:eastAsia="zh-CN"/>
        </w:rPr>
        <w:t xml:space="preserve">Tener seguimientos con cada mujer cada semana, teniendo en cuenta las actualizaciones y consideraciones de las mujeres. </w:t>
      </w: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Trabajar en reunión de equipo educativo una coordinación más exhaustiva, para iniciar un trabajo acorde a las necesidades de la mujer: mantenimiento del hogar, orden de documentos, etc.</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spacing w:after="0" w:line="360" w:lineRule="auto"/>
        <w:jc w:val="both"/>
        <w:rPr>
          <w:rFonts w:ascii="Arial" w:hAnsi="Arial" w:cs="Arial"/>
          <w:sz w:val="24"/>
          <w:szCs w:val="24"/>
          <w:lang w:eastAsia="zh-CN"/>
        </w:rPr>
      </w:pPr>
      <w:r>
        <w:rPr>
          <w:rFonts w:ascii="Arial" w:hAnsi="Arial" w:cs="Arial"/>
          <w:b/>
          <w:sz w:val="24"/>
          <w:szCs w:val="24"/>
          <w:lang w:eastAsia="zh-CN"/>
        </w:rPr>
        <w:t>Dificultades y necesidades detectadas referidos a la dinamización y funcionamiento del hogar</w:t>
      </w:r>
      <w:r>
        <w:rPr>
          <w:rFonts w:ascii="Arial" w:hAnsi="Arial" w:cs="Arial"/>
          <w:sz w:val="24"/>
          <w:szCs w:val="24"/>
          <w:lang w:eastAsia="zh-CN"/>
        </w:rPr>
        <w:t xml:space="preserve">: </w:t>
      </w:r>
    </w:p>
    <w:p>
      <w:pPr>
        <w:spacing w:after="0" w:line="360" w:lineRule="auto"/>
        <w:jc w:val="both"/>
        <w:rPr>
          <w:rFonts w:ascii="Arial" w:hAnsi="Arial" w:cs="Arial"/>
          <w:sz w:val="24"/>
          <w:szCs w:val="24"/>
          <w:lang w:eastAsia="zh-CN"/>
        </w:rPr>
      </w:pPr>
    </w:p>
    <w:p>
      <w:pPr>
        <w:spacing w:after="0" w:line="360" w:lineRule="auto"/>
        <w:jc w:val="both"/>
        <w:rPr>
          <w:rFonts w:ascii="Arial" w:hAnsi="Arial" w:cs="Arial"/>
          <w:sz w:val="24"/>
          <w:szCs w:val="24"/>
          <w:lang w:eastAsia="zh-CN"/>
        </w:rPr>
      </w:pPr>
      <w:r>
        <w:rPr>
          <w:rFonts w:ascii="Arial" w:hAnsi="Arial" w:cs="Arial"/>
          <w:sz w:val="24"/>
          <w:szCs w:val="24"/>
          <w:lang w:eastAsia="zh-CN"/>
        </w:rPr>
        <w:t xml:space="preserve">La dificultad de adaptar algunas normas del RRI a las necesidades particulares e individuales, lo cual produce en ocasiones ambigüedades (comparaciones) en las mujeres sobre el funcionamiento del recurso. </w:t>
      </w:r>
    </w:p>
    <w:p>
      <w:pPr>
        <w:spacing w:after="0" w:line="360" w:lineRule="auto"/>
        <w:jc w:val="both"/>
        <w:rPr>
          <w:rFonts w:ascii="Arial" w:hAnsi="Arial" w:cs="Arial"/>
          <w:sz w:val="24"/>
          <w:szCs w:val="24"/>
          <w:lang w:eastAsia="zh-CN"/>
        </w:rPr>
      </w:pPr>
    </w:p>
    <w:p>
      <w:pPr>
        <w:spacing w:after="0" w:line="360" w:lineRule="auto"/>
        <w:contextualSpacing/>
        <w:jc w:val="both"/>
        <w:rPr>
          <w:rFonts w:ascii="Arial" w:hAnsi="Arial" w:cs="Arial"/>
          <w:sz w:val="24"/>
          <w:szCs w:val="24"/>
          <w:lang w:eastAsia="zh-CN"/>
        </w:rPr>
      </w:pPr>
      <w:r>
        <w:rPr>
          <w:rFonts w:ascii="Arial" w:hAnsi="Arial" w:cs="Arial"/>
          <w:sz w:val="24"/>
          <w:szCs w:val="24"/>
          <w:lang w:eastAsia="zh-CN"/>
        </w:rPr>
        <w:lastRenderedPageBreak/>
        <w:t>Necesidad de trabajar sobre el cuidado de los recursos del hogar y el buen uso de los mismos (economía doméstica).</w:t>
      </w:r>
    </w:p>
    <w:p>
      <w:pPr>
        <w:spacing w:after="0" w:line="360" w:lineRule="auto"/>
        <w:contextualSpacing/>
        <w:jc w:val="both"/>
        <w:rPr>
          <w:rFonts w:ascii="Arial" w:hAnsi="Arial" w:cs="Arial"/>
          <w:sz w:val="24"/>
          <w:szCs w:val="24"/>
          <w:lang w:eastAsia="zh-CN"/>
        </w:rPr>
      </w:pPr>
    </w:p>
    <w:p>
      <w:pPr>
        <w:spacing w:after="160" w:line="360" w:lineRule="auto"/>
        <w:contextualSpacing/>
        <w:jc w:val="both"/>
        <w:rPr>
          <w:rFonts w:ascii="Arial" w:hAnsi="Arial" w:cs="Arial"/>
          <w:sz w:val="24"/>
          <w:szCs w:val="24"/>
          <w:lang w:eastAsia="zh-CN"/>
        </w:rPr>
      </w:pPr>
      <w:r>
        <w:rPr>
          <w:rFonts w:ascii="Arial" w:hAnsi="Arial" w:cs="Arial"/>
          <w:sz w:val="24"/>
          <w:szCs w:val="24"/>
          <w:lang w:eastAsia="zh-CN"/>
        </w:rPr>
        <w:t>Dificultad en la adquisición del hábito para el mantenimiento y limpieza continuo de las habitaciones por parte de las propias residentes.</w:t>
      </w:r>
    </w:p>
    <w:p>
      <w:pPr>
        <w:spacing w:after="160" w:line="360" w:lineRule="auto"/>
        <w:contextualSpacing/>
        <w:jc w:val="both"/>
        <w:rPr>
          <w:rFonts w:ascii="Arial" w:hAnsi="Arial" w:cs="Arial"/>
          <w:sz w:val="24"/>
          <w:szCs w:val="24"/>
          <w:lang w:eastAsia="zh-CN"/>
        </w:rPr>
      </w:pPr>
    </w:p>
    <w:p>
      <w:pPr>
        <w:spacing w:after="160" w:line="360" w:lineRule="auto"/>
        <w:contextualSpacing/>
        <w:jc w:val="both"/>
        <w:rPr>
          <w:rFonts w:ascii="Arial" w:hAnsi="Arial" w:cs="Arial"/>
          <w:sz w:val="24"/>
          <w:szCs w:val="24"/>
          <w:lang w:eastAsia="zh-CN"/>
        </w:rPr>
      </w:pPr>
      <w:r>
        <w:rPr>
          <w:rFonts w:ascii="Arial" w:hAnsi="Arial" w:cs="Arial"/>
          <w:sz w:val="24"/>
          <w:szCs w:val="24"/>
          <w:lang w:eastAsia="zh-CN"/>
        </w:rPr>
        <w:t>Ajustar algunos talleres en función del grupo de mujeres y la necesidad detectada (higiene, desconocimientos de procederes administrativos, etc.).</w:t>
      </w:r>
    </w:p>
    <w:p>
      <w:pPr>
        <w:spacing w:after="160" w:line="360" w:lineRule="auto"/>
        <w:contextualSpacing/>
        <w:jc w:val="both"/>
        <w:rPr>
          <w:rFonts w:ascii="Arial" w:hAnsi="Arial" w:cs="Arial"/>
          <w:sz w:val="24"/>
          <w:szCs w:val="24"/>
        </w:rPr>
      </w:pPr>
    </w:p>
    <w:p>
      <w:pPr>
        <w:spacing w:after="160" w:line="360" w:lineRule="auto"/>
        <w:contextualSpacing/>
        <w:jc w:val="both"/>
        <w:rPr>
          <w:rFonts w:ascii="Arial" w:hAnsi="Arial" w:cs="Arial"/>
          <w:sz w:val="24"/>
          <w:szCs w:val="24"/>
        </w:rPr>
      </w:pPr>
      <w:r>
        <w:rPr>
          <w:rFonts w:ascii="Arial" w:hAnsi="Arial" w:cs="Arial"/>
          <w:sz w:val="24"/>
          <w:szCs w:val="24"/>
        </w:rPr>
        <w:t>Contar con una partida económica que permita realizar diversas salidas de ocio con las mujeres, que suelen demandar, y faciliten la integración sociocultural en el entorno. Hasta el momento, se hace uso de la oferta socio-cultural gratuita ofrecida por diferentes ayuntamientos. No obstante, son demandadas por las mujeres salidas que conllevan coste económico y que tendrían un valor para ellas.</w:t>
      </w:r>
    </w:p>
    <w:p>
      <w:pPr>
        <w:spacing w:after="160" w:line="360" w:lineRule="auto"/>
        <w:contextualSpacing/>
        <w:jc w:val="both"/>
        <w:rPr>
          <w:rFonts w:ascii="Arial" w:hAnsi="Arial" w:cs="Arial"/>
          <w:sz w:val="24"/>
          <w:szCs w:val="24"/>
        </w:rPr>
      </w:pPr>
    </w:p>
    <w:p>
      <w:pPr>
        <w:spacing w:after="160" w:line="360" w:lineRule="auto"/>
        <w:contextualSpacing/>
        <w:jc w:val="both"/>
        <w:rPr>
          <w:rFonts w:ascii="Arial" w:hAnsi="Arial" w:cs="Arial"/>
          <w:sz w:val="24"/>
          <w:szCs w:val="24"/>
        </w:rPr>
      </w:pPr>
      <w:r>
        <w:rPr>
          <w:rFonts w:ascii="Arial" w:hAnsi="Arial" w:cs="Arial"/>
          <w:sz w:val="24"/>
          <w:szCs w:val="24"/>
        </w:rPr>
        <w:t>Es de vital importancia poner el foco en que la organización de actividades fuera del hogar se podría ver perjudicada, si como en ocasiones anteriores, contásemos con perfiles de mujeres más dependientes por problemáticas de salud. Por este motivo, se precisaría contar con los apoyos humanos suficientes, para atender al grupo en su totalidad y seguir generando ese dinamismo.</w:t>
      </w:r>
    </w:p>
    <w:p>
      <w:pPr>
        <w:widowControl w:val="0"/>
        <w:tabs>
          <w:tab w:val="left" w:pos="0"/>
          <w:tab w:val="left" w:pos="284"/>
        </w:tabs>
        <w:suppressAutoHyphens/>
        <w:autoSpaceDN w:val="0"/>
        <w:spacing w:after="160" w:line="360" w:lineRule="auto"/>
        <w:contextualSpacing/>
        <w:jc w:val="both"/>
        <w:textAlignment w:val="baseline"/>
        <w:rPr>
          <w:rFonts w:ascii="Arial" w:hAnsi="Arial" w:cs="Arial"/>
          <w:sz w:val="24"/>
          <w:szCs w:val="24"/>
          <w:lang w:eastAsia="zh-CN"/>
        </w:rPr>
      </w:pPr>
    </w:p>
    <w:p>
      <w:pPr>
        <w:spacing w:after="0" w:line="360" w:lineRule="auto"/>
        <w:jc w:val="both"/>
        <w:rPr>
          <w:rFonts w:ascii="Arial" w:hAnsi="Arial" w:cs="Arial"/>
          <w:sz w:val="24"/>
          <w:szCs w:val="24"/>
          <w:lang w:eastAsia="zh-CN"/>
        </w:rPr>
      </w:pPr>
      <w:r>
        <w:rPr>
          <w:rFonts w:ascii="Arial" w:hAnsi="Arial" w:cs="Arial"/>
          <w:b/>
          <w:sz w:val="24"/>
          <w:szCs w:val="24"/>
          <w:lang w:eastAsia="zh-CN"/>
        </w:rPr>
        <w:t>Dificultades y necesidades detectadas referidos a la mejora de formación y/o actividades de reciclaje y crecimiento</w:t>
      </w:r>
      <w:r>
        <w:rPr>
          <w:rFonts w:ascii="Arial" w:hAnsi="Arial" w:cs="Arial"/>
          <w:sz w:val="24"/>
          <w:szCs w:val="24"/>
          <w:lang w:eastAsia="zh-CN"/>
        </w:rPr>
        <w:t xml:space="preserve"> </w:t>
      </w:r>
      <w:r>
        <w:rPr>
          <w:rFonts w:ascii="Arial" w:hAnsi="Arial" w:cs="Arial"/>
          <w:b/>
          <w:sz w:val="24"/>
          <w:szCs w:val="24"/>
          <w:lang w:eastAsia="zh-CN"/>
        </w:rPr>
        <w:t>profesional</w:t>
      </w:r>
      <w:r>
        <w:rPr>
          <w:rFonts w:ascii="Arial" w:hAnsi="Arial" w:cs="Arial"/>
          <w:sz w:val="24"/>
          <w:szCs w:val="24"/>
          <w:lang w:eastAsia="zh-CN"/>
        </w:rPr>
        <w:t>:</w:t>
      </w:r>
    </w:p>
    <w:p>
      <w:pPr>
        <w:spacing w:after="0" w:line="360" w:lineRule="auto"/>
        <w:jc w:val="both"/>
        <w:rPr>
          <w:rFonts w:ascii="Arial" w:hAnsi="Arial" w:cs="Arial"/>
          <w:sz w:val="24"/>
          <w:szCs w:val="24"/>
          <w:lang w:eastAsia="zh-CN"/>
        </w:rPr>
      </w:pPr>
    </w:p>
    <w:p>
      <w:pPr>
        <w:spacing w:after="0" w:line="360" w:lineRule="auto"/>
        <w:jc w:val="both"/>
        <w:rPr>
          <w:rFonts w:ascii="Arial" w:hAnsi="Arial" w:cs="Arial"/>
          <w:sz w:val="24"/>
          <w:szCs w:val="24"/>
          <w:lang w:eastAsia="zh-CN"/>
        </w:rPr>
      </w:pPr>
      <w:r>
        <w:rPr>
          <w:rFonts w:ascii="Arial" w:hAnsi="Arial" w:cs="Arial"/>
          <w:sz w:val="24"/>
          <w:szCs w:val="24"/>
          <w:lang w:eastAsia="zh-CN"/>
        </w:rPr>
        <w:t>Continuar ampliando conocimientos y formación en relación a las nuevas realidades y cambios del fenómeno de la prostitución y la trata con fines de explotación sexual.</w:t>
      </w:r>
    </w:p>
    <w:p>
      <w:pPr>
        <w:widowControl w:val="0"/>
        <w:tabs>
          <w:tab w:val="left" w:pos="0"/>
          <w:tab w:val="left" w:pos="142"/>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Asistir a sesiones de revisión de casos que permitan mejorar la intervención con diferentes perfiles de mujeres, así como dar una mejor respuesta a actitudes y comportamientos que vienen dados por los traumas personales con los que ellas cargan.</w:t>
      </w:r>
    </w:p>
    <w:p>
      <w:pPr>
        <w:widowControl w:val="0"/>
        <w:tabs>
          <w:tab w:val="left" w:pos="0"/>
          <w:tab w:val="left" w:pos="142"/>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142"/>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lastRenderedPageBreak/>
        <w:t>Compartir buenas prácticas profesionales en el acompañamiento individualizado y en la gestión de la convivencia en el hogar, dentro del propio equipo interdisciplinar o en conexión con otros recursos de acogida similares mediante trabajo en red.</w:t>
      </w:r>
    </w:p>
    <w:p>
      <w:pPr>
        <w:widowControl w:val="0"/>
        <w:tabs>
          <w:tab w:val="left" w:pos="0"/>
          <w:tab w:val="left" w:pos="142"/>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142"/>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Aumento de los espacios de autocuidado y/o formaciones que proporcionen herramientas de autocuidado profesional. </w:t>
      </w:r>
    </w:p>
    <w:p>
      <w:pPr>
        <w:widowControl w:val="0"/>
        <w:tabs>
          <w:tab w:val="left" w:pos="0"/>
          <w:tab w:val="left" w:pos="142"/>
        </w:tabs>
        <w:suppressAutoHyphens/>
        <w:autoSpaceDN w:val="0"/>
        <w:spacing w:after="0" w:line="360" w:lineRule="auto"/>
        <w:contextualSpacing/>
        <w:jc w:val="both"/>
        <w:textAlignment w:val="baseline"/>
        <w:rPr>
          <w:rFonts w:ascii="Arial" w:hAnsi="Arial" w:cs="Arial"/>
          <w:sz w:val="24"/>
          <w:szCs w:val="24"/>
          <w:lang w:eastAsia="zh-CN"/>
        </w:rPr>
      </w:pPr>
    </w:p>
    <w:p>
      <w:pPr>
        <w:spacing w:after="0" w:line="360" w:lineRule="auto"/>
        <w:jc w:val="both"/>
        <w:rPr>
          <w:rFonts w:ascii="Arial" w:hAnsi="Arial" w:cs="Arial"/>
          <w:sz w:val="24"/>
          <w:szCs w:val="24"/>
          <w:lang w:eastAsia="zh-CN"/>
        </w:rPr>
      </w:pPr>
      <w:r>
        <w:rPr>
          <w:rFonts w:ascii="Arial" w:hAnsi="Arial" w:cs="Arial"/>
          <w:b/>
          <w:sz w:val="24"/>
          <w:szCs w:val="24"/>
          <w:lang w:eastAsia="zh-CN"/>
        </w:rPr>
        <w:t>Dificultades y necesidades detectadas referidos a la organización, gestión y optimización del tiempo</w:t>
      </w:r>
      <w:r>
        <w:rPr>
          <w:rFonts w:ascii="Arial" w:hAnsi="Arial" w:cs="Arial"/>
          <w:sz w:val="24"/>
          <w:szCs w:val="24"/>
          <w:lang w:eastAsia="zh-CN"/>
        </w:rPr>
        <w:t>:</w:t>
      </w:r>
    </w:p>
    <w:p>
      <w:pPr>
        <w:spacing w:after="0" w:line="360" w:lineRule="auto"/>
        <w:jc w:val="both"/>
        <w:rPr>
          <w:rFonts w:ascii="Arial" w:hAnsi="Arial" w:cs="Arial"/>
          <w:sz w:val="24"/>
          <w:szCs w:val="24"/>
          <w:lang w:eastAsia="zh-CN"/>
        </w:rPr>
      </w:pPr>
    </w:p>
    <w:p>
      <w:pPr>
        <w:spacing w:after="0" w:line="360" w:lineRule="auto"/>
        <w:jc w:val="both"/>
        <w:rPr>
          <w:rFonts w:ascii="Arial" w:hAnsi="Arial" w:cs="Arial"/>
          <w:sz w:val="24"/>
          <w:szCs w:val="24"/>
          <w:lang w:eastAsia="zh-CN"/>
        </w:rPr>
      </w:pPr>
      <w:r>
        <w:rPr>
          <w:rFonts w:ascii="Arial" w:hAnsi="Arial" w:cs="Arial"/>
          <w:sz w:val="24"/>
          <w:szCs w:val="24"/>
          <w:lang w:eastAsia="zh-CN"/>
        </w:rPr>
        <w:t xml:space="preserve">La dinámica diaria de la casa y las obligaciones laborales y/o formativas de las mujeres, no siempre ha permitido cumplir la planificación establecida, es decir, la asistencia a asambleas, talleres, salidas, etc. </w:t>
      </w:r>
    </w:p>
    <w:p>
      <w:pPr>
        <w:spacing w:after="0" w:line="360" w:lineRule="auto"/>
        <w:jc w:val="both"/>
        <w:rPr>
          <w:rFonts w:ascii="Arial" w:hAnsi="Arial" w:cs="Arial"/>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Aprovechar los recursos tecnológicos para digitalizar documentos, como, por ejemplo, las herramientas de evaluación de talleres y asambleas (entre otros). Por lo que se propone, digitalizar en la medida de lo posible los documentos utilizados como, por ejemplo, las encuestas de evaluación de los talleres. </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En esta misma línea, seguir usando el calendario común interdisciplinar, nos permitiría crear eventos, notificaciones o avisos, para una mayor eficiencia en el recordatorio de citas, actividades o reuniones.</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r>
        <w:rPr>
          <w:rFonts w:ascii="Arial" w:hAnsi="Arial" w:cs="Arial"/>
          <w:b/>
          <w:sz w:val="24"/>
          <w:szCs w:val="24"/>
          <w:lang w:eastAsia="zh-CN"/>
        </w:rPr>
        <w:t>Propuesta de mejora referidas a la dinamización y funcionamiento del hogar:</w:t>
      </w:r>
    </w:p>
    <w:p>
      <w:pPr>
        <w:widowControl w:val="0"/>
        <w:tabs>
          <w:tab w:val="left" w:pos="0"/>
          <w:tab w:val="left" w:pos="284"/>
        </w:tabs>
        <w:suppressAutoHyphens/>
        <w:autoSpaceDN w:val="0"/>
        <w:spacing w:after="0" w:line="360" w:lineRule="auto"/>
        <w:jc w:val="both"/>
        <w:textAlignment w:val="baseline"/>
        <w:rPr>
          <w:rFonts w:ascii="Arial" w:hAnsi="Arial" w:cs="Arial"/>
          <w:b/>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Fomentar el sentido de pertenencia al hogar a través de estrategias educativas y la dinamización, debido a incidencias relacionadas con el mal uso/desperfectos en el mismo.</w:t>
      </w: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p>
    <w:p>
      <w:pPr>
        <w:widowControl w:val="0"/>
        <w:tabs>
          <w:tab w:val="left" w:pos="0"/>
          <w:tab w:val="left" w:pos="284"/>
        </w:tabs>
        <w:suppressAutoHyphens/>
        <w:autoSpaceDN w:val="0"/>
        <w:spacing w:after="0" w:line="360" w:lineRule="auto"/>
        <w:contextualSpacing/>
        <w:jc w:val="both"/>
        <w:textAlignment w:val="baseline"/>
        <w:rPr>
          <w:rFonts w:ascii="Arial" w:hAnsi="Arial" w:cs="Arial"/>
          <w:sz w:val="24"/>
          <w:szCs w:val="24"/>
          <w:lang w:eastAsia="zh-CN"/>
        </w:rPr>
      </w:pPr>
      <w:r>
        <w:rPr>
          <w:rFonts w:ascii="Arial" w:hAnsi="Arial" w:cs="Arial"/>
          <w:sz w:val="24"/>
          <w:szCs w:val="24"/>
          <w:lang w:eastAsia="zh-CN"/>
        </w:rPr>
        <w:t xml:space="preserve">Aumentar el número de actividades de contenido multicultural, fomentando y evidenciando la riqueza de compartir con otras culturas. </w:t>
      </w:r>
    </w:p>
    <w:p>
      <w:pPr>
        <w:suppressAutoHyphens/>
        <w:autoSpaceDN w:val="0"/>
        <w:spacing w:after="0" w:line="360" w:lineRule="auto"/>
        <w:textAlignment w:val="baseline"/>
        <w:rPr>
          <w:rFonts w:ascii="Arial" w:hAnsi="Arial" w:cs="Arial"/>
          <w:b/>
          <w:sz w:val="24"/>
          <w:szCs w:val="24"/>
          <w:lang w:eastAsia="zh-CN"/>
        </w:rPr>
      </w:pPr>
      <w:r>
        <w:rPr>
          <w:rFonts w:ascii="Arial" w:hAnsi="Arial" w:cs="Arial"/>
          <w:b/>
          <w:sz w:val="24"/>
          <w:szCs w:val="24"/>
          <w:lang w:eastAsia="zh-CN"/>
        </w:rPr>
        <w:lastRenderedPageBreak/>
        <w:t xml:space="preserve">CONCLUSIONES: </w:t>
      </w:r>
    </w:p>
    <w:p>
      <w:pPr>
        <w:suppressAutoHyphens/>
        <w:autoSpaceDN w:val="0"/>
        <w:spacing w:after="0" w:line="360" w:lineRule="auto"/>
        <w:textAlignment w:val="baseline"/>
        <w:rPr>
          <w:rFonts w:ascii="Arial" w:hAnsi="Arial" w:cs="Arial"/>
          <w:b/>
          <w:sz w:val="24"/>
          <w:szCs w:val="24"/>
          <w:lang w:eastAsia="zh-CN"/>
        </w:rPr>
      </w:pPr>
    </w:p>
    <w:p>
      <w:pPr>
        <w:spacing w:after="0" w:line="360" w:lineRule="auto"/>
        <w:jc w:val="both"/>
        <w:rPr>
          <w:rFonts w:ascii="Arial" w:hAnsi="Arial" w:cs="Arial"/>
          <w:sz w:val="24"/>
          <w:szCs w:val="24"/>
        </w:rPr>
      </w:pPr>
      <w:r>
        <w:rPr>
          <w:rFonts w:ascii="Arial" w:hAnsi="Arial" w:cs="Arial"/>
          <w:sz w:val="24"/>
          <w:szCs w:val="24"/>
        </w:rPr>
        <w:t>Para concluir con la labor que se ha realizado durante el año 2025, resaltamos el valor la intervención realizada desde el área educativa fundamentalmente por la complejidad que supone mantener un equilibrio en la convivencia y al mismo tiempo, dar una respuesta individualizada a mujeres diversas, que provienen de diferentes puntos del planeta y que cuentan con problemáticas multifactoriales, unido a sus experiencias previas como ser víctima de trata con fines de explotación sexual, haber estado en contextos de prostitución y/o haber crecido en entornos de violencia y desprotección.</w:t>
      </w:r>
    </w:p>
    <w:p>
      <w:pPr>
        <w:spacing w:after="0" w:line="360" w:lineRule="auto"/>
        <w:jc w:val="both"/>
        <w:rPr>
          <w:rFonts w:ascii="Arial" w:hAnsi="Arial" w:cs="Arial"/>
          <w:color w:val="FF0000"/>
          <w:sz w:val="24"/>
          <w:szCs w:val="24"/>
        </w:rPr>
      </w:pPr>
    </w:p>
    <w:p>
      <w:pPr>
        <w:spacing w:after="0" w:line="360" w:lineRule="auto"/>
        <w:jc w:val="both"/>
        <w:rPr>
          <w:rFonts w:ascii="Arial" w:hAnsi="Arial" w:cs="Arial"/>
          <w:sz w:val="24"/>
          <w:szCs w:val="24"/>
        </w:rPr>
      </w:pPr>
      <w:r>
        <w:rPr>
          <w:rFonts w:ascii="Arial" w:hAnsi="Arial" w:cs="Arial"/>
          <w:sz w:val="24"/>
          <w:szCs w:val="24"/>
        </w:rPr>
        <w:t>La labor como educadoras sociales, ha de hacer incidir en diferentes dimensiones vitales de la mujer, siendo la misma el eje central de nuestra acción, permitiendo desde el respeto incidir en creencias arraigadas y mejorar el vínculo de confianza con el equipo educativo, creando así mayor apertura para trabajar desde un enfoque positivo, focalizado desde el presente y hacia el futuro.</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El trabajo coordinado con el resto de áreas del programa (jurídica, social, psicológica y laboral) ha sido indispensable para esta labor, pues ha permitido abordar la realidad de cada mujer mediante un análisis exhaustivo, y, por ende, una mejora en la atención de sus necesidades afianzando un proyecto de vida con logros y mejoras.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Se valoran como hándicap algunos factores que dificultan el progreso o la emancipación de las mujeres, como los largos periodos que supone, en muchos de los casos, la regularización de la situación administrativa en España, la adquisición de un idioma (en el caso de aquellas que no son de habla hispana), la falta de red de apoyo, y/o las dificultades en la incorporación al mundo laboral.</w:t>
      </w:r>
    </w:p>
    <w:p>
      <w:pPr>
        <w:spacing w:after="0" w:line="360" w:lineRule="auto"/>
        <w:jc w:val="both"/>
        <w:rPr>
          <w:rFonts w:ascii="Arial" w:hAnsi="Arial" w:cs="Arial"/>
          <w:sz w:val="24"/>
          <w:szCs w:val="24"/>
        </w:rPr>
      </w:pPr>
      <w:r>
        <w:rPr>
          <w:rFonts w:ascii="Arial" w:hAnsi="Arial" w:cs="Arial"/>
          <w:sz w:val="24"/>
          <w:szCs w:val="24"/>
        </w:rPr>
        <w:t xml:space="preserve"> </w:t>
      </w:r>
    </w:p>
    <w:p>
      <w:pPr>
        <w:spacing w:after="0" w:line="360" w:lineRule="auto"/>
        <w:jc w:val="both"/>
        <w:rPr>
          <w:rFonts w:ascii="Arial" w:hAnsi="Arial" w:cs="Arial"/>
          <w:sz w:val="24"/>
          <w:szCs w:val="24"/>
        </w:rPr>
      </w:pPr>
      <w:r>
        <w:rPr>
          <w:rFonts w:ascii="Arial" w:hAnsi="Arial" w:cs="Arial"/>
          <w:sz w:val="24"/>
          <w:szCs w:val="24"/>
        </w:rPr>
        <w:t>Por este motivo, la promoción de las mujeres desde el proyecto, va de la mano de otras áreas ya mencionadas, además de entidades sociales, procesos administrativos y políticas sociales.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lastRenderedPageBreak/>
        <w:t xml:space="preserve">Además, el momento vital de las mujeres, se ve influenciado por el clima de la convivencia en el hogar y el sentimiento de pertenencia al mismo. Por lo que el trabajo de dinamización y gestión de la convivencia es de gran importancia para el bienestar grupal e individual.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perspectiva de género aplicada de forma transversal en todas las acciones, debe ser una constante, teniendo en cuenta que, los aprendizajes adquiridos en torno a los roles de género construidos socialmente, nos atraviesan y condicionan a lo largo de nuestras vidas. Aún más en aquellas mujeres que han tenido carencia de referentes positivos y oportunidades de vida para conocer y desarrollar sus destrezas y talentos en otros contextos de desarrollo. Afectando todo ello además en las relaciones interpersonales y afectivas.</w:t>
      </w:r>
    </w:p>
    <w:p>
      <w:pPr>
        <w:spacing w:after="0" w:line="360" w:lineRule="auto"/>
        <w:jc w:val="both"/>
        <w:rPr>
          <w:rFonts w:ascii="Arial" w:hAnsi="Arial" w:cs="Arial"/>
          <w:sz w:val="24"/>
          <w:szCs w:val="24"/>
        </w:rPr>
      </w:pPr>
      <w:r>
        <w:rPr>
          <w:rFonts w:ascii="Arial" w:hAnsi="Arial" w:cs="Arial"/>
          <w:sz w:val="24"/>
          <w:szCs w:val="24"/>
        </w:rPr>
        <w:t xml:space="preserve"> </w:t>
      </w:r>
    </w:p>
    <w:p>
      <w:pPr>
        <w:spacing w:after="0" w:line="360" w:lineRule="auto"/>
        <w:jc w:val="both"/>
        <w:rPr>
          <w:rFonts w:ascii="Arial" w:hAnsi="Arial" w:cs="Arial"/>
          <w:sz w:val="24"/>
          <w:szCs w:val="24"/>
        </w:rPr>
      </w:pPr>
      <w:r>
        <w:rPr>
          <w:rFonts w:ascii="Arial" w:hAnsi="Arial" w:cs="Arial"/>
          <w:sz w:val="24"/>
          <w:szCs w:val="24"/>
        </w:rPr>
        <w:t>Así mismo, la preparación del equipo educativo y el reciclaje formativo, en materia de trata con fines de explotación sexual, prostitución, las violencias en sus diferentes expresiones o la acogida de personas vulnerables, ha sido importante de cara a comprender las diversas realidades presentes en el hogar, así como dotar de herramientas que repercuten en una mejor atención.</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Esto incluye el abordaje de situaciones con menores, que viven con sus madres y que también han sido víctimas de la violencia de género. Un trabajo que además de la teoría se complementa con las habilidades sociales y estrategias socioeducativas, que las educadoras han ido fortaleciendo a lo largo de su recorrido profesional, que se ven reforzados por los valores personales compartidos.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Por otro lado, contar con el protocolo interno de “Saveguarding” para el cuidado de espacios libres de violencia, proporciona una estructura y seguridad, que las mujeres han aprendido y asimilado, sirviendo como herramienta mediadora en situaciones de conflicto.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lastRenderedPageBreak/>
        <w:t>Ha sido importante acompañar los protocolos de un trabajo diario desde un prisma caracterizado por la sororidad y la empatía, añadido al esfuerzo por desarrollar habilidades sociales y una buena gestión emocional, entre otros valores primordiales en su proceso, pudiendo favorecer comportamientos y alternativas ante situaciones difíciles reconduciendo el estrés, siendo este el motor para impulsarles a ser mujeres capaces de salir adelante.</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Por último, se destacar la oportunidad de salir con el grupo a eventos, espacios, recursos educativos, culturales o de ocio, lo cual ha permitido cohesionar aún más al grupo, mejorar la visión que se tiene del rol de las educadoras y conectar a las mujeres con la ciudad donde viven, con todo lo que ello implica.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Se considera indispensable el poder ofrecer estos espacios, favoreciendo así mismo, procesos de inclusión socio-cultural, de autonomía y emancipación. Dicho enfoque global garantizó durante el año 2025 un acompañamiento adecuado hacia la integración social de las mujeres y el desarrollo de nuevas oportunidades de vida.</w:t>
      </w:r>
    </w:p>
    <w:p>
      <w:pPr>
        <w:spacing w:after="0" w:line="360" w:lineRule="auto"/>
        <w:jc w:val="center"/>
      </w:pPr>
    </w:p>
    <w:p>
      <w:pPr>
        <w:shd w:val="clear" w:color="auto" w:fill="365F91" w:themeFill="accent1" w:themeFillShade="BF"/>
        <w:spacing w:after="0"/>
        <w:jc w:val="center"/>
        <w:rPr>
          <w:rFonts w:ascii="Arial" w:hAnsi="Arial" w:cs="Arial"/>
          <w:b/>
          <w:color w:val="FFFFFF" w:themeColor="background1"/>
          <w:sz w:val="24"/>
          <w:szCs w:val="24"/>
        </w:rPr>
      </w:pPr>
      <w:r>
        <w:rPr>
          <w:rFonts w:ascii="Arial" w:hAnsi="Arial" w:cs="Arial"/>
          <w:b/>
          <w:color w:val="FFFFFF" w:themeColor="background1"/>
          <w:sz w:val="24"/>
          <w:szCs w:val="24"/>
        </w:rPr>
        <w:t>AREA PSICOLÓGICA</w:t>
      </w:r>
    </w:p>
    <w:p>
      <w:pPr>
        <w:spacing w:after="0"/>
        <w:jc w:val="both"/>
        <w:rPr>
          <w:rFonts w:ascii="Arial" w:hAnsi="Arial" w:cs="Arial"/>
          <w:b/>
          <w:bCs/>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 xml:space="preserve">A.- OBJETIVO GENERAL: </w:t>
      </w:r>
    </w:p>
    <w:p>
      <w:pPr>
        <w:spacing w:after="0" w:line="360" w:lineRule="auto"/>
        <w:jc w:val="both"/>
        <w:rPr>
          <w:rFonts w:ascii="Arial" w:hAnsi="Arial" w:cs="Arial"/>
          <w:b/>
          <w:sz w:val="24"/>
          <w:szCs w:val="24"/>
        </w:rPr>
      </w:pPr>
    </w:p>
    <w:p>
      <w:pPr>
        <w:spacing w:after="0" w:line="360" w:lineRule="auto"/>
        <w:jc w:val="both"/>
        <w:rPr>
          <w:rFonts w:ascii="Arial" w:hAnsi="Arial" w:cs="Arial"/>
          <w:sz w:val="24"/>
          <w:szCs w:val="24"/>
        </w:rPr>
      </w:pPr>
      <w:r>
        <w:rPr>
          <w:rFonts w:ascii="Arial" w:hAnsi="Arial" w:cs="Arial"/>
          <w:sz w:val="24"/>
          <w:szCs w:val="24"/>
        </w:rPr>
        <w:t>Ofrecer atención psicológica a las mujeres y sus hijas e hijos menores de edad a cargo, en riesgo o víctimas de violencia de género, especialmente por prostitución y/o trata con fines de explotación sexual.</w:t>
      </w:r>
    </w:p>
    <w:p>
      <w:pPr>
        <w:spacing w:after="0" w:line="360" w:lineRule="auto"/>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B.- OBJETIVOS ESPECÍFICOS:</w:t>
      </w:r>
    </w:p>
    <w:p>
      <w:pPr>
        <w:spacing w:after="0" w:line="360" w:lineRule="auto"/>
        <w:ind w:left="720"/>
        <w:jc w:val="both"/>
        <w:rPr>
          <w:rFonts w:ascii="Arial" w:hAnsi="Arial" w:cs="Arial"/>
          <w:sz w:val="24"/>
          <w:szCs w:val="24"/>
        </w:rPr>
      </w:pPr>
    </w:p>
    <w:p>
      <w:pPr>
        <w:numPr>
          <w:ilvl w:val="0"/>
          <w:numId w:val="59"/>
        </w:numPr>
        <w:spacing w:after="0" w:line="360" w:lineRule="auto"/>
        <w:jc w:val="both"/>
        <w:rPr>
          <w:rFonts w:ascii="Arial" w:hAnsi="Arial" w:cs="Arial"/>
          <w:sz w:val="24"/>
          <w:szCs w:val="24"/>
        </w:rPr>
      </w:pPr>
      <w:r>
        <w:rPr>
          <w:rFonts w:ascii="Arial" w:hAnsi="Arial" w:cs="Arial"/>
          <w:sz w:val="24"/>
          <w:szCs w:val="24"/>
        </w:rPr>
        <w:t xml:space="preserve">Promover un vínculo que permita identificar la funcionalidad y disponibilidad del equipo técnico del área. </w:t>
      </w:r>
    </w:p>
    <w:p>
      <w:pPr>
        <w:numPr>
          <w:ilvl w:val="0"/>
          <w:numId w:val="59"/>
        </w:numPr>
        <w:spacing w:after="0" w:line="360" w:lineRule="auto"/>
        <w:jc w:val="both"/>
        <w:rPr>
          <w:rFonts w:ascii="Arial" w:hAnsi="Arial" w:cs="Arial"/>
          <w:sz w:val="24"/>
          <w:szCs w:val="24"/>
        </w:rPr>
      </w:pPr>
      <w:r>
        <w:rPr>
          <w:rFonts w:ascii="Arial" w:hAnsi="Arial" w:cs="Arial"/>
          <w:sz w:val="24"/>
          <w:szCs w:val="24"/>
        </w:rPr>
        <w:t>Asesorar sobre las cuestiones psicológicas básicas que plantee cada usuaria.</w:t>
      </w:r>
    </w:p>
    <w:p>
      <w:pPr>
        <w:numPr>
          <w:ilvl w:val="0"/>
          <w:numId w:val="59"/>
        </w:numPr>
        <w:spacing w:after="0" w:line="360" w:lineRule="auto"/>
        <w:jc w:val="both"/>
        <w:rPr>
          <w:rFonts w:ascii="Arial" w:hAnsi="Arial" w:cs="Arial"/>
          <w:sz w:val="24"/>
          <w:szCs w:val="24"/>
        </w:rPr>
      </w:pPr>
      <w:r>
        <w:rPr>
          <w:rFonts w:ascii="Arial" w:hAnsi="Arial" w:cs="Arial"/>
          <w:sz w:val="24"/>
          <w:szCs w:val="24"/>
        </w:rPr>
        <w:lastRenderedPageBreak/>
        <w:t xml:space="preserve">Acompañar psicológicamente los diferentes momentos vitales de las mujeres, tanto observados por el equipo técnico como manifestados por ellas. </w:t>
      </w:r>
    </w:p>
    <w:p>
      <w:pPr>
        <w:numPr>
          <w:ilvl w:val="0"/>
          <w:numId w:val="59"/>
        </w:numPr>
        <w:spacing w:after="0" w:line="360" w:lineRule="auto"/>
        <w:jc w:val="both"/>
        <w:rPr>
          <w:rFonts w:ascii="Arial" w:hAnsi="Arial" w:cs="Arial"/>
          <w:sz w:val="24"/>
          <w:szCs w:val="24"/>
        </w:rPr>
      </w:pPr>
      <w:r>
        <w:rPr>
          <w:rFonts w:ascii="Arial" w:hAnsi="Arial" w:cs="Arial"/>
          <w:sz w:val="24"/>
          <w:szCs w:val="24"/>
        </w:rPr>
        <w:t xml:space="preserve">Realizar intervención psicológica individual. </w:t>
      </w:r>
    </w:p>
    <w:p>
      <w:pPr>
        <w:numPr>
          <w:ilvl w:val="0"/>
          <w:numId w:val="59"/>
        </w:numPr>
        <w:spacing w:after="0" w:line="360" w:lineRule="auto"/>
        <w:jc w:val="both"/>
        <w:rPr>
          <w:rFonts w:ascii="Arial" w:hAnsi="Arial" w:cs="Arial"/>
          <w:sz w:val="24"/>
          <w:szCs w:val="24"/>
        </w:rPr>
      </w:pPr>
      <w:r>
        <w:rPr>
          <w:rFonts w:ascii="Arial" w:hAnsi="Arial" w:cs="Arial"/>
          <w:sz w:val="24"/>
          <w:szCs w:val="24"/>
        </w:rPr>
        <w:t>Promover e impartir acciones psicoeducativas grupales.</w:t>
      </w:r>
    </w:p>
    <w:p>
      <w:pPr>
        <w:numPr>
          <w:ilvl w:val="0"/>
          <w:numId w:val="59"/>
        </w:numPr>
        <w:spacing w:after="0" w:line="360" w:lineRule="auto"/>
        <w:jc w:val="both"/>
        <w:rPr>
          <w:rFonts w:ascii="Arial" w:hAnsi="Arial" w:cs="Arial"/>
          <w:sz w:val="24"/>
          <w:szCs w:val="24"/>
        </w:rPr>
      </w:pPr>
      <w:r>
        <w:rPr>
          <w:rFonts w:ascii="Arial" w:hAnsi="Arial" w:cs="Arial"/>
          <w:sz w:val="24"/>
          <w:szCs w:val="24"/>
        </w:rPr>
        <w:t>Asesorar técnicamente al equipo interdisciplinar.</w:t>
      </w:r>
    </w:p>
    <w:p>
      <w:pPr>
        <w:numPr>
          <w:ilvl w:val="0"/>
          <w:numId w:val="59"/>
        </w:numPr>
        <w:spacing w:after="0" w:line="360" w:lineRule="auto"/>
        <w:jc w:val="both"/>
        <w:rPr>
          <w:rFonts w:ascii="Arial" w:hAnsi="Arial" w:cs="Arial"/>
          <w:sz w:val="24"/>
          <w:szCs w:val="24"/>
        </w:rPr>
      </w:pPr>
      <w:r>
        <w:rPr>
          <w:rFonts w:ascii="Arial" w:hAnsi="Arial" w:cs="Arial"/>
          <w:sz w:val="24"/>
          <w:szCs w:val="24"/>
        </w:rPr>
        <w:t xml:space="preserve">Participar en foros de coordinación y/o mesas técnicas. </w:t>
      </w:r>
    </w:p>
    <w:p>
      <w:pPr>
        <w:numPr>
          <w:ilvl w:val="0"/>
          <w:numId w:val="59"/>
        </w:numPr>
        <w:spacing w:after="0" w:line="360" w:lineRule="auto"/>
        <w:jc w:val="both"/>
        <w:rPr>
          <w:rFonts w:ascii="Arial" w:hAnsi="Arial" w:cs="Arial"/>
          <w:sz w:val="24"/>
          <w:szCs w:val="24"/>
        </w:rPr>
      </w:pPr>
      <w:r>
        <w:rPr>
          <w:rFonts w:ascii="Arial" w:hAnsi="Arial" w:cs="Arial"/>
          <w:sz w:val="24"/>
          <w:szCs w:val="24"/>
        </w:rPr>
        <w:t>Asistir a formaciones de especialización.</w:t>
      </w:r>
    </w:p>
    <w:p>
      <w:pPr>
        <w:spacing w:after="0" w:line="360" w:lineRule="auto"/>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C.- OBJETIVOS OPERATIVOS:</w:t>
      </w:r>
    </w:p>
    <w:p>
      <w:pPr>
        <w:spacing w:after="0"/>
        <w:jc w:val="both"/>
        <w:rPr>
          <w:rFonts w:ascii="Arial" w:hAnsi="Arial" w:cs="Arial"/>
          <w:sz w:val="24"/>
          <w:szCs w:val="24"/>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536"/>
      </w:tblGrid>
      <w:tr>
        <w:tc>
          <w:tcPr>
            <w:tcW w:w="4678" w:type="dxa"/>
            <w:shd w:val="clear" w:color="auto" w:fill="DDD9C3" w:themeFill="background2" w:themeFillShade="E6"/>
            <w:vAlign w:val="center"/>
          </w:tcPr>
          <w:p>
            <w:pPr>
              <w:spacing w:after="0" w:line="360" w:lineRule="auto"/>
              <w:jc w:val="center"/>
              <w:rPr>
                <w:rFonts w:ascii="Arial" w:hAnsi="Arial" w:cs="Arial"/>
                <w:b/>
                <w:sz w:val="24"/>
                <w:szCs w:val="24"/>
              </w:rPr>
            </w:pPr>
            <w:r>
              <w:rPr>
                <w:rFonts w:ascii="Arial" w:hAnsi="Arial" w:cs="Arial"/>
                <w:b/>
                <w:sz w:val="24"/>
                <w:szCs w:val="24"/>
              </w:rPr>
              <w:t>OBJETIVOS ESPECÍFICOS</w:t>
            </w:r>
          </w:p>
        </w:tc>
        <w:tc>
          <w:tcPr>
            <w:tcW w:w="4536" w:type="dxa"/>
            <w:shd w:val="clear" w:color="auto" w:fill="DDD9C3" w:themeFill="background2" w:themeFillShade="E6"/>
            <w:vAlign w:val="center"/>
          </w:tcPr>
          <w:p>
            <w:pPr>
              <w:spacing w:after="0" w:line="360" w:lineRule="auto"/>
              <w:jc w:val="center"/>
              <w:rPr>
                <w:rFonts w:ascii="Arial" w:hAnsi="Arial" w:cs="Arial"/>
                <w:b/>
                <w:sz w:val="24"/>
                <w:szCs w:val="24"/>
              </w:rPr>
            </w:pPr>
            <w:r>
              <w:rPr>
                <w:rFonts w:ascii="Arial" w:hAnsi="Arial" w:cs="Arial"/>
                <w:b/>
                <w:sz w:val="24"/>
                <w:szCs w:val="24"/>
              </w:rPr>
              <w:t>OBJETIVOS OPERATIVOS</w:t>
            </w: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 xml:space="preserve">Promover un vínculo que permita identificar la funcionalidad y disponibilidad del equipo técnico del área. </w:t>
            </w:r>
          </w:p>
          <w:p>
            <w:pPr>
              <w:spacing w:after="0" w:line="360" w:lineRule="auto"/>
              <w:jc w:val="both"/>
              <w:rPr>
                <w:rFonts w:ascii="Arial" w:hAnsi="Arial" w:cs="Arial"/>
                <w:sz w:val="24"/>
                <w:szCs w:val="24"/>
              </w:rPr>
            </w:pPr>
          </w:p>
        </w:tc>
        <w:tc>
          <w:tcPr>
            <w:tcW w:w="4536" w:type="dxa"/>
            <w:vAlign w:val="center"/>
          </w:tcPr>
          <w:p>
            <w:pPr>
              <w:numPr>
                <w:ilvl w:val="0"/>
                <w:numId w:val="60"/>
              </w:numPr>
              <w:spacing w:after="0" w:line="360" w:lineRule="auto"/>
              <w:ind w:left="319"/>
              <w:jc w:val="both"/>
              <w:rPr>
                <w:rFonts w:ascii="Arial" w:hAnsi="Arial" w:cs="Arial"/>
                <w:sz w:val="24"/>
                <w:szCs w:val="24"/>
              </w:rPr>
            </w:pPr>
            <w:r>
              <w:rPr>
                <w:rFonts w:ascii="Arial" w:hAnsi="Arial" w:cs="Arial"/>
                <w:sz w:val="24"/>
                <w:szCs w:val="24"/>
              </w:rPr>
              <w:t>Coincidir con las mujeres en al menos un encuentro.</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Exponer las funciones del área.</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Ofrecer una cita formal.</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Proporcionar un medio de contacto.</w:t>
            </w: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Asesorar sobre las cuestiones psicológicas básicas que plantee cada usuaria.</w:t>
            </w:r>
          </w:p>
        </w:tc>
        <w:tc>
          <w:tcPr>
            <w:tcW w:w="4536" w:type="dxa"/>
            <w:vAlign w:val="center"/>
          </w:tcPr>
          <w:p>
            <w:pPr>
              <w:spacing w:after="0" w:line="360" w:lineRule="auto"/>
              <w:ind w:left="319"/>
              <w:jc w:val="both"/>
              <w:rPr>
                <w:rFonts w:ascii="Arial" w:hAnsi="Arial" w:cs="Arial"/>
                <w:sz w:val="24"/>
                <w:szCs w:val="24"/>
              </w:rPr>
            </w:pP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Recoger el 100% de las demandas realizadas por la usuaria.</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Dar respuesta al 100% de las demandas efectuadas por la misma.</w:t>
            </w:r>
          </w:p>
          <w:p>
            <w:pPr>
              <w:spacing w:after="0" w:line="360" w:lineRule="auto"/>
              <w:ind w:left="319"/>
              <w:jc w:val="both"/>
              <w:rPr>
                <w:rFonts w:ascii="Arial" w:hAnsi="Arial" w:cs="Arial"/>
                <w:sz w:val="24"/>
                <w:szCs w:val="24"/>
              </w:rPr>
            </w:pP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 xml:space="preserve">Acompañar psicológicamente los diferentes momentos vitales de las mujeres, tanto observados por el equipo técnico como manifestados por ellas. </w:t>
            </w:r>
          </w:p>
          <w:p>
            <w:pPr>
              <w:spacing w:after="0" w:line="360" w:lineRule="auto"/>
              <w:jc w:val="both"/>
              <w:rPr>
                <w:rFonts w:ascii="Arial" w:hAnsi="Arial" w:cs="Arial"/>
                <w:sz w:val="24"/>
                <w:szCs w:val="24"/>
              </w:rPr>
            </w:pPr>
          </w:p>
        </w:tc>
        <w:tc>
          <w:tcPr>
            <w:tcW w:w="4536" w:type="dxa"/>
            <w:vAlign w:val="center"/>
          </w:tcPr>
          <w:p>
            <w:pPr>
              <w:spacing w:after="0" w:line="360" w:lineRule="auto"/>
              <w:ind w:left="319"/>
              <w:jc w:val="both"/>
              <w:rPr>
                <w:rFonts w:ascii="Arial" w:hAnsi="Arial" w:cs="Arial"/>
                <w:sz w:val="24"/>
                <w:szCs w:val="24"/>
              </w:rPr>
            </w:pP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Recoger el 100% de las observaciones comunicadas por parte del equipo interdisciplinar.</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Recoger el 100% de las manifestaciones de las mujeres.</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lastRenderedPageBreak/>
              <w:t>Dar respuesta al 100% de las observaciones por parte del equipo interdisciplinar.</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Dar respuesta al 100% de las manifestaciones de las mujeres.</w:t>
            </w: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 xml:space="preserve">Realizar intervención psicológica individual. </w:t>
            </w:r>
          </w:p>
          <w:p>
            <w:pPr>
              <w:spacing w:after="0" w:line="360" w:lineRule="auto"/>
              <w:jc w:val="both"/>
              <w:rPr>
                <w:rFonts w:ascii="Arial" w:hAnsi="Arial" w:cs="Arial"/>
                <w:sz w:val="24"/>
                <w:szCs w:val="24"/>
              </w:rPr>
            </w:pPr>
          </w:p>
        </w:tc>
        <w:tc>
          <w:tcPr>
            <w:tcW w:w="4536" w:type="dxa"/>
            <w:vAlign w:val="center"/>
          </w:tcPr>
          <w:p>
            <w:pPr>
              <w:spacing w:after="0" w:line="360" w:lineRule="auto"/>
              <w:ind w:left="319"/>
              <w:jc w:val="both"/>
              <w:rPr>
                <w:rFonts w:ascii="Arial" w:hAnsi="Arial" w:cs="Arial"/>
                <w:sz w:val="24"/>
                <w:szCs w:val="24"/>
              </w:rPr>
            </w:pPr>
          </w:p>
          <w:p>
            <w:pPr>
              <w:numPr>
                <w:ilvl w:val="0"/>
                <w:numId w:val="62"/>
              </w:numPr>
              <w:spacing w:after="0" w:line="360" w:lineRule="auto"/>
              <w:ind w:left="319"/>
              <w:jc w:val="both"/>
              <w:rPr>
                <w:rFonts w:ascii="Arial" w:hAnsi="Arial" w:cs="Arial"/>
                <w:sz w:val="24"/>
                <w:szCs w:val="24"/>
              </w:rPr>
            </w:pPr>
            <w:r>
              <w:rPr>
                <w:rFonts w:ascii="Arial" w:hAnsi="Arial" w:cs="Arial"/>
                <w:sz w:val="24"/>
                <w:szCs w:val="24"/>
              </w:rPr>
              <w:t xml:space="preserve">Plantear ≥1 objetivos psicoterapéuticos en el 100% de los casos. </w:t>
            </w: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Promover e impartir acciones psicoeducativas grupales.</w:t>
            </w:r>
          </w:p>
          <w:p>
            <w:pPr>
              <w:spacing w:after="0" w:line="360" w:lineRule="auto"/>
              <w:jc w:val="both"/>
              <w:rPr>
                <w:rFonts w:ascii="Arial" w:hAnsi="Arial" w:cs="Arial"/>
                <w:sz w:val="24"/>
                <w:szCs w:val="24"/>
              </w:rPr>
            </w:pPr>
          </w:p>
        </w:tc>
        <w:tc>
          <w:tcPr>
            <w:tcW w:w="4536" w:type="dxa"/>
            <w:vAlign w:val="center"/>
          </w:tcPr>
          <w:p>
            <w:pPr>
              <w:numPr>
                <w:ilvl w:val="0"/>
                <w:numId w:val="62"/>
              </w:numPr>
              <w:spacing w:after="0" w:line="360" w:lineRule="auto"/>
              <w:ind w:left="319"/>
              <w:jc w:val="both"/>
              <w:rPr>
                <w:rFonts w:ascii="Arial" w:hAnsi="Arial" w:cs="Arial"/>
                <w:sz w:val="24"/>
                <w:szCs w:val="24"/>
              </w:rPr>
            </w:pPr>
            <w:r>
              <w:rPr>
                <w:rFonts w:ascii="Arial" w:hAnsi="Arial" w:cs="Arial"/>
                <w:sz w:val="24"/>
                <w:szCs w:val="24"/>
              </w:rPr>
              <w:t>Realizar ≥1 acciones psicoeducativas grupales.</w:t>
            </w:r>
          </w:p>
        </w:tc>
      </w:tr>
      <w:tr>
        <w:trPr>
          <w:trHeight w:val="1881"/>
        </w:trPr>
        <w:tc>
          <w:tcPr>
            <w:tcW w:w="4678" w:type="dxa"/>
            <w:vAlign w:val="center"/>
          </w:tcPr>
          <w:p>
            <w:pPr>
              <w:numPr>
                <w:ilvl w:val="0"/>
                <w:numId w:val="61"/>
              </w:numPr>
              <w:spacing w:after="0" w:line="360" w:lineRule="auto"/>
              <w:jc w:val="both"/>
              <w:rPr>
                <w:rFonts w:ascii="Arial" w:hAnsi="Arial" w:cs="Arial"/>
                <w:sz w:val="24"/>
                <w:szCs w:val="24"/>
              </w:rPr>
            </w:pPr>
            <w:r>
              <w:rPr>
                <w:rFonts w:ascii="Arial" w:hAnsi="Arial" w:cs="Arial"/>
                <w:sz w:val="24"/>
                <w:szCs w:val="24"/>
              </w:rPr>
              <w:t>Asesorar técnicamente al equipo interdisciplinar.</w:t>
            </w:r>
          </w:p>
          <w:p>
            <w:pPr>
              <w:spacing w:after="0" w:line="360" w:lineRule="auto"/>
              <w:jc w:val="both"/>
              <w:rPr>
                <w:rFonts w:ascii="Arial" w:hAnsi="Arial" w:cs="Arial"/>
                <w:sz w:val="24"/>
                <w:szCs w:val="24"/>
              </w:rPr>
            </w:pPr>
          </w:p>
        </w:tc>
        <w:tc>
          <w:tcPr>
            <w:tcW w:w="4536" w:type="dxa"/>
            <w:vAlign w:val="center"/>
          </w:tcPr>
          <w:p>
            <w:pPr>
              <w:spacing w:after="0" w:line="360" w:lineRule="auto"/>
              <w:ind w:left="319"/>
              <w:jc w:val="both"/>
              <w:rPr>
                <w:rFonts w:ascii="Arial" w:hAnsi="Arial" w:cs="Arial"/>
                <w:sz w:val="24"/>
                <w:szCs w:val="24"/>
              </w:rPr>
            </w:pP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Recoger el 100% de las cuestiones planteadas por parte del equipo interdisciplinar.</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Dar respuesta al 100% de los planteamientos del equipo.</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Plantear, si se requiere, y a iniciativa del área, observaciones y/o sugerencias técnicas.</w:t>
            </w:r>
          </w:p>
          <w:p>
            <w:pPr>
              <w:numPr>
                <w:ilvl w:val="0"/>
                <w:numId w:val="60"/>
              </w:numPr>
              <w:spacing w:after="0" w:line="360" w:lineRule="auto"/>
              <w:ind w:left="319"/>
              <w:jc w:val="both"/>
              <w:rPr>
                <w:rFonts w:ascii="Arial" w:hAnsi="Arial" w:cs="Arial"/>
                <w:sz w:val="24"/>
                <w:szCs w:val="24"/>
              </w:rPr>
            </w:pPr>
            <w:r>
              <w:rPr>
                <w:rFonts w:ascii="Arial" w:hAnsi="Arial" w:cs="Arial"/>
                <w:sz w:val="24"/>
                <w:szCs w:val="24"/>
              </w:rPr>
              <w:t>Implementar intervenciones conjuntas con las demás áreas.</w:t>
            </w:r>
          </w:p>
          <w:p>
            <w:pPr>
              <w:spacing w:after="0" w:line="360" w:lineRule="auto"/>
              <w:ind w:left="319"/>
              <w:jc w:val="both"/>
              <w:rPr>
                <w:rFonts w:ascii="Arial" w:hAnsi="Arial" w:cs="Arial"/>
                <w:sz w:val="24"/>
                <w:szCs w:val="24"/>
              </w:rPr>
            </w:pP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 xml:space="preserve">Participar en foros de coordinación y/o mesas técnicas. </w:t>
            </w:r>
          </w:p>
          <w:p>
            <w:pPr>
              <w:spacing w:after="0" w:line="360" w:lineRule="auto"/>
              <w:jc w:val="both"/>
              <w:rPr>
                <w:rFonts w:ascii="Arial" w:hAnsi="Arial" w:cs="Arial"/>
                <w:sz w:val="24"/>
                <w:szCs w:val="24"/>
              </w:rPr>
            </w:pPr>
          </w:p>
        </w:tc>
        <w:tc>
          <w:tcPr>
            <w:tcW w:w="4536" w:type="dxa"/>
            <w:vAlign w:val="center"/>
          </w:tcPr>
          <w:p>
            <w:pPr>
              <w:spacing w:after="0" w:line="360" w:lineRule="auto"/>
              <w:ind w:left="319"/>
              <w:jc w:val="both"/>
              <w:rPr>
                <w:rFonts w:ascii="Arial" w:hAnsi="Arial" w:cs="Arial"/>
                <w:sz w:val="24"/>
                <w:szCs w:val="24"/>
              </w:rPr>
            </w:pPr>
          </w:p>
          <w:p>
            <w:pPr>
              <w:numPr>
                <w:ilvl w:val="0"/>
                <w:numId w:val="63"/>
              </w:numPr>
              <w:spacing w:after="0" w:line="360" w:lineRule="auto"/>
              <w:ind w:left="319"/>
              <w:jc w:val="both"/>
              <w:rPr>
                <w:rFonts w:ascii="Arial" w:hAnsi="Arial" w:cs="Arial"/>
                <w:sz w:val="24"/>
                <w:szCs w:val="24"/>
              </w:rPr>
            </w:pPr>
            <w:r>
              <w:rPr>
                <w:rFonts w:ascii="Arial" w:hAnsi="Arial" w:cs="Arial"/>
                <w:sz w:val="24"/>
                <w:szCs w:val="24"/>
              </w:rPr>
              <w:t>Asistir, previa convocatoria, a encuentros profesionales a nivel local, provincial, nacional y/o internacional.</w:t>
            </w:r>
          </w:p>
        </w:tc>
      </w:tr>
      <w:tr>
        <w:tc>
          <w:tcPr>
            <w:tcW w:w="4678" w:type="dxa"/>
            <w:vAlign w:val="center"/>
          </w:tcPr>
          <w:p>
            <w:pPr>
              <w:spacing w:after="0" w:line="360" w:lineRule="auto"/>
              <w:jc w:val="both"/>
              <w:rPr>
                <w:rFonts w:ascii="Arial" w:hAnsi="Arial" w:cs="Arial"/>
                <w:sz w:val="24"/>
                <w:szCs w:val="24"/>
              </w:rPr>
            </w:pPr>
          </w:p>
          <w:p>
            <w:pPr>
              <w:numPr>
                <w:ilvl w:val="0"/>
                <w:numId w:val="61"/>
              </w:numPr>
              <w:spacing w:after="0" w:line="360" w:lineRule="auto"/>
              <w:jc w:val="both"/>
              <w:rPr>
                <w:rFonts w:ascii="Arial" w:hAnsi="Arial" w:cs="Arial"/>
                <w:sz w:val="24"/>
                <w:szCs w:val="24"/>
              </w:rPr>
            </w:pPr>
            <w:r>
              <w:rPr>
                <w:rFonts w:ascii="Arial" w:hAnsi="Arial" w:cs="Arial"/>
                <w:sz w:val="24"/>
                <w:szCs w:val="24"/>
              </w:rPr>
              <w:t>Asistir a formaciones de especialización.</w:t>
            </w:r>
          </w:p>
          <w:p>
            <w:pPr>
              <w:spacing w:after="0" w:line="360" w:lineRule="auto"/>
              <w:jc w:val="both"/>
              <w:rPr>
                <w:rFonts w:ascii="Arial" w:hAnsi="Arial" w:cs="Arial"/>
                <w:sz w:val="24"/>
                <w:szCs w:val="24"/>
              </w:rPr>
            </w:pPr>
          </w:p>
        </w:tc>
        <w:tc>
          <w:tcPr>
            <w:tcW w:w="4536" w:type="dxa"/>
            <w:vAlign w:val="center"/>
          </w:tcPr>
          <w:p>
            <w:pPr>
              <w:spacing w:after="0" w:line="360" w:lineRule="auto"/>
              <w:ind w:left="319"/>
              <w:jc w:val="both"/>
              <w:rPr>
                <w:rFonts w:ascii="Arial" w:hAnsi="Arial" w:cs="Arial"/>
                <w:sz w:val="24"/>
                <w:szCs w:val="24"/>
              </w:rPr>
            </w:pPr>
          </w:p>
          <w:p>
            <w:pPr>
              <w:numPr>
                <w:ilvl w:val="0"/>
                <w:numId w:val="63"/>
              </w:numPr>
              <w:spacing w:after="0" w:line="360" w:lineRule="auto"/>
              <w:ind w:left="319"/>
              <w:jc w:val="both"/>
              <w:rPr>
                <w:rFonts w:ascii="Arial" w:hAnsi="Arial" w:cs="Arial"/>
                <w:sz w:val="24"/>
                <w:szCs w:val="24"/>
              </w:rPr>
            </w:pPr>
            <w:r>
              <w:rPr>
                <w:rFonts w:ascii="Arial" w:hAnsi="Arial" w:cs="Arial"/>
                <w:sz w:val="24"/>
                <w:szCs w:val="24"/>
              </w:rPr>
              <w:t>Participar en ≥1 una acción formativas de especialización.</w:t>
            </w:r>
          </w:p>
        </w:tc>
      </w:tr>
    </w:tbl>
    <w:p>
      <w:pPr>
        <w:spacing w:after="0"/>
        <w:jc w:val="both"/>
        <w:rPr>
          <w:rFonts w:ascii="Arial" w:hAnsi="Arial" w:cs="Arial"/>
          <w:sz w:val="24"/>
          <w:szCs w:val="24"/>
        </w:rPr>
      </w:pPr>
    </w:p>
    <w:p>
      <w:pPr>
        <w:spacing w:after="0"/>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sz w:val="24"/>
          <w:szCs w:val="24"/>
        </w:rPr>
      </w:pPr>
      <w:r>
        <w:rPr>
          <w:rFonts w:ascii="Arial" w:hAnsi="Arial" w:cs="Arial"/>
          <w:b/>
          <w:sz w:val="24"/>
          <w:szCs w:val="24"/>
        </w:rPr>
        <w:t>D.- NÚMERO DE MUJERES ATENDIDAS:</w:t>
      </w:r>
    </w:p>
    <w:p>
      <w:pPr>
        <w:spacing w:after="0" w:line="360" w:lineRule="auto"/>
        <w:jc w:val="both"/>
        <w:rPr>
          <w:rFonts w:ascii="Arial" w:hAnsi="Arial" w:cs="Arial"/>
          <w:bCs/>
          <w:sz w:val="24"/>
          <w:szCs w:val="24"/>
        </w:rPr>
      </w:pPr>
    </w:p>
    <w:p>
      <w:pPr>
        <w:spacing w:after="0" w:line="360" w:lineRule="auto"/>
        <w:jc w:val="both"/>
        <w:rPr>
          <w:rFonts w:ascii="Arial" w:hAnsi="Arial" w:cs="Arial"/>
          <w:bCs/>
          <w:sz w:val="24"/>
          <w:szCs w:val="24"/>
        </w:rPr>
      </w:pPr>
      <w:r>
        <w:rPr>
          <w:rFonts w:ascii="Arial" w:hAnsi="Arial" w:cs="Arial"/>
          <w:bCs/>
          <w:sz w:val="24"/>
          <w:szCs w:val="24"/>
        </w:rPr>
        <w:t>Durante el año 2025, recibieron atención psicológica individual 15 mujeres y un menor alojadas/os en la Casa de Acogida Daniela.</w:t>
      </w:r>
    </w:p>
    <w:p>
      <w:pPr>
        <w:spacing w:after="0" w:line="360" w:lineRule="auto"/>
        <w:jc w:val="both"/>
        <w:rPr>
          <w:rFonts w:ascii="Arial" w:hAnsi="Arial" w:cs="Arial"/>
          <w:bCs/>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E.- METODOLOGÍA:</w:t>
      </w:r>
    </w:p>
    <w:p>
      <w:pPr>
        <w:spacing w:after="0" w:line="360" w:lineRule="auto"/>
        <w:jc w:val="both"/>
        <w:rPr>
          <w:rFonts w:ascii="Arial" w:hAnsi="Arial" w:cs="Arial"/>
          <w:iCs/>
          <w:sz w:val="24"/>
          <w:szCs w:val="24"/>
        </w:rPr>
      </w:pPr>
    </w:p>
    <w:p>
      <w:pPr>
        <w:spacing w:after="0" w:line="360" w:lineRule="auto"/>
        <w:jc w:val="both"/>
        <w:rPr>
          <w:rFonts w:ascii="Arial" w:hAnsi="Arial" w:cs="Arial"/>
          <w:iCs/>
          <w:sz w:val="24"/>
          <w:szCs w:val="24"/>
        </w:rPr>
      </w:pPr>
      <w:r>
        <w:rPr>
          <w:rFonts w:ascii="Arial" w:hAnsi="Arial" w:cs="Arial"/>
          <w:iCs/>
          <w:sz w:val="24"/>
          <w:szCs w:val="24"/>
        </w:rPr>
        <w:t>La intervención psicológica se desarrolla dentro del circuito interno de la entidad, recibiendo a las mujeres derivadas por el área social, que actúa como primer punto de contacto. Tras la derivación, se realiza una evaluación psicológica individual en la que se valoran necesidades, límites y potencialidades, así como el estado emocional, los recursos personales, la presencia de trauma, el nivel de motivación y los factores de riesgo o protección.</w:t>
      </w:r>
    </w:p>
    <w:p>
      <w:pPr>
        <w:spacing w:after="0" w:line="360" w:lineRule="auto"/>
        <w:jc w:val="both"/>
        <w:rPr>
          <w:rFonts w:ascii="Arial" w:hAnsi="Arial" w:cs="Arial"/>
          <w:iCs/>
          <w:sz w:val="24"/>
          <w:szCs w:val="24"/>
        </w:rPr>
      </w:pPr>
    </w:p>
    <w:p>
      <w:pPr>
        <w:spacing w:after="0" w:line="360" w:lineRule="auto"/>
        <w:jc w:val="both"/>
        <w:rPr>
          <w:rFonts w:ascii="Arial" w:hAnsi="Arial" w:cs="Arial"/>
          <w:iCs/>
          <w:sz w:val="24"/>
          <w:szCs w:val="24"/>
        </w:rPr>
      </w:pPr>
      <w:r>
        <w:rPr>
          <w:rFonts w:ascii="Arial" w:hAnsi="Arial" w:cs="Arial"/>
          <w:iCs/>
          <w:sz w:val="24"/>
          <w:szCs w:val="24"/>
        </w:rPr>
        <w:t>En algunos casos, las mujeres han vivido episodios traumáticos muy recientes. Cuando esto ocurre, la intervención inicial se centra en proporcionar primer auxilio psicológico, entendido como una atención breve y de emergencia orientada a ofrecer seguridad, contención emocional y estabilización inmediata.</w:t>
      </w:r>
    </w:p>
    <w:p>
      <w:pPr>
        <w:spacing w:after="0" w:line="360" w:lineRule="auto"/>
        <w:jc w:val="both"/>
        <w:rPr>
          <w:rFonts w:ascii="Arial" w:hAnsi="Arial" w:cs="Arial"/>
          <w:iCs/>
          <w:sz w:val="24"/>
          <w:szCs w:val="24"/>
        </w:rPr>
      </w:pPr>
    </w:p>
    <w:p>
      <w:pPr>
        <w:spacing w:after="0" w:line="360" w:lineRule="auto"/>
        <w:jc w:val="both"/>
        <w:rPr>
          <w:rFonts w:ascii="Arial" w:hAnsi="Arial" w:cs="Arial"/>
          <w:iCs/>
          <w:sz w:val="24"/>
          <w:szCs w:val="24"/>
        </w:rPr>
      </w:pPr>
      <w:r>
        <w:rPr>
          <w:rFonts w:ascii="Arial" w:hAnsi="Arial" w:cs="Arial"/>
          <w:b/>
          <w:iCs/>
          <w:sz w:val="24"/>
          <w:szCs w:val="24"/>
        </w:rPr>
        <w:t>La elección de los instrumentos y técnicas no es estándar: cada mujer es única y posee un recorrido vital propio, por lo que solo a partir de una buena valoración de sus necesidades, circunstancias y potencialidades es posible estructurar una intervención psicológica ad hoc, siempre distinta y adaptada a su proceso personal.</w:t>
      </w:r>
      <w:r>
        <w:rPr>
          <w:rFonts w:ascii="Arial" w:hAnsi="Arial" w:cs="Arial"/>
          <w:iCs/>
          <w:sz w:val="24"/>
          <w:szCs w:val="24"/>
        </w:rPr>
        <w:t xml:space="preserve"> </w:t>
      </w:r>
    </w:p>
    <w:p>
      <w:pPr>
        <w:spacing w:after="0" w:line="360" w:lineRule="auto"/>
        <w:jc w:val="both"/>
        <w:rPr>
          <w:rFonts w:ascii="Arial" w:hAnsi="Arial" w:cs="Arial"/>
          <w:iCs/>
          <w:sz w:val="24"/>
          <w:szCs w:val="24"/>
        </w:rPr>
      </w:pPr>
    </w:p>
    <w:p>
      <w:pPr>
        <w:spacing w:after="0" w:line="360" w:lineRule="auto"/>
        <w:jc w:val="both"/>
        <w:rPr>
          <w:rFonts w:ascii="Arial" w:hAnsi="Arial" w:cs="Arial"/>
          <w:iCs/>
          <w:sz w:val="24"/>
          <w:szCs w:val="24"/>
        </w:rPr>
      </w:pPr>
      <w:r>
        <w:rPr>
          <w:rFonts w:ascii="Arial" w:hAnsi="Arial" w:cs="Arial"/>
          <w:iCs/>
          <w:sz w:val="24"/>
          <w:szCs w:val="24"/>
        </w:rPr>
        <w:lastRenderedPageBreak/>
        <w:t>Cuando se requiere una valoración más precisa, se incorporan tests e instrumentos psicodiagnósticos para obtener una comprensión más detallada del estado psicológico.</w:t>
      </w:r>
    </w:p>
    <w:p>
      <w:pPr>
        <w:spacing w:after="0" w:line="360" w:lineRule="auto"/>
        <w:jc w:val="both"/>
        <w:rPr>
          <w:rFonts w:ascii="Arial" w:hAnsi="Arial" w:cs="Arial"/>
          <w:iCs/>
          <w:sz w:val="24"/>
          <w:szCs w:val="24"/>
        </w:rPr>
      </w:pPr>
      <w:r>
        <w:rPr>
          <w:rFonts w:ascii="Arial" w:hAnsi="Arial" w:cs="Arial"/>
          <w:iCs/>
          <w:sz w:val="24"/>
          <w:szCs w:val="24"/>
        </w:rPr>
        <w:t>La metodología integra herramientas, cuestionarios y técnicas procedentes de diferentes enfoques psicoterapéuticos, siempre basadas en la evidencia científica y adaptadas a las características y al ritmo de cada proceso. De forma transversal se incorpora la perspectiva de género, el enfoque de derechos humanos y la protección de la infancia, elementos indispensables en el trabajo con mujeres que han vivido violencia, explotación o trata.</w:t>
      </w:r>
    </w:p>
    <w:p>
      <w:pPr>
        <w:spacing w:after="0" w:line="360" w:lineRule="auto"/>
        <w:jc w:val="both"/>
        <w:rPr>
          <w:rFonts w:ascii="Arial" w:hAnsi="Arial" w:cs="Arial"/>
          <w:iCs/>
          <w:sz w:val="24"/>
          <w:szCs w:val="24"/>
        </w:rPr>
      </w:pPr>
    </w:p>
    <w:p>
      <w:pPr>
        <w:spacing w:after="0" w:line="360" w:lineRule="auto"/>
        <w:jc w:val="both"/>
        <w:rPr>
          <w:rFonts w:ascii="Arial" w:hAnsi="Arial" w:cs="Arial"/>
          <w:b/>
          <w:iCs/>
          <w:sz w:val="24"/>
          <w:szCs w:val="24"/>
        </w:rPr>
      </w:pPr>
      <w:r>
        <w:rPr>
          <w:rFonts w:ascii="Arial" w:hAnsi="Arial" w:cs="Arial"/>
          <w:b/>
          <w:iCs/>
          <w:sz w:val="24"/>
          <w:szCs w:val="24"/>
        </w:rPr>
        <w:t>Entre los instrumentos y técnicas utilizados se incluyen:</w:t>
      </w:r>
    </w:p>
    <w:p>
      <w:pPr>
        <w:spacing w:after="0" w:line="360" w:lineRule="auto"/>
        <w:jc w:val="both"/>
        <w:rPr>
          <w:rFonts w:ascii="Arial" w:hAnsi="Arial" w:cs="Arial"/>
          <w:b/>
          <w:iCs/>
          <w:sz w:val="24"/>
          <w:szCs w:val="24"/>
        </w:rPr>
      </w:pPr>
    </w:p>
    <w:p>
      <w:pPr>
        <w:numPr>
          <w:ilvl w:val="0"/>
          <w:numId w:val="63"/>
        </w:numPr>
        <w:spacing w:after="0" w:line="360" w:lineRule="auto"/>
        <w:jc w:val="both"/>
        <w:rPr>
          <w:rFonts w:ascii="Arial" w:hAnsi="Arial" w:cs="Arial"/>
          <w:iCs/>
          <w:sz w:val="24"/>
          <w:szCs w:val="24"/>
        </w:rPr>
      </w:pPr>
      <w:r>
        <w:rPr>
          <w:rFonts w:ascii="Arial" w:hAnsi="Arial" w:cs="Arial"/>
          <w:iCs/>
          <w:sz w:val="24"/>
          <w:szCs w:val="24"/>
        </w:rPr>
        <w:t>Primer auxilio psicológico.</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Pruebas psicodiagnósticas.</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Escucha activa, validación emocional y acompañamiento respetuoso.</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Entrevistas semiestructuradas y guías de exploración del trauma.</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Psychoeducación sobre emociones, trauma, seguridad y regulación.</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Técnicas cognitivo-conductuales, como identificación de pensamientos, reestructuración cognitiva y estrategias de afrontamiento.</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Técnicas psicosomáticas y de regulación corporal, como respiración, relajación, ejercicios posturales y conexión cuerpo–emoción.</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Herramientas de psicología integrativa, como anclaje, estabilización emocional y trabajo con partes internas.</w:t>
      </w:r>
    </w:p>
    <w:p>
      <w:pPr>
        <w:numPr>
          <w:ilvl w:val="0"/>
          <w:numId w:val="63"/>
        </w:numPr>
        <w:spacing w:after="0" w:line="360" w:lineRule="auto"/>
        <w:jc w:val="both"/>
        <w:rPr>
          <w:rFonts w:ascii="Arial" w:hAnsi="Arial" w:cs="Arial"/>
          <w:iCs/>
          <w:sz w:val="24"/>
          <w:szCs w:val="24"/>
        </w:rPr>
      </w:pPr>
      <w:r>
        <w:rPr>
          <w:rFonts w:ascii="Arial" w:hAnsi="Arial" w:cs="Arial"/>
          <w:iCs/>
          <w:sz w:val="24"/>
          <w:szCs w:val="24"/>
        </w:rPr>
        <w:t>Registros emocionales, diarios terapéuticos y escalas de autoobservación.</w:t>
      </w:r>
    </w:p>
    <w:p>
      <w:pPr>
        <w:spacing w:after="0" w:line="360" w:lineRule="auto"/>
        <w:ind w:left="720"/>
        <w:jc w:val="both"/>
        <w:rPr>
          <w:rFonts w:ascii="Arial" w:hAnsi="Arial" w:cs="Arial"/>
          <w:iCs/>
          <w:sz w:val="24"/>
          <w:szCs w:val="24"/>
        </w:rPr>
      </w:pPr>
    </w:p>
    <w:p>
      <w:pPr>
        <w:spacing w:after="0" w:line="360" w:lineRule="auto"/>
        <w:jc w:val="both"/>
        <w:rPr>
          <w:rFonts w:ascii="Arial" w:hAnsi="Arial" w:cs="Arial"/>
          <w:iCs/>
          <w:sz w:val="24"/>
          <w:szCs w:val="24"/>
        </w:rPr>
      </w:pPr>
      <w:r>
        <w:rPr>
          <w:rFonts w:ascii="Arial" w:hAnsi="Arial" w:cs="Arial"/>
          <w:iCs/>
          <w:sz w:val="24"/>
          <w:szCs w:val="24"/>
        </w:rPr>
        <w:t>Este enfoque global permite intervenir simultáneamente en los planos emocional, cognitivo, corporal y fisiológico, favoreciendo la regulación, el fortalecimiento personal y la recuperación del trauma.</w:t>
      </w:r>
    </w:p>
    <w:p>
      <w:pPr>
        <w:spacing w:after="0" w:line="360" w:lineRule="auto"/>
        <w:jc w:val="both"/>
        <w:rPr>
          <w:rFonts w:ascii="Arial" w:hAnsi="Arial" w:cs="Arial"/>
          <w:iCs/>
          <w:sz w:val="24"/>
          <w:szCs w:val="24"/>
        </w:rPr>
      </w:pPr>
    </w:p>
    <w:p>
      <w:pPr>
        <w:spacing w:after="0" w:line="360" w:lineRule="auto"/>
        <w:jc w:val="both"/>
        <w:rPr>
          <w:rFonts w:ascii="Arial" w:hAnsi="Arial" w:cs="Arial"/>
          <w:sz w:val="24"/>
          <w:szCs w:val="24"/>
        </w:rPr>
      </w:pPr>
      <w:r>
        <w:rPr>
          <w:rFonts w:ascii="Arial" w:hAnsi="Arial" w:cs="Arial"/>
          <w:sz w:val="24"/>
          <w:szCs w:val="24"/>
        </w:rPr>
        <w:t xml:space="preserve">La estrategia terapéutica se define considerando el </w:t>
      </w:r>
      <w:r>
        <w:rPr>
          <w:rFonts w:ascii="Arial" w:hAnsi="Arial" w:cs="Arial"/>
          <w:b/>
          <w:bCs/>
          <w:sz w:val="24"/>
          <w:szCs w:val="24"/>
        </w:rPr>
        <w:t>tipo de intervención</w:t>
      </w:r>
      <w:r>
        <w:rPr>
          <w:rFonts w:ascii="Arial" w:hAnsi="Arial" w:cs="Arial"/>
          <w:sz w:val="24"/>
          <w:szCs w:val="24"/>
        </w:rPr>
        <w:t xml:space="preserve"> (asesoramiento, acompañamiento, terapia individual o talleres grupales), la </w:t>
      </w:r>
      <w:r>
        <w:rPr>
          <w:rFonts w:ascii="Arial" w:hAnsi="Arial" w:cs="Arial"/>
          <w:b/>
          <w:bCs/>
          <w:sz w:val="24"/>
          <w:szCs w:val="24"/>
        </w:rPr>
        <w:t xml:space="preserve">duración </w:t>
      </w:r>
      <w:r>
        <w:rPr>
          <w:rFonts w:ascii="Arial" w:hAnsi="Arial" w:cs="Arial"/>
          <w:b/>
          <w:bCs/>
          <w:sz w:val="24"/>
          <w:szCs w:val="24"/>
        </w:rPr>
        <w:lastRenderedPageBreak/>
        <w:t>de la estancia</w:t>
      </w:r>
      <w:r>
        <w:rPr>
          <w:rFonts w:ascii="Arial" w:hAnsi="Arial" w:cs="Arial"/>
          <w:sz w:val="24"/>
          <w:szCs w:val="24"/>
        </w:rPr>
        <w:t xml:space="preserve">, el </w:t>
      </w:r>
      <w:r>
        <w:rPr>
          <w:rFonts w:ascii="Arial" w:hAnsi="Arial" w:cs="Arial"/>
          <w:b/>
          <w:bCs/>
          <w:sz w:val="24"/>
          <w:szCs w:val="24"/>
        </w:rPr>
        <w:t>nivel de motivación</w:t>
      </w:r>
      <w:r>
        <w:rPr>
          <w:rFonts w:ascii="Arial" w:hAnsi="Arial" w:cs="Arial"/>
          <w:sz w:val="24"/>
          <w:szCs w:val="24"/>
        </w:rPr>
        <w:t xml:space="preserve">, el </w:t>
      </w:r>
      <w:r>
        <w:rPr>
          <w:rFonts w:ascii="Arial" w:hAnsi="Arial" w:cs="Arial"/>
          <w:b/>
          <w:bCs/>
          <w:sz w:val="24"/>
          <w:szCs w:val="24"/>
        </w:rPr>
        <w:t>contexto sociofamiliar</w:t>
      </w:r>
      <w:r>
        <w:rPr>
          <w:rFonts w:ascii="Arial" w:hAnsi="Arial" w:cs="Arial"/>
          <w:sz w:val="24"/>
          <w:szCs w:val="24"/>
        </w:rPr>
        <w:t xml:space="preserve">, la </w:t>
      </w:r>
      <w:r>
        <w:rPr>
          <w:rFonts w:ascii="Arial" w:hAnsi="Arial" w:cs="Arial"/>
          <w:b/>
          <w:bCs/>
          <w:sz w:val="24"/>
          <w:szCs w:val="24"/>
        </w:rPr>
        <w:t>red de apoyo</w:t>
      </w:r>
      <w:r>
        <w:rPr>
          <w:rFonts w:ascii="Arial" w:hAnsi="Arial" w:cs="Arial"/>
          <w:sz w:val="24"/>
          <w:szCs w:val="24"/>
        </w:rPr>
        <w:t xml:space="preserve"> y la </w:t>
      </w:r>
      <w:r>
        <w:rPr>
          <w:rFonts w:ascii="Arial" w:hAnsi="Arial" w:cs="Arial"/>
          <w:b/>
          <w:bCs/>
          <w:sz w:val="24"/>
          <w:szCs w:val="24"/>
        </w:rPr>
        <w:t>situación administrativa o legal</w:t>
      </w:r>
      <w:r>
        <w:rPr>
          <w:rFonts w:ascii="Arial" w:hAnsi="Arial" w:cs="Arial"/>
          <w:sz w:val="24"/>
          <w:szCs w:val="24"/>
        </w:rPr>
        <w:t xml:space="preserve">.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selección de los contenidos de los talleres, cuando se realizan, se basa en las necesidades detectadas en las mujeres durante las evaluaciones psicológica y social, así como en el objetivo específico del taller dentro del proyecto anual. Durante el último año, el taller se orientó a favorecer una inserción laboral eficaz, por lo que se trabajaron de manera integrada competencias transversales esenciales para el acceso y mantenimiento del empleo, como la comunicación asertiva y las habilidades relacionales, la gestión de miedos e inseguridades relacionadas con la búsqueda de trabajo, etc.</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Cada taller se adapta de manera dinámica a los ritmos, necesidades y evolución del grupo, creando un espacio seguro de aprendizaje, expresión y empoderamiento.</w:t>
      </w:r>
    </w:p>
    <w:p>
      <w:pPr>
        <w:spacing w:after="0" w:line="360" w:lineRule="auto"/>
        <w:jc w:val="both"/>
        <w:rPr>
          <w:rFonts w:ascii="Arial" w:hAnsi="Arial" w:cs="Arial"/>
          <w:iCs/>
          <w:sz w:val="24"/>
          <w:szCs w:val="24"/>
        </w:rPr>
      </w:pPr>
      <w:r>
        <w:rPr>
          <w:rFonts w:ascii="Arial" w:hAnsi="Arial" w:cs="Arial"/>
          <w:iCs/>
          <w:sz w:val="24"/>
          <w:szCs w:val="24"/>
        </w:rPr>
        <w:t>El trabajo se realiza en coordinación permanente con el área social y el equipo multidisciplinar, garantizando una intervención integral.</w:t>
      </w:r>
    </w:p>
    <w:p>
      <w:pPr>
        <w:spacing w:after="0" w:line="360" w:lineRule="auto"/>
        <w:jc w:val="both"/>
        <w:rPr>
          <w:rFonts w:ascii="Arial" w:hAnsi="Arial" w:cs="Arial"/>
          <w:iCs/>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F.- DEMANDAS PRESENTADAS: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Las mujeres que solicitan apoyo desde el área presentan una diversidad de necesidades, entre las cuales se destacan:</w:t>
      </w:r>
    </w:p>
    <w:p>
      <w:pPr>
        <w:spacing w:after="0" w:line="360" w:lineRule="auto"/>
        <w:jc w:val="both"/>
        <w:rPr>
          <w:rFonts w:ascii="Arial" w:hAnsi="Arial" w:cs="Arial"/>
          <w:sz w:val="24"/>
          <w:szCs w:val="24"/>
        </w:rPr>
      </w:pPr>
    </w:p>
    <w:p>
      <w:pPr>
        <w:numPr>
          <w:ilvl w:val="0"/>
          <w:numId w:val="81"/>
        </w:numPr>
        <w:spacing w:after="0" w:line="360" w:lineRule="auto"/>
        <w:jc w:val="both"/>
        <w:rPr>
          <w:rFonts w:ascii="Arial" w:hAnsi="Arial" w:cs="Arial"/>
          <w:sz w:val="24"/>
          <w:szCs w:val="24"/>
        </w:rPr>
      </w:pPr>
      <w:r>
        <w:rPr>
          <w:rFonts w:ascii="Arial" w:hAnsi="Arial" w:cs="Arial"/>
          <w:sz w:val="24"/>
          <w:szCs w:val="24"/>
        </w:rPr>
        <w:t>Disponer de un espacio seguro para ser escuchadas y expresar emociones acumuladas.</w:t>
      </w:r>
    </w:p>
    <w:p>
      <w:pPr>
        <w:numPr>
          <w:ilvl w:val="0"/>
          <w:numId w:val="81"/>
        </w:numPr>
        <w:spacing w:after="0" w:line="360" w:lineRule="auto"/>
        <w:jc w:val="both"/>
        <w:rPr>
          <w:rFonts w:ascii="Arial" w:hAnsi="Arial" w:cs="Arial"/>
          <w:sz w:val="24"/>
          <w:szCs w:val="24"/>
        </w:rPr>
      </w:pPr>
      <w:r>
        <w:rPr>
          <w:rFonts w:ascii="Arial" w:hAnsi="Arial" w:cs="Arial"/>
          <w:sz w:val="24"/>
          <w:szCs w:val="24"/>
        </w:rPr>
        <w:t>Acceder a recursos que les permitan adquirir, modificar y consolidar hábitos de vida saludables, incluyendo higiene del sueño, alimentación equilibrada y cuidado personal.</w:t>
      </w:r>
    </w:p>
    <w:p>
      <w:pPr>
        <w:numPr>
          <w:ilvl w:val="0"/>
          <w:numId w:val="81"/>
        </w:numPr>
        <w:spacing w:after="0" w:line="360" w:lineRule="auto"/>
        <w:jc w:val="both"/>
        <w:rPr>
          <w:rFonts w:ascii="Arial" w:hAnsi="Arial" w:cs="Arial"/>
          <w:sz w:val="24"/>
          <w:szCs w:val="24"/>
        </w:rPr>
      </w:pPr>
      <w:r>
        <w:rPr>
          <w:rFonts w:ascii="Arial" w:hAnsi="Arial" w:cs="Arial"/>
          <w:sz w:val="24"/>
          <w:szCs w:val="24"/>
        </w:rPr>
        <w:t>Recibir acompañamiento para la toma de decisiones sobre su proyecto de vida, especialmente cuando existe dificultad para asumirlo de manera autónoma; en los casos en que sí lo hacen, buscan la validación recurrente de sus decisiones.</w:t>
      </w:r>
    </w:p>
    <w:p>
      <w:pPr>
        <w:numPr>
          <w:ilvl w:val="0"/>
          <w:numId w:val="81"/>
        </w:numPr>
        <w:spacing w:after="0" w:line="360" w:lineRule="auto"/>
        <w:jc w:val="both"/>
        <w:rPr>
          <w:rFonts w:ascii="Arial" w:hAnsi="Arial" w:cs="Arial"/>
          <w:sz w:val="24"/>
          <w:szCs w:val="24"/>
        </w:rPr>
      </w:pPr>
      <w:r>
        <w:rPr>
          <w:rFonts w:ascii="Arial" w:hAnsi="Arial" w:cs="Arial"/>
          <w:sz w:val="24"/>
          <w:szCs w:val="24"/>
        </w:rPr>
        <w:lastRenderedPageBreak/>
        <w:t>Establecer objetivos claros, priorizarlos y gestionar el tiempo de manera efectiva para alcanzarlos.</w:t>
      </w:r>
    </w:p>
    <w:p>
      <w:pPr>
        <w:numPr>
          <w:ilvl w:val="0"/>
          <w:numId w:val="81"/>
        </w:numPr>
        <w:spacing w:after="0" w:line="360" w:lineRule="auto"/>
        <w:jc w:val="both"/>
        <w:rPr>
          <w:rFonts w:ascii="Arial" w:hAnsi="Arial" w:cs="Arial"/>
          <w:sz w:val="24"/>
          <w:szCs w:val="24"/>
        </w:rPr>
      </w:pPr>
      <w:r>
        <w:rPr>
          <w:rFonts w:ascii="Arial" w:hAnsi="Arial" w:cs="Arial"/>
          <w:sz w:val="24"/>
          <w:szCs w:val="24"/>
        </w:rPr>
        <w:t>Contar con soporte emocional en situaciones externas al contexto psicoterapéutico, como consultas médicas, revisiones, procesos judiciales, y coordinar acciones con otros profesionales y servicios.</w:t>
      </w:r>
    </w:p>
    <w:p>
      <w:pPr>
        <w:numPr>
          <w:ilvl w:val="0"/>
          <w:numId w:val="81"/>
        </w:numPr>
        <w:spacing w:after="0" w:line="360" w:lineRule="auto"/>
        <w:jc w:val="both"/>
        <w:rPr>
          <w:rFonts w:ascii="Arial" w:hAnsi="Arial" w:cs="Arial"/>
          <w:sz w:val="24"/>
          <w:szCs w:val="24"/>
        </w:rPr>
      </w:pPr>
      <w:r>
        <w:rPr>
          <w:rFonts w:ascii="Arial" w:hAnsi="Arial" w:cs="Arial"/>
          <w:sz w:val="24"/>
          <w:szCs w:val="24"/>
        </w:rPr>
        <w:t>Apoyo en procesos de deshabituación a sustancias adictivas vinculadas a contextos de violencia o dependencia a tratamientos farmacológicos.</w:t>
      </w:r>
    </w:p>
    <w:p>
      <w:pPr>
        <w:numPr>
          <w:ilvl w:val="0"/>
          <w:numId w:val="81"/>
        </w:numPr>
        <w:spacing w:after="0" w:line="360" w:lineRule="auto"/>
        <w:jc w:val="both"/>
        <w:rPr>
          <w:rFonts w:ascii="Arial" w:hAnsi="Arial" w:cs="Arial"/>
          <w:sz w:val="24"/>
          <w:szCs w:val="24"/>
        </w:rPr>
      </w:pPr>
      <w:r>
        <w:rPr>
          <w:rFonts w:ascii="Arial" w:hAnsi="Arial" w:cs="Arial"/>
          <w:sz w:val="24"/>
          <w:szCs w:val="24"/>
        </w:rPr>
        <w:t>Desarrollo de habilidades comunicativas, incluyendo establecimiento de límites asertivos, iniciación de conversaciones y realización de entrevistas.</w:t>
      </w:r>
    </w:p>
    <w:p>
      <w:pPr>
        <w:numPr>
          <w:ilvl w:val="0"/>
          <w:numId w:val="81"/>
        </w:numPr>
        <w:spacing w:after="0" w:line="360" w:lineRule="auto"/>
        <w:jc w:val="both"/>
        <w:rPr>
          <w:rFonts w:ascii="Arial" w:hAnsi="Arial" w:cs="Arial"/>
          <w:sz w:val="24"/>
          <w:szCs w:val="24"/>
        </w:rPr>
      </w:pPr>
      <w:r>
        <w:rPr>
          <w:rFonts w:ascii="Arial" w:hAnsi="Arial" w:cs="Arial"/>
          <w:sz w:val="24"/>
          <w:szCs w:val="24"/>
        </w:rPr>
        <w:t>Aprender técnicas de manejo de la ira y agresividad, resignificando la normalización de la violencia.</w:t>
      </w:r>
    </w:p>
    <w:p>
      <w:pPr>
        <w:numPr>
          <w:ilvl w:val="0"/>
          <w:numId w:val="81"/>
        </w:numPr>
        <w:spacing w:after="0" w:line="360" w:lineRule="auto"/>
        <w:jc w:val="both"/>
        <w:rPr>
          <w:rFonts w:ascii="Arial" w:hAnsi="Arial" w:cs="Arial"/>
          <w:sz w:val="24"/>
          <w:szCs w:val="24"/>
        </w:rPr>
      </w:pPr>
      <w:r>
        <w:rPr>
          <w:rFonts w:ascii="Arial" w:hAnsi="Arial" w:cs="Arial"/>
          <w:sz w:val="24"/>
          <w:szCs w:val="24"/>
        </w:rPr>
        <w:t>Recuperar vínculos personales perdidos y establecer límites frente a relaciones dañinas, ya sean familiares o amistosas.</w:t>
      </w:r>
    </w:p>
    <w:p>
      <w:pPr>
        <w:numPr>
          <w:ilvl w:val="0"/>
          <w:numId w:val="81"/>
        </w:numPr>
        <w:spacing w:after="0" w:line="360" w:lineRule="auto"/>
        <w:jc w:val="both"/>
        <w:rPr>
          <w:rFonts w:ascii="Arial" w:hAnsi="Arial" w:cs="Arial"/>
          <w:sz w:val="24"/>
          <w:szCs w:val="24"/>
        </w:rPr>
      </w:pPr>
      <w:r>
        <w:rPr>
          <w:rFonts w:ascii="Arial" w:hAnsi="Arial" w:cs="Arial"/>
          <w:sz w:val="24"/>
          <w:szCs w:val="24"/>
        </w:rPr>
        <w:t>Intervención psicoterapéutica continua y estable, adaptada a las necesidades individuales.</w:t>
      </w:r>
    </w:p>
    <w:p>
      <w:pPr>
        <w:numPr>
          <w:ilvl w:val="0"/>
          <w:numId w:val="81"/>
        </w:numPr>
        <w:spacing w:after="0" w:line="360" w:lineRule="auto"/>
        <w:jc w:val="both"/>
        <w:rPr>
          <w:rFonts w:ascii="Arial" w:hAnsi="Arial" w:cs="Arial"/>
          <w:sz w:val="24"/>
          <w:szCs w:val="24"/>
        </w:rPr>
      </w:pPr>
      <w:r>
        <w:rPr>
          <w:rFonts w:ascii="Arial" w:hAnsi="Arial" w:cs="Arial"/>
          <w:sz w:val="24"/>
          <w:szCs w:val="24"/>
        </w:rPr>
        <w:t>Sesiones psicoterapéuticas en espacios abiertos y aproximación gradual a estímulos desencadenantes de situaciones problemáticas (por ejemplo: lugares de explotación, zonas de tránsito de prostitución, juzgados, comisarías).</w:t>
      </w:r>
    </w:p>
    <w:p>
      <w:pPr>
        <w:numPr>
          <w:ilvl w:val="0"/>
          <w:numId w:val="81"/>
        </w:numPr>
        <w:spacing w:after="0" w:line="360" w:lineRule="auto"/>
        <w:jc w:val="both"/>
        <w:rPr>
          <w:rFonts w:ascii="Arial" w:hAnsi="Arial" w:cs="Arial"/>
          <w:sz w:val="24"/>
          <w:szCs w:val="24"/>
        </w:rPr>
      </w:pPr>
      <w:r>
        <w:rPr>
          <w:rFonts w:ascii="Arial" w:hAnsi="Arial" w:cs="Arial"/>
          <w:sz w:val="24"/>
          <w:szCs w:val="24"/>
        </w:rPr>
        <w:t>Reformulación del aprendizaje sexual afectado por la exposición a violencia y explotación.</w:t>
      </w:r>
    </w:p>
    <w:p>
      <w:pPr>
        <w:numPr>
          <w:ilvl w:val="0"/>
          <w:numId w:val="81"/>
        </w:numPr>
        <w:spacing w:after="0" w:line="360" w:lineRule="auto"/>
        <w:jc w:val="both"/>
        <w:rPr>
          <w:rFonts w:ascii="Arial" w:hAnsi="Arial" w:cs="Arial"/>
          <w:sz w:val="24"/>
          <w:szCs w:val="24"/>
        </w:rPr>
      </w:pPr>
      <w:r>
        <w:rPr>
          <w:rFonts w:ascii="Arial" w:hAnsi="Arial" w:cs="Arial"/>
          <w:sz w:val="24"/>
          <w:szCs w:val="24"/>
        </w:rPr>
        <w:t>Apoyo en situaciones de crisis, como ataques de pánico o intentos de suicidio.</w:t>
      </w:r>
    </w:p>
    <w:p>
      <w:pPr>
        <w:numPr>
          <w:ilvl w:val="0"/>
          <w:numId w:val="81"/>
        </w:numPr>
        <w:spacing w:after="0" w:line="360" w:lineRule="auto"/>
        <w:jc w:val="both"/>
        <w:rPr>
          <w:rFonts w:ascii="Arial" w:hAnsi="Arial" w:cs="Arial"/>
          <w:sz w:val="24"/>
          <w:szCs w:val="24"/>
        </w:rPr>
      </w:pPr>
      <w:r>
        <w:rPr>
          <w:rFonts w:ascii="Arial" w:hAnsi="Arial" w:cs="Arial"/>
          <w:sz w:val="24"/>
          <w:szCs w:val="24"/>
        </w:rPr>
        <w:t>Adquisición de herramientas para establecer relaciones afectivas más igualitarias y saludables.</w:t>
      </w:r>
    </w:p>
    <w:p>
      <w:pPr>
        <w:numPr>
          <w:ilvl w:val="0"/>
          <w:numId w:val="81"/>
        </w:numPr>
        <w:spacing w:after="0" w:line="360" w:lineRule="auto"/>
        <w:jc w:val="both"/>
        <w:rPr>
          <w:rFonts w:ascii="Arial" w:hAnsi="Arial" w:cs="Arial"/>
          <w:sz w:val="24"/>
          <w:szCs w:val="24"/>
        </w:rPr>
      </w:pPr>
      <w:r>
        <w:rPr>
          <w:rFonts w:ascii="Arial" w:hAnsi="Arial" w:cs="Arial"/>
          <w:sz w:val="24"/>
          <w:szCs w:val="24"/>
        </w:rPr>
        <w:t>Estrategias para afrontar el estrés relacionado con el duelo migratorio, incluyendo dificultades de reagrupación familiar o miedo a la detención y expulsión por situación irregular.</w:t>
      </w:r>
    </w:p>
    <w:p>
      <w:pPr>
        <w:numPr>
          <w:ilvl w:val="0"/>
          <w:numId w:val="81"/>
        </w:numPr>
        <w:spacing w:after="0" w:line="360" w:lineRule="auto"/>
        <w:jc w:val="both"/>
        <w:rPr>
          <w:rFonts w:ascii="Arial" w:hAnsi="Arial" w:cs="Arial"/>
          <w:sz w:val="24"/>
          <w:szCs w:val="24"/>
        </w:rPr>
      </w:pPr>
      <w:r>
        <w:rPr>
          <w:rFonts w:ascii="Arial" w:hAnsi="Arial" w:cs="Arial"/>
          <w:sz w:val="24"/>
          <w:szCs w:val="24"/>
        </w:rPr>
        <w:t>Mediación en conflictos interpersonales y desarrollo de estrategias de afrontamiento frente a emociones desagradables.</w:t>
      </w:r>
    </w:p>
    <w:p>
      <w:pPr>
        <w:numPr>
          <w:ilvl w:val="0"/>
          <w:numId w:val="81"/>
        </w:numPr>
        <w:spacing w:after="0" w:line="360" w:lineRule="auto"/>
        <w:jc w:val="both"/>
        <w:rPr>
          <w:rFonts w:ascii="Arial" w:hAnsi="Arial" w:cs="Arial"/>
          <w:sz w:val="24"/>
          <w:szCs w:val="24"/>
        </w:rPr>
      </w:pPr>
      <w:r>
        <w:rPr>
          <w:rFonts w:ascii="Arial" w:hAnsi="Arial" w:cs="Arial"/>
          <w:sz w:val="24"/>
          <w:szCs w:val="24"/>
        </w:rPr>
        <w:t>Redacción de informes y documentación necesaria para diversos trámites.</w:t>
      </w:r>
    </w:p>
    <w:p>
      <w:pPr>
        <w:numPr>
          <w:ilvl w:val="0"/>
          <w:numId w:val="81"/>
        </w:numPr>
        <w:spacing w:after="0" w:line="360" w:lineRule="auto"/>
        <w:jc w:val="both"/>
        <w:rPr>
          <w:rFonts w:ascii="Arial" w:hAnsi="Arial" w:cs="Arial"/>
          <w:sz w:val="24"/>
          <w:szCs w:val="24"/>
        </w:rPr>
      </w:pPr>
      <w:r>
        <w:rPr>
          <w:rFonts w:ascii="Arial" w:hAnsi="Arial" w:cs="Arial"/>
          <w:sz w:val="24"/>
          <w:szCs w:val="24"/>
        </w:rPr>
        <w:t>Apoyo en el desempeño del rol maternal, promoviendo competencias para cuidar, proteger, educar y socializar a sus hijas e hijos.</w:t>
      </w:r>
    </w:p>
    <w:p>
      <w:pPr>
        <w:numPr>
          <w:ilvl w:val="0"/>
          <w:numId w:val="81"/>
        </w:numPr>
        <w:spacing w:after="0" w:line="360" w:lineRule="auto"/>
        <w:jc w:val="both"/>
        <w:rPr>
          <w:rFonts w:ascii="Arial" w:hAnsi="Arial" w:cs="Arial"/>
          <w:sz w:val="24"/>
          <w:szCs w:val="24"/>
        </w:rPr>
      </w:pPr>
      <w:r>
        <w:rPr>
          <w:rFonts w:ascii="Arial" w:hAnsi="Arial" w:cs="Arial"/>
          <w:sz w:val="24"/>
          <w:szCs w:val="24"/>
        </w:rPr>
        <w:lastRenderedPageBreak/>
        <w:t>Reincorporación a la intervención psicoterapéutica tras periodos de interrupción voluntaria o involuntaria.</w:t>
      </w:r>
    </w:p>
    <w:p>
      <w:pPr>
        <w:numPr>
          <w:ilvl w:val="0"/>
          <w:numId w:val="81"/>
        </w:numPr>
        <w:spacing w:after="0" w:line="360" w:lineRule="auto"/>
        <w:jc w:val="both"/>
        <w:rPr>
          <w:rFonts w:ascii="Arial" w:hAnsi="Arial" w:cs="Arial"/>
          <w:sz w:val="24"/>
          <w:szCs w:val="24"/>
        </w:rPr>
      </w:pPr>
      <w:r>
        <w:rPr>
          <w:rFonts w:ascii="Arial" w:hAnsi="Arial" w:cs="Arial"/>
          <w:sz w:val="24"/>
          <w:szCs w:val="24"/>
        </w:rPr>
        <w:t>Apoyo en problemas de convivencia y gestión de relaciones dentro de los entornos habitacionales y sociales de referencia.</w:t>
      </w:r>
    </w:p>
    <w:p>
      <w:pPr>
        <w:spacing w:after="0"/>
        <w:jc w:val="both"/>
        <w:rPr>
          <w:rFonts w:ascii="Arial" w:hAnsi="Arial" w:cs="Arial"/>
          <w:sz w:val="24"/>
          <w:szCs w:val="24"/>
        </w:rPr>
      </w:pPr>
    </w:p>
    <w:p>
      <w:pPr>
        <w:shd w:val="clear" w:color="auto" w:fill="B2A1C7" w:themeFill="accent4" w:themeFillTint="99"/>
        <w:spacing w:after="0"/>
        <w:ind w:left="360"/>
        <w:jc w:val="both"/>
        <w:rPr>
          <w:rFonts w:ascii="Arial" w:hAnsi="Arial" w:cs="Arial"/>
          <w:b/>
          <w:bCs/>
          <w:sz w:val="24"/>
          <w:szCs w:val="24"/>
        </w:rPr>
      </w:pPr>
      <w:r>
        <w:rPr>
          <w:rFonts w:ascii="Arial" w:hAnsi="Arial" w:cs="Arial"/>
          <w:b/>
          <w:bCs/>
          <w:sz w:val="24"/>
          <w:szCs w:val="24"/>
        </w:rPr>
        <w:t>G. CARACTERÍSTICAS PSICOLÓGICAS DE LAS MUJERES ATENDIDAS:</w:t>
      </w:r>
    </w:p>
    <w:p>
      <w:pPr>
        <w:spacing w:after="0"/>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Durante el año 2025, las mujeres atendidas han mostrado un amplio espectro de características psicológicas, que reflejan tanto las experiencias traumáticas vividas como los recursos de resiliencia presentes. Entre los aspectos más relevantes se encuentran:</w:t>
      </w:r>
    </w:p>
    <w:p>
      <w:pPr>
        <w:spacing w:after="0" w:line="360" w:lineRule="auto"/>
        <w:jc w:val="both"/>
        <w:rPr>
          <w:rFonts w:ascii="Arial" w:hAnsi="Arial" w:cs="Arial"/>
          <w:sz w:val="24"/>
          <w:szCs w:val="24"/>
        </w:rPr>
      </w:pPr>
    </w:p>
    <w:p>
      <w:pPr>
        <w:numPr>
          <w:ilvl w:val="0"/>
          <w:numId w:val="80"/>
        </w:numPr>
        <w:spacing w:after="0" w:line="360" w:lineRule="auto"/>
        <w:jc w:val="both"/>
        <w:rPr>
          <w:rFonts w:ascii="Arial" w:hAnsi="Arial" w:cs="Arial"/>
          <w:sz w:val="24"/>
          <w:szCs w:val="24"/>
        </w:rPr>
      </w:pPr>
      <w:r>
        <w:rPr>
          <w:rFonts w:ascii="Arial" w:hAnsi="Arial" w:cs="Arial"/>
          <w:b/>
          <w:bCs/>
          <w:sz w:val="24"/>
          <w:szCs w:val="24"/>
        </w:rPr>
        <w:t>Madurez y procesos cognitivos:</w:t>
      </w:r>
      <w:r>
        <w:rPr>
          <w:rFonts w:ascii="Arial" w:hAnsi="Arial" w:cs="Arial"/>
          <w:sz w:val="24"/>
          <w:szCs w:val="24"/>
        </w:rPr>
        <w:t xml:space="preserve"> algunas presentan corta edad o escasa madurez cognitiva, con dificultades en la priorización de objetivos y en la asunción de responsabilidades. Se observa poca flexibilidad cognitiva, pensamiento rumiativo y locus de control externo, que dificultan la visualización de posibilidades de cambio.</w:t>
      </w:r>
    </w:p>
    <w:p>
      <w:pPr>
        <w:numPr>
          <w:ilvl w:val="0"/>
          <w:numId w:val="80"/>
        </w:numPr>
        <w:spacing w:after="0" w:line="360" w:lineRule="auto"/>
        <w:jc w:val="both"/>
        <w:rPr>
          <w:rFonts w:ascii="Arial" w:hAnsi="Arial" w:cs="Arial"/>
          <w:sz w:val="24"/>
          <w:szCs w:val="24"/>
        </w:rPr>
      </w:pPr>
      <w:r>
        <w:rPr>
          <w:rFonts w:ascii="Arial" w:hAnsi="Arial" w:cs="Arial"/>
          <w:b/>
          <w:bCs/>
          <w:sz w:val="24"/>
          <w:szCs w:val="24"/>
        </w:rPr>
        <w:t>Regulación emocional y afectos:</w:t>
      </w:r>
      <w:r>
        <w:rPr>
          <w:rFonts w:ascii="Arial" w:hAnsi="Arial" w:cs="Arial"/>
          <w:sz w:val="24"/>
          <w:szCs w:val="24"/>
        </w:rPr>
        <w:t xml:space="preserve"> alta variabilidad emocional, con episodios de aislamiento social, hipervigilancia y control excesivo de la información, alternando con vinculación impulsiva o dependiente hacia iguales y/o figuras profesionales. Baja tolerancia a la frustración, vulnerabilidad e inestabilidad emocional, sintomatología disociativa y, en algunos casos, ideación autolítica. Frecuente falta de confianza en sí mismas y en los demás.</w:t>
      </w:r>
    </w:p>
    <w:p>
      <w:pPr>
        <w:numPr>
          <w:ilvl w:val="0"/>
          <w:numId w:val="80"/>
        </w:numPr>
        <w:spacing w:after="0" w:line="360" w:lineRule="auto"/>
        <w:jc w:val="both"/>
        <w:rPr>
          <w:rFonts w:ascii="Arial" w:hAnsi="Arial" w:cs="Arial"/>
          <w:sz w:val="24"/>
          <w:szCs w:val="24"/>
        </w:rPr>
      </w:pPr>
      <w:r>
        <w:rPr>
          <w:rFonts w:ascii="Arial" w:hAnsi="Arial" w:cs="Arial"/>
          <w:b/>
          <w:bCs/>
          <w:sz w:val="24"/>
          <w:szCs w:val="24"/>
        </w:rPr>
        <w:t>Comportamientos y relaciones interpersonales:</w:t>
      </w:r>
      <w:r>
        <w:rPr>
          <w:rFonts w:ascii="Arial" w:hAnsi="Arial" w:cs="Arial"/>
          <w:sz w:val="24"/>
          <w:szCs w:val="24"/>
        </w:rPr>
        <w:t xml:space="preserve"> perfiles con hipersexualización o conductas sumisas y dependientes en relaciones afectivo-sexuales. Dificultades para mantener vínculos fuera del contexto de prostitución y/o explotación, así como para integrarse en los entornos habitacionales y sociales de referencia. Resolución de conflictos de manera agresiva o pasivo-agresiva. Dificultades relacionales y desconfianza hacia el entorno.</w:t>
      </w:r>
    </w:p>
    <w:p>
      <w:pPr>
        <w:numPr>
          <w:ilvl w:val="0"/>
          <w:numId w:val="80"/>
        </w:numPr>
        <w:spacing w:after="0" w:line="360" w:lineRule="auto"/>
        <w:jc w:val="both"/>
        <w:rPr>
          <w:rFonts w:ascii="Arial" w:hAnsi="Arial" w:cs="Arial"/>
          <w:sz w:val="24"/>
          <w:szCs w:val="24"/>
        </w:rPr>
      </w:pPr>
      <w:r>
        <w:rPr>
          <w:rFonts w:ascii="Arial" w:hAnsi="Arial" w:cs="Arial"/>
          <w:b/>
          <w:bCs/>
          <w:sz w:val="24"/>
          <w:szCs w:val="24"/>
        </w:rPr>
        <w:t>Salud mental y somática:</w:t>
      </w:r>
      <w:r>
        <w:rPr>
          <w:rFonts w:ascii="Arial" w:hAnsi="Arial" w:cs="Arial"/>
          <w:sz w:val="24"/>
          <w:szCs w:val="24"/>
        </w:rPr>
        <w:t xml:space="preserve"> presencia de trastornos mentales, incluyendo estrés postraumático, ansiedad generalizada y alteraciones del estado de ánimo. Hiperactivación fisiológica, tensiones musculares y somatizaciones asociadas a </w:t>
      </w:r>
      <w:r>
        <w:rPr>
          <w:rFonts w:ascii="Arial" w:hAnsi="Arial" w:cs="Arial"/>
          <w:sz w:val="24"/>
          <w:szCs w:val="24"/>
        </w:rPr>
        <w:lastRenderedPageBreak/>
        <w:t>experiencias traumáticas prolongadas. Dificultades para mantener rutinas saludables y funciones ejecutivas comprometidas (memoria, atención, focalización). Algunas mujeres presentan consumo de sustancias o se encuentran en fase de desintoxicación, lo que añade complejidad a la intervención.</w:t>
      </w:r>
    </w:p>
    <w:p>
      <w:pPr>
        <w:numPr>
          <w:ilvl w:val="0"/>
          <w:numId w:val="80"/>
        </w:numPr>
        <w:spacing w:after="0" w:line="360" w:lineRule="auto"/>
        <w:jc w:val="both"/>
        <w:rPr>
          <w:rFonts w:ascii="Arial" w:hAnsi="Arial" w:cs="Arial"/>
          <w:sz w:val="24"/>
          <w:szCs w:val="24"/>
        </w:rPr>
      </w:pPr>
      <w:r>
        <w:rPr>
          <w:rFonts w:ascii="Arial" w:hAnsi="Arial" w:cs="Arial"/>
          <w:b/>
          <w:bCs/>
          <w:sz w:val="24"/>
          <w:szCs w:val="24"/>
        </w:rPr>
        <w:t>Rol materno y motivación:</w:t>
      </w:r>
      <w:r>
        <w:rPr>
          <w:rFonts w:ascii="Arial" w:hAnsi="Arial" w:cs="Arial"/>
          <w:sz w:val="24"/>
          <w:szCs w:val="24"/>
        </w:rPr>
        <w:t xml:space="preserve"> diversidad en el rol materno; en algunos casos, es un factor motivador para desarrollar proyectos de vida, mientras que en otros genera estrés y dificultades en el cuidado.</w:t>
      </w:r>
    </w:p>
    <w:p>
      <w:pPr>
        <w:numPr>
          <w:ilvl w:val="0"/>
          <w:numId w:val="80"/>
        </w:numPr>
        <w:spacing w:after="0" w:line="360" w:lineRule="auto"/>
        <w:jc w:val="both"/>
        <w:rPr>
          <w:rFonts w:ascii="Arial" w:hAnsi="Arial" w:cs="Arial"/>
          <w:sz w:val="24"/>
          <w:szCs w:val="24"/>
        </w:rPr>
      </w:pPr>
      <w:r>
        <w:rPr>
          <w:rFonts w:ascii="Arial" w:hAnsi="Arial" w:cs="Arial"/>
          <w:b/>
          <w:bCs/>
          <w:sz w:val="24"/>
          <w:szCs w:val="24"/>
        </w:rPr>
        <w:t>Recursos y afrontamiento:</w:t>
      </w:r>
      <w:r>
        <w:rPr>
          <w:rFonts w:ascii="Arial" w:hAnsi="Arial" w:cs="Arial"/>
          <w:sz w:val="24"/>
          <w:szCs w:val="24"/>
        </w:rPr>
        <w:t xml:space="preserve"> recursos de afrontamiento poco adaptativos, indefensión aprendida y escasa o nula red de apoyo, aunque se identifican capacidades de resiliencia y estrategias de adaptación que pueden ser fortalecidas mediante intervención.</w:t>
      </w:r>
    </w:p>
    <w:p>
      <w:pPr>
        <w:numPr>
          <w:ilvl w:val="0"/>
          <w:numId w:val="80"/>
        </w:numPr>
        <w:spacing w:after="0" w:line="360" w:lineRule="auto"/>
        <w:jc w:val="both"/>
        <w:rPr>
          <w:rFonts w:ascii="Arial" w:hAnsi="Arial" w:cs="Arial"/>
          <w:sz w:val="24"/>
          <w:szCs w:val="24"/>
        </w:rPr>
      </w:pPr>
      <w:r>
        <w:rPr>
          <w:rFonts w:ascii="Arial" w:hAnsi="Arial" w:cs="Arial"/>
          <w:b/>
          <w:bCs/>
          <w:sz w:val="24"/>
          <w:szCs w:val="24"/>
        </w:rPr>
        <w:t>Impacto del contexto social y legal:</w:t>
      </w:r>
      <w:r>
        <w:rPr>
          <w:rFonts w:ascii="Arial" w:hAnsi="Arial" w:cs="Arial"/>
          <w:sz w:val="24"/>
          <w:szCs w:val="24"/>
        </w:rPr>
        <w:t xml:space="preserve"> la temporalidad de trámites administrativos, judiciales, médicos y policiales genera victimización secundaria y afecta la estabilidad emocional y el proceso de recuperación.</w:t>
      </w:r>
    </w:p>
    <w:p>
      <w:pPr>
        <w:spacing w:after="0" w:line="360" w:lineRule="auto"/>
        <w:jc w:val="both"/>
        <w:rPr>
          <w:rFonts w:ascii="Arial" w:hAnsi="Arial" w:cs="Arial"/>
          <w:sz w:val="24"/>
          <w:szCs w:val="24"/>
        </w:rPr>
      </w:pPr>
    </w:p>
    <w:p>
      <w:pPr>
        <w:shd w:val="clear" w:color="auto" w:fill="B2A1C7" w:themeFill="accent4" w:themeFillTint="99"/>
        <w:spacing w:after="0" w:line="360" w:lineRule="auto"/>
        <w:ind w:left="284"/>
        <w:jc w:val="both"/>
        <w:rPr>
          <w:rFonts w:ascii="Arial" w:hAnsi="Arial" w:cs="Arial"/>
          <w:sz w:val="24"/>
          <w:szCs w:val="24"/>
        </w:rPr>
      </w:pPr>
      <w:r>
        <w:rPr>
          <w:rFonts w:ascii="Arial" w:hAnsi="Arial" w:cs="Arial"/>
          <w:b/>
          <w:bCs/>
          <w:sz w:val="24"/>
          <w:szCs w:val="24"/>
        </w:rPr>
        <w:t>H. ACTIVIDADES REALIZADAS: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Se hace constar que, pese a la interrupción temporal del servicio psicológico durante dos meses por ausencia de profesional, a lo largo del año se ejecutaron las siguientes actuaciones:</w:t>
      </w:r>
    </w:p>
    <w:p>
      <w:pPr>
        <w:spacing w:after="0" w:line="360" w:lineRule="auto"/>
        <w:jc w:val="both"/>
        <w:rPr>
          <w:rFonts w:ascii="Arial" w:hAnsi="Arial" w:cs="Arial"/>
          <w:sz w:val="24"/>
          <w:szCs w:val="24"/>
        </w:rPr>
      </w:pPr>
    </w:p>
    <w:p>
      <w:pPr>
        <w:numPr>
          <w:ilvl w:val="0"/>
          <w:numId w:val="32"/>
        </w:numPr>
        <w:spacing w:after="0" w:line="360" w:lineRule="auto"/>
        <w:jc w:val="both"/>
        <w:rPr>
          <w:rFonts w:ascii="Arial" w:hAnsi="Arial" w:cs="Arial"/>
          <w:sz w:val="24"/>
          <w:szCs w:val="24"/>
        </w:rPr>
      </w:pPr>
      <w:r>
        <w:rPr>
          <w:rFonts w:ascii="Arial" w:hAnsi="Arial" w:cs="Arial"/>
          <w:sz w:val="24"/>
          <w:szCs w:val="24"/>
          <w:u w:val="single"/>
        </w:rPr>
        <w:t>Atención a la mujer</w:t>
      </w:r>
      <w:r>
        <w:rPr>
          <w:rFonts w:ascii="Arial" w:hAnsi="Arial" w:cs="Arial"/>
          <w:sz w:val="24"/>
          <w:szCs w:val="24"/>
        </w:rPr>
        <w:t xml:space="preserve">: se atiende y da respuesta a toda mujer que acuda al área, independientemente de su demanda. </w:t>
      </w:r>
    </w:p>
    <w:p>
      <w:pPr>
        <w:numPr>
          <w:ilvl w:val="1"/>
          <w:numId w:val="32"/>
        </w:numPr>
        <w:spacing w:after="0" w:line="360" w:lineRule="auto"/>
        <w:jc w:val="both"/>
        <w:rPr>
          <w:rFonts w:ascii="Arial" w:hAnsi="Arial" w:cs="Arial"/>
          <w:sz w:val="24"/>
          <w:szCs w:val="24"/>
        </w:rPr>
      </w:pPr>
      <w:r>
        <w:rPr>
          <w:rFonts w:ascii="Arial" w:hAnsi="Arial" w:cs="Arial"/>
          <w:sz w:val="24"/>
          <w:szCs w:val="24"/>
        </w:rPr>
        <w:t xml:space="preserve">Asesoramiento psicológico: se da respuestas a cuestiones planteadas por las mujeres a modo orientativo. </w:t>
      </w:r>
    </w:p>
    <w:p>
      <w:pPr>
        <w:numPr>
          <w:ilvl w:val="1"/>
          <w:numId w:val="32"/>
        </w:numPr>
        <w:spacing w:after="0" w:line="360" w:lineRule="auto"/>
        <w:jc w:val="both"/>
        <w:rPr>
          <w:rFonts w:ascii="Arial" w:hAnsi="Arial" w:cs="Arial"/>
          <w:sz w:val="24"/>
          <w:szCs w:val="24"/>
        </w:rPr>
      </w:pPr>
      <w:r>
        <w:rPr>
          <w:rFonts w:ascii="Arial" w:hAnsi="Arial" w:cs="Arial"/>
          <w:sz w:val="24"/>
          <w:szCs w:val="24"/>
        </w:rPr>
        <w:t>Acompañamiento psicológico: se brinda apoyo emocional a las mujeres, proporcionando un espacio seguro donde poder expresar y reflexionar sobre las dificultades presentadas.</w:t>
      </w:r>
    </w:p>
    <w:p>
      <w:pPr>
        <w:numPr>
          <w:ilvl w:val="1"/>
          <w:numId w:val="32"/>
        </w:numPr>
        <w:spacing w:after="0" w:line="360" w:lineRule="auto"/>
        <w:jc w:val="both"/>
        <w:rPr>
          <w:rFonts w:ascii="Arial" w:hAnsi="Arial" w:cs="Arial"/>
          <w:sz w:val="24"/>
          <w:szCs w:val="24"/>
        </w:rPr>
      </w:pPr>
      <w:r>
        <w:rPr>
          <w:rFonts w:ascii="Arial" w:hAnsi="Arial" w:cs="Arial"/>
          <w:sz w:val="24"/>
          <w:szCs w:val="24"/>
        </w:rPr>
        <w:t>Psicoterapia individual: se propone de forma sistemática la posibilidad de inicio de un proceso psicoterapéutico.</w:t>
      </w:r>
    </w:p>
    <w:p>
      <w:pPr>
        <w:spacing w:after="0" w:line="360" w:lineRule="auto"/>
        <w:jc w:val="both"/>
        <w:rPr>
          <w:rFonts w:ascii="Arial" w:hAnsi="Arial" w:cs="Arial"/>
          <w:sz w:val="24"/>
          <w:szCs w:val="24"/>
        </w:rPr>
      </w:pPr>
      <w:r>
        <w:rPr>
          <w:rFonts w:ascii="Arial" w:hAnsi="Arial" w:cs="Arial"/>
          <w:sz w:val="24"/>
          <w:szCs w:val="24"/>
        </w:rPr>
        <w:lastRenderedPageBreak/>
        <w:t xml:space="preserve">En el año 2025, se asesora a 12 mujeres, coincidiendo con ser nuevas entradas en el recurso alojativo, se interviene psicoterapéuticamente a nivel individual con todas (15 mujeres) y se realizan 7 acompañamientos.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Las atenciones se dividen de la siguiente manera: </w:t>
      </w:r>
    </w:p>
    <w:p>
      <w:pPr>
        <w:numPr>
          <w:ilvl w:val="0"/>
          <w:numId w:val="64"/>
        </w:numPr>
        <w:spacing w:after="0" w:line="360" w:lineRule="auto"/>
        <w:jc w:val="both"/>
        <w:rPr>
          <w:rFonts w:ascii="Arial" w:hAnsi="Arial" w:cs="Arial"/>
          <w:sz w:val="24"/>
          <w:szCs w:val="24"/>
        </w:rPr>
      </w:pPr>
      <w:r>
        <w:rPr>
          <w:rFonts w:ascii="Arial" w:hAnsi="Arial" w:cs="Arial"/>
          <w:sz w:val="24"/>
          <w:szCs w:val="24"/>
        </w:rPr>
        <w:t>Psicoterapias presenciales: 167</w:t>
      </w:r>
    </w:p>
    <w:p>
      <w:pPr>
        <w:numPr>
          <w:ilvl w:val="0"/>
          <w:numId w:val="64"/>
        </w:numPr>
        <w:spacing w:after="0" w:line="360" w:lineRule="auto"/>
        <w:jc w:val="both"/>
        <w:rPr>
          <w:rFonts w:ascii="Arial" w:hAnsi="Arial" w:cs="Arial"/>
          <w:sz w:val="24"/>
          <w:szCs w:val="24"/>
        </w:rPr>
      </w:pPr>
      <w:r>
        <w:rPr>
          <w:rFonts w:ascii="Arial" w:hAnsi="Arial" w:cs="Arial"/>
          <w:sz w:val="24"/>
          <w:szCs w:val="24"/>
        </w:rPr>
        <w:t>Psicoterapias no presenciales: 43</w:t>
      </w:r>
    </w:p>
    <w:p>
      <w:pPr>
        <w:numPr>
          <w:ilvl w:val="0"/>
          <w:numId w:val="64"/>
        </w:numPr>
        <w:spacing w:after="0" w:line="360" w:lineRule="auto"/>
        <w:jc w:val="both"/>
        <w:rPr>
          <w:rFonts w:ascii="Arial" w:hAnsi="Arial" w:cs="Arial"/>
          <w:sz w:val="24"/>
          <w:szCs w:val="24"/>
        </w:rPr>
      </w:pPr>
      <w:r>
        <w:rPr>
          <w:rFonts w:ascii="Arial" w:hAnsi="Arial" w:cs="Arial"/>
          <w:sz w:val="24"/>
          <w:szCs w:val="24"/>
        </w:rPr>
        <w:t>Talleres grupales con el objetivo de fortalecer las competencias transversales relacionadas con el bienestar psicológico, la integración social y la inserción laboral. Estos espacios resultan fundamentales para brindar herramientas prácticas y estrategias de afrontamiento, favorecer la socialización y el trabajo en equipo, así como promover la autonomía y la preparación para la inclusión en el entorno social y laboral, aspectos clave para el desarrollo integral de las personas participantes.</w:t>
      </w:r>
    </w:p>
    <w:p>
      <w:pPr>
        <w:spacing w:after="0" w:line="360" w:lineRule="auto"/>
        <w:ind w:left="1440"/>
        <w:jc w:val="both"/>
        <w:rPr>
          <w:rFonts w:ascii="Arial" w:hAnsi="Arial" w:cs="Arial"/>
          <w:sz w:val="24"/>
          <w:szCs w:val="24"/>
        </w:rPr>
      </w:pPr>
    </w:p>
    <w:p>
      <w:pPr>
        <w:spacing w:after="0"/>
        <w:jc w:val="both"/>
        <w:rPr>
          <w:rFonts w:ascii="Arial" w:hAnsi="Arial" w:cs="Arial"/>
          <w:sz w:val="24"/>
          <w:szCs w:val="24"/>
        </w:rPr>
      </w:pPr>
      <w:r>
        <w:rPr>
          <w:rFonts w:ascii="Arial" w:hAnsi="Arial" w:cs="Arial"/>
          <w:sz w:val="24"/>
          <w:szCs w:val="24"/>
        </w:rPr>
        <w:t xml:space="preserve">La metodología utilizada se basó en una </w:t>
      </w:r>
      <w:r>
        <w:rPr>
          <w:rFonts w:ascii="Arial" w:hAnsi="Arial" w:cs="Arial"/>
          <w:bCs/>
          <w:sz w:val="24"/>
          <w:szCs w:val="24"/>
        </w:rPr>
        <w:t>formación informal y experiencial</w:t>
      </w:r>
      <w:r>
        <w:rPr>
          <w:rFonts w:ascii="Arial" w:hAnsi="Arial" w:cs="Arial"/>
          <w:sz w:val="24"/>
          <w:szCs w:val="24"/>
        </w:rPr>
        <w:t>, a través de dinámicas grupales que facilitaron la participación activa y la reflexión sobre el significado de las experiencias vividas. Al final de cada taller se integraron las actividades prácticas con las bases teóricas, dando sentido y coherencia a lo trabajado</w:t>
      </w:r>
    </w:p>
    <w:p>
      <w:pPr>
        <w:spacing w:after="0"/>
        <w:jc w:val="both"/>
        <w:rPr>
          <w:rFonts w:ascii="Arial" w:hAnsi="Arial" w:cs="Arial"/>
          <w:sz w:val="24"/>
          <w:szCs w:val="24"/>
        </w:rPr>
      </w:pPr>
      <w:r>
        <w:rPr>
          <w:rFonts w:ascii="Arial" w:hAnsi="Arial" w:cs="Arial"/>
          <w:sz w:val="24"/>
          <w:szCs w:val="24"/>
        </w:rPr>
        <w:t>Este año, se realiza los siguientes talleres grupales (7):</w:t>
      </w:r>
    </w:p>
    <w:p>
      <w:pPr>
        <w:spacing w:after="0"/>
        <w:jc w:val="both"/>
        <w:rPr>
          <w:rFonts w:ascii="Arial" w:hAnsi="Arial" w:cs="Arial"/>
          <w:sz w:val="24"/>
          <w:szCs w:val="24"/>
        </w:rPr>
      </w:pPr>
    </w:p>
    <w:p>
      <w:pPr>
        <w:spacing w:after="0"/>
        <w:ind w:left="426"/>
        <w:jc w:val="both"/>
        <w:rPr>
          <w:rFonts w:ascii="Arial" w:hAnsi="Arial" w:cs="Arial"/>
          <w:bCs/>
          <w:sz w:val="24"/>
          <w:szCs w:val="24"/>
          <w:lang w:val="es-ES_tradnl"/>
        </w:rPr>
      </w:pPr>
      <w:r>
        <w:rPr>
          <w:rFonts w:ascii="Arial" w:hAnsi="Arial" w:cs="Arial"/>
          <w:iCs/>
          <w:sz w:val="24"/>
          <w:szCs w:val="24"/>
          <w:lang w:val="es-ES_tradnl"/>
        </w:rPr>
        <w:t xml:space="preserve">- </w:t>
      </w:r>
      <w:r>
        <w:rPr>
          <w:rFonts w:ascii="Arial" w:hAnsi="Arial" w:cs="Arial"/>
          <w:iCs/>
          <w:sz w:val="24"/>
          <w:szCs w:val="24"/>
          <w:u w:val="single"/>
          <w:lang w:val="es-ES_tradnl"/>
        </w:rPr>
        <w:t>02/06/2025</w:t>
      </w:r>
      <w:r>
        <w:rPr>
          <w:rFonts w:ascii="Arial" w:hAnsi="Arial" w:cs="Arial"/>
          <w:sz w:val="24"/>
          <w:szCs w:val="24"/>
        </w:rPr>
        <w:t>: “</w:t>
      </w:r>
      <w:r>
        <w:rPr>
          <w:rFonts w:ascii="Arial" w:hAnsi="Arial" w:cs="Arial"/>
          <w:iCs/>
          <w:sz w:val="24"/>
          <w:szCs w:val="24"/>
          <w:lang w:val="es-ES_tradnl"/>
        </w:rPr>
        <w:t xml:space="preserve">Mis Objetivos y mis habilidades“ </w:t>
      </w:r>
      <w:r>
        <w:rPr>
          <w:rFonts w:ascii="Arial" w:hAnsi="Arial" w:cs="Arial"/>
          <w:bCs/>
          <w:sz w:val="24"/>
          <w:szCs w:val="24"/>
          <w:lang w:val="es-ES_tradnl"/>
        </w:rPr>
        <w:t>con la</w:t>
      </w:r>
      <w:r>
        <w:rPr>
          <w:rFonts w:ascii="Arial" w:hAnsi="Arial" w:cs="Arial"/>
          <w:b/>
          <w:bCs/>
          <w:sz w:val="24"/>
          <w:szCs w:val="24"/>
          <w:lang w:val="es-ES_tradnl"/>
        </w:rPr>
        <w:t xml:space="preserve"> </w:t>
      </w:r>
      <w:r>
        <w:rPr>
          <w:rFonts w:ascii="Arial" w:hAnsi="Arial" w:cs="Arial"/>
          <w:bCs/>
          <w:sz w:val="24"/>
          <w:szCs w:val="24"/>
          <w:lang w:val="es-ES_tradnl"/>
        </w:rPr>
        <w:t>finalidad dar la bienvenida a las participantes e iniciar un proceso de exploración personal. A través de dinámicas guiadas por la psicóloga, se fomentó el primer contacto interpersonal y la reflexión individual y grupal sobre aspectos de identidad, motivación y proyecto de vida.</w:t>
      </w:r>
    </w:p>
    <w:p>
      <w:pPr>
        <w:spacing w:after="0"/>
        <w:ind w:left="426"/>
        <w:jc w:val="both"/>
        <w:rPr>
          <w:rFonts w:ascii="Arial" w:hAnsi="Arial" w:cs="Arial"/>
          <w:b/>
          <w:bCs/>
          <w:sz w:val="24"/>
          <w:szCs w:val="24"/>
          <w:lang w:val="es-ES_tradnl"/>
        </w:rPr>
      </w:pPr>
    </w:p>
    <w:p>
      <w:pPr>
        <w:spacing w:after="0"/>
        <w:ind w:left="426"/>
        <w:jc w:val="both"/>
        <w:rPr>
          <w:rFonts w:ascii="Arial" w:hAnsi="Arial" w:cs="Arial"/>
          <w:bCs/>
          <w:sz w:val="24"/>
          <w:szCs w:val="24"/>
          <w:lang w:val="es-ES_tradnl"/>
        </w:rPr>
      </w:pPr>
      <w:r>
        <w:rPr>
          <w:rFonts w:ascii="Arial" w:hAnsi="Arial" w:cs="Arial"/>
          <w:iCs/>
          <w:sz w:val="24"/>
          <w:szCs w:val="24"/>
          <w:lang w:val="es-ES_tradnl"/>
        </w:rPr>
        <w:t xml:space="preserve">- </w:t>
      </w:r>
      <w:r>
        <w:rPr>
          <w:rFonts w:ascii="Arial" w:hAnsi="Arial" w:cs="Arial"/>
          <w:iCs/>
          <w:sz w:val="24"/>
          <w:szCs w:val="24"/>
          <w:u w:val="single"/>
          <w:lang w:val="es-ES_tradnl"/>
        </w:rPr>
        <w:t>16/06/2025:</w:t>
      </w:r>
      <w:r>
        <w:rPr>
          <w:rFonts w:ascii="Arial" w:hAnsi="Arial" w:cs="Arial"/>
          <w:iCs/>
          <w:sz w:val="24"/>
          <w:szCs w:val="24"/>
          <w:lang w:val="es-ES_tradnl"/>
        </w:rPr>
        <w:t xml:space="preserve"> “Mis objetivos y las habilidades transversales” </w:t>
      </w:r>
      <w:r>
        <w:rPr>
          <w:rFonts w:ascii="Arial" w:hAnsi="Arial" w:cs="Arial"/>
          <w:bCs/>
          <w:sz w:val="24"/>
          <w:szCs w:val="24"/>
          <w:lang w:val="es-ES_tradnl"/>
        </w:rPr>
        <w:t>La segunda sesión profundizó en el vínculo entre los objetivos personales, las capacidades individuales y los factores que influyen en el comportamiento. A través de dinámicas introspectivas y reflexivas, se promovió el reconocimiento de logros previos y la comprensión de cómo nuestras percepciones moldean nuestras acciones.</w:t>
      </w:r>
    </w:p>
    <w:p>
      <w:pPr>
        <w:spacing w:after="0"/>
        <w:ind w:left="426"/>
        <w:jc w:val="both"/>
        <w:rPr>
          <w:rFonts w:ascii="Arial" w:hAnsi="Arial" w:cs="Arial"/>
          <w:b/>
          <w:bCs/>
          <w:sz w:val="24"/>
          <w:szCs w:val="24"/>
          <w:lang w:val="es-ES_tradnl"/>
        </w:rPr>
      </w:pPr>
    </w:p>
    <w:p>
      <w:pPr>
        <w:spacing w:after="0"/>
        <w:ind w:left="426"/>
        <w:jc w:val="both"/>
        <w:rPr>
          <w:rFonts w:ascii="Arial" w:hAnsi="Arial" w:cs="Arial"/>
          <w:sz w:val="24"/>
          <w:szCs w:val="24"/>
        </w:rPr>
      </w:pPr>
      <w:r>
        <w:rPr>
          <w:rFonts w:ascii="Arial" w:hAnsi="Arial" w:cs="Arial"/>
          <w:sz w:val="24"/>
          <w:szCs w:val="24"/>
        </w:rPr>
        <w:t xml:space="preserve">- </w:t>
      </w:r>
      <w:r>
        <w:rPr>
          <w:rFonts w:ascii="Arial" w:hAnsi="Arial" w:cs="Arial"/>
          <w:sz w:val="24"/>
          <w:szCs w:val="24"/>
          <w:u w:val="single"/>
        </w:rPr>
        <w:t>07/07/2025</w:t>
      </w:r>
      <w:r>
        <w:rPr>
          <w:rFonts w:ascii="Arial" w:hAnsi="Arial" w:cs="Arial"/>
          <w:sz w:val="24"/>
          <w:szCs w:val="24"/>
        </w:rPr>
        <w:t xml:space="preserve">: “Autoestima” La sesión abordó la importancia del autoconocimiento y la valoración personal. A través de dinámicas grupales se reflexionó sobre cómo las experiencias moldean la autoestima y se promovió una mirada más positiva </w:t>
      </w:r>
      <w:r>
        <w:rPr>
          <w:rFonts w:ascii="Arial" w:hAnsi="Arial" w:cs="Arial"/>
          <w:sz w:val="24"/>
          <w:szCs w:val="24"/>
        </w:rPr>
        <w:lastRenderedPageBreak/>
        <w:t>hacia una misma, concluyendo con la lectura de la declaración de autoestima de Virginia Satir.</w:t>
      </w:r>
    </w:p>
    <w:p>
      <w:pPr>
        <w:spacing w:after="0"/>
        <w:ind w:left="426"/>
        <w:jc w:val="both"/>
        <w:rPr>
          <w:rFonts w:ascii="Arial" w:hAnsi="Arial" w:cs="Arial"/>
          <w:sz w:val="24"/>
          <w:szCs w:val="24"/>
        </w:rPr>
      </w:pPr>
    </w:p>
    <w:p>
      <w:pPr>
        <w:spacing w:after="0"/>
        <w:ind w:left="426"/>
        <w:jc w:val="both"/>
        <w:rPr>
          <w:rFonts w:ascii="Arial" w:hAnsi="Arial" w:cs="Arial"/>
          <w:sz w:val="24"/>
          <w:szCs w:val="24"/>
        </w:rPr>
      </w:pPr>
      <w:r>
        <w:rPr>
          <w:rFonts w:ascii="Arial" w:hAnsi="Arial" w:cs="Arial"/>
          <w:sz w:val="24"/>
          <w:szCs w:val="24"/>
        </w:rPr>
        <w:t xml:space="preserve">- </w:t>
      </w:r>
      <w:r>
        <w:rPr>
          <w:rFonts w:ascii="Arial" w:hAnsi="Arial" w:cs="Arial"/>
          <w:sz w:val="24"/>
          <w:szCs w:val="24"/>
          <w:u w:val="single"/>
        </w:rPr>
        <w:t>09/07/2025</w:t>
      </w:r>
      <w:r>
        <w:rPr>
          <w:rFonts w:ascii="Arial" w:hAnsi="Arial" w:cs="Arial"/>
          <w:sz w:val="24"/>
          <w:szCs w:val="24"/>
        </w:rPr>
        <w:t xml:space="preserve">: “Cultura machista y el amor sano” Se trabaja sobre las </w:t>
      </w:r>
      <w:r>
        <w:rPr>
          <w:rFonts w:ascii="Arial" w:hAnsi="Arial" w:cs="Arial"/>
          <w:bCs/>
          <w:sz w:val="24"/>
          <w:szCs w:val="24"/>
        </w:rPr>
        <w:t>relaciones afectivas</w:t>
      </w:r>
      <w:r>
        <w:rPr>
          <w:rFonts w:ascii="Arial" w:hAnsi="Arial" w:cs="Arial"/>
          <w:sz w:val="24"/>
          <w:szCs w:val="24"/>
        </w:rPr>
        <w:t>, estimulando la reflexión sobre las relaciones vividas hasta ahora y promoviendo la construcción de relaciones sanas basadas en respeto, confianza y comunicación.</w:t>
      </w:r>
    </w:p>
    <w:p>
      <w:pPr>
        <w:spacing w:after="0"/>
        <w:ind w:left="426"/>
        <w:jc w:val="both"/>
        <w:rPr>
          <w:rFonts w:ascii="Arial" w:hAnsi="Arial" w:cs="Arial"/>
          <w:sz w:val="24"/>
          <w:szCs w:val="24"/>
        </w:rPr>
      </w:pPr>
    </w:p>
    <w:p>
      <w:pPr>
        <w:spacing w:after="0"/>
        <w:ind w:left="426"/>
        <w:jc w:val="both"/>
        <w:rPr>
          <w:rFonts w:ascii="Arial" w:hAnsi="Arial" w:cs="Arial"/>
          <w:sz w:val="24"/>
          <w:szCs w:val="24"/>
        </w:rPr>
      </w:pPr>
      <w:r>
        <w:rPr>
          <w:rFonts w:ascii="Arial" w:hAnsi="Arial" w:cs="Arial"/>
          <w:sz w:val="24"/>
          <w:szCs w:val="24"/>
        </w:rPr>
        <w:t xml:space="preserve">- </w:t>
      </w:r>
      <w:r>
        <w:rPr>
          <w:rFonts w:ascii="Arial" w:hAnsi="Arial" w:cs="Arial"/>
          <w:sz w:val="24"/>
          <w:szCs w:val="24"/>
          <w:u w:val="single"/>
        </w:rPr>
        <w:t>01/09/2025</w:t>
      </w:r>
      <w:r>
        <w:rPr>
          <w:rFonts w:ascii="Arial" w:hAnsi="Arial" w:cs="Arial"/>
          <w:sz w:val="24"/>
          <w:szCs w:val="24"/>
        </w:rPr>
        <w:t>: “La confianza” La sesión se centró en la construcción y reconstrucción de la confianza, diferenciando sus raíces y consecuencias. A través de actividades prácticas se exploró la desconfianza como mecanismo protector y se fomentó el fortalecimiento de la autoconfianza y la capacidad de confiar de forma consciente.</w:t>
      </w:r>
    </w:p>
    <w:p>
      <w:pPr>
        <w:spacing w:after="0"/>
        <w:ind w:left="426"/>
        <w:jc w:val="both"/>
        <w:rPr>
          <w:rFonts w:ascii="Arial" w:hAnsi="Arial" w:cs="Arial"/>
          <w:sz w:val="24"/>
          <w:szCs w:val="24"/>
        </w:rPr>
      </w:pPr>
    </w:p>
    <w:p>
      <w:pPr>
        <w:spacing w:after="0"/>
        <w:ind w:left="426"/>
        <w:jc w:val="both"/>
        <w:rPr>
          <w:rFonts w:ascii="Arial" w:hAnsi="Arial" w:cs="Arial"/>
          <w:sz w:val="24"/>
          <w:szCs w:val="24"/>
        </w:rPr>
      </w:pPr>
      <w:r>
        <w:rPr>
          <w:rFonts w:ascii="Arial" w:hAnsi="Arial" w:cs="Arial"/>
          <w:sz w:val="24"/>
          <w:szCs w:val="24"/>
        </w:rPr>
        <w:t>-</w:t>
      </w:r>
      <w:r>
        <w:rPr>
          <w:rFonts w:ascii="Arial" w:hAnsi="Arial" w:cs="Arial"/>
          <w:sz w:val="24"/>
          <w:szCs w:val="24"/>
          <w:u w:val="single"/>
        </w:rPr>
        <w:t>15/09/2025</w:t>
      </w:r>
      <w:r>
        <w:rPr>
          <w:rFonts w:ascii="Arial" w:hAnsi="Arial" w:cs="Arial"/>
          <w:sz w:val="24"/>
          <w:szCs w:val="24"/>
        </w:rPr>
        <w:t>: “Los miedos” La sesión trabajó el miedo como emoción natural, sus diferentes manifestaciones y efectos en la vida cotidiana. Mediante reflexiones y dinámicas se promovió el reconocimiento del miedo y la búsqueda de estrategias para afrontarlo y transformarlo en motor de crecimiento.</w:t>
      </w:r>
    </w:p>
    <w:p>
      <w:pPr>
        <w:spacing w:after="0"/>
        <w:ind w:left="426"/>
        <w:jc w:val="both"/>
        <w:rPr>
          <w:rFonts w:ascii="Arial" w:hAnsi="Arial" w:cs="Arial"/>
          <w:sz w:val="24"/>
          <w:szCs w:val="24"/>
        </w:rPr>
      </w:pPr>
    </w:p>
    <w:p>
      <w:pPr>
        <w:spacing w:after="0"/>
        <w:ind w:left="426"/>
        <w:jc w:val="both"/>
        <w:rPr>
          <w:rFonts w:ascii="Arial" w:hAnsi="Arial" w:cs="Arial"/>
          <w:sz w:val="24"/>
          <w:szCs w:val="24"/>
        </w:rPr>
      </w:pPr>
      <w:r>
        <w:rPr>
          <w:rFonts w:ascii="Arial" w:hAnsi="Arial" w:cs="Arial"/>
          <w:sz w:val="24"/>
          <w:szCs w:val="24"/>
        </w:rPr>
        <w:t>-</w:t>
      </w:r>
      <w:r>
        <w:rPr>
          <w:rFonts w:ascii="Arial" w:hAnsi="Arial" w:cs="Arial"/>
          <w:sz w:val="24"/>
          <w:szCs w:val="24"/>
          <w:u w:val="single"/>
        </w:rPr>
        <w:t>29/09/2025</w:t>
      </w:r>
      <w:r>
        <w:rPr>
          <w:rFonts w:ascii="Arial" w:hAnsi="Arial" w:cs="Arial"/>
          <w:sz w:val="24"/>
          <w:szCs w:val="24"/>
        </w:rPr>
        <w:t xml:space="preserve">: “La comunicación eficaz” Se trabajó la </w:t>
      </w:r>
      <w:r>
        <w:rPr>
          <w:rFonts w:ascii="Arial" w:hAnsi="Arial" w:cs="Arial"/>
          <w:bCs/>
          <w:sz w:val="24"/>
          <w:szCs w:val="24"/>
        </w:rPr>
        <w:t>comunicación eficaz</w:t>
      </w:r>
      <w:r>
        <w:rPr>
          <w:rFonts w:ascii="Arial" w:hAnsi="Arial" w:cs="Arial"/>
          <w:sz w:val="24"/>
          <w:szCs w:val="24"/>
        </w:rPr>
        <w:t>, abordando los tipos de comunicación y sus elementos fundamentales, como base para las relaciones, reflexionando sobre su importancia en distintos ámbitos, especialmente en el laboral y el afectivo.</w:t>
      </w:r>
    </w:p>
    <w:p>
      <w:pPr>
        <w:spacing w:after="0"/>
        <w:ind w:left="426"/>
        <w:jc w:val="both"/>
        <w:rPr>
          <w:rFonts w:ascii="Arial" w:hAnsi="Arial" w:cs="Arial"/>
          <w:sz w:val="24"/>
          <w:szCs w:val="24"/>
        </w:rPr>
      </w:pPr>
    </w:p>
    <w:p>
      <w:pPr>
        <w:numPr>
          <w:ilvl w:val="0"/>
          <w:numId w:val="32"/>
        </w:numPr>
        <w:spacing w:after="0"/>
        <w:jc w:val="both"/>
        <w:rPr>
          <w:rFonts w:ascii="Arial" w:hAnsi="Arial" w:cs="Arial"/>
          <w:sz w:val="24"/>
          <w:szCs w:val="24"/>
        </w:rPr>
      </w:pPr>
      <w:r>
        <w:rPr>
          <w:rFonts w:ascii="Arial" w:hAnsi="Arial" w:cs="Arial"/>
          <w:sz w:val="24"/>
          <w:szCs w:val="24"/>
          <w:u w:val="single"/>
        </w:rPr>
        <w:t>Acompañamientos externos</w:t>
      </w:r>
      <w:r>
        <w:rPr>
          <w:rFonts w:ascii="Arial" w:hAnsi="Arial" w:cs="Arial"/>
          <w:sz w:val="24"/>
          <w:szCs w:val="24"/>
        </w:rPr>
        <w:t xml:space="preserve">: la psicóloga realiza acompañamientos, siendo estos de diversa naturaleza, teniendo todos ellos en común el objetivo principal de ofrecer un soporte emocional y bajo demanda de la mujer. </w:t>
      </w:r>
    </w:p>
    <w:p>
      <w:pPr>
        <w:spacing w:after="0"/>
        <w:ind w:left="1080"/>
        <w:jc w:val="both"/>
        <w:rPr>
          <w:rFonts w:ascii="Arial" w:hAnsi="Arial" w:cs="Arial"/>
          <w:sz w:val="24"/>
          <w:szCs w:val="24"/>
        </w:rPr>
      </w:pPr>
      <w:r>
        <w:rPr>
          <w:rFonts w:ascii="Arial" w:hAnsi="Arial" w:cs="Arial"/>
          <w:sz w:val="24"/>
          <w:szCs w:val="24"/>
        </w:rPr>
        <w:t>En 2025 se realizaron 7 acompañamientos, a 3 mujeres diferentes, dirigidos a servicios sanitarios y a la unidad policial especializada.</w:t>
      </w:r>
    </w:p>
    <w:p>
      <w:pPr>
        <w:numPr>
          <w:ilvl w:val="0"/>
          <w:numId w:val="32"/>
        </w:numPr>
        <w:spacing w:after="0"/>
        <w:jc w:val="both"/>
        <w:rPr>
          <w:rFonts w:ascii="Arial" w:hAnsi="Arial" w:cs="Arial"/>
          <w:sz w:val="24"/>
          <w:szCs w:val="24"/>
        </w:rPr>
      </w:pPr>
      <w:r>
        <w:rPr>
          <w:rFonts w:ascii="Arial" w:hAnsi="Arial" w:cs="Arial"/>
          <w:sz w:val="24"/>
          <w:szCs w:val="24"/>
          <w:u w:val="single"/>
        </w:rPr>
        <w:t>Realización de informes técnicos</w:t>
      </w:r>
      <w:r>
        <w:rPr>
          <w:rFonts w:ascii="Arial" w:hAnsi="Arial" w:cs="Arial"/>
          <w:sz w:val="24"/>
          <w:szCs w:val="24"/>
        </w:rPr>
        <w:t xml:space="preserve">: a petición de recursos externos a la Institución (frecuentemente Servicios Sociales, Instituto de Medicina Legal, Fiscalía, etc.), se realizan Informes Psicológicos sobre la intervención realizada. </w:t>
      </w:r>
    </w:p>
    <w:p>
      <w:pPr>
        <w:spacing w:after="0"/>
        <w:ind w:left="1080"/>
        <w:jc w:val="both"/>
        <w:rPr>
          <w:rFonts w:ascii="Arial" w:hAnsi="Arial" w:cs="Arial"/>
          <w:sz w:val="24"/>
          <w:szCs w:val="24"/>
          <w:u w:val="single"/>
        </w:rPr>
      </w:pPr>
      <w:r>
        <w:rPr>
          <w:rFonts w:ascii="Arial" w:hAnsi="Arial" w:cs="Arial"/>
          <w:sz w:val="24"/>
          <w:szCs w:val="24"/>
        </w:rPr>
        <w:t>En 2025 Se elaboran 2 informes: uno destinado a la derivación al servicio de      salud mental y otro para el expediente de la mujer a presentar ante el juez.</w:t>
      </w:r>
      <w:r>
        <w:rPr>
          <w:rFonts w:ascii="Arial" w:hAnsi="Arial" w:cs="Arial"/>
          <w:sz w:val="24"/>
          <w:szCs w:val="24"/>
          <w:u w:val="single"/>
        </w:rPr>
        <w:t xml:space="preserve"> </w:t>
      </w:r>
    </w:p>
    <w:p>
      <w:pPr>
        <w:numPr>
          <w:ilvl w:val="0"/>
          <w:numId w:val="32"/>
        </w:numPr>
        <w:spacing w:after="0"/>
        <w:jc w:val="both"/>
        <w:rPr>
          <w:rFonts w:ascii="Arial" w:hAnsi="Arial" w:cs="Arial"/>
          <w:sz w:val="24"/>
          <w:szCs w:val="24"/>
        </w:rPr>
      </w:pPr>
      <w:r>
        <w:rPr>
          <w:rFonts w:ascii="Arial" w:hAnsi="Arial" w:cs="Arial"/>
          <w:sz w:val="24"/>
          <w:szCs w:val="24"/>
          <w:u w:val="single"/>
        </w:rPr>
        <w:t>Reuniones interdisciplinares</w:t>
      </w:r>
      <w:r>
        <w:rPr>
          <w:rFonts w:ascii="Arial" w:hAnsi="Arial" w:cs="Arial"/>
          <w:sz w:val="24"/>
          <w:szCs w:val="24"/>
        </w:rPr>
        <w:t xml:space="preserve">: con el objetivo de favorecer la coordinación entre las diferentes áreas que intervienen con las mujeres residentes en la Casa de Acogida Daniela, de manera quincenal, se reúnen el área social, jurídica, educativa, psicológica, laboral, coordinación y/o dirección. En ellas se comparte la evolución de cada caso, así como las propuestas de intervención futuras. </w:t>
      </w:r>
    </w:p>
    <w:p>
      <w:pPr>
        <w:spacing w:after="0"/>
        <w:jc w:val="both"/>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t xml:space="preserve">     En el año 2025, se convocan 26.</w:t>
      </w:r>
    </w:p>
    <w:p>
      <w:pPr>
        <w:pStyle w:val="Prrafodelista"/>
        <w:numPr>
          <w:ilvl w:val="0"/>
          <w:numId w:val="32"/>
        </w:numPr>
        <w:spacing w:after="0"/>
        <w:jc w:val="both"/>
        <w:rPr>
          <w:rFonts w:ascii="Arial" w:hAnsi="Arial" w:cs="Arial"/>
          <w:sz w:val="24"/>
          <w:szCs w:val="24"/>
        </w:rPr>
      </w:pPr>
      <w:r>
        <w:rPr>
          <w:rFonts w:ascii="Arial" w:hAnsi="Arial" w:cs="Arial"/>
          <w:sz w:val="24"/>
          <w:szCs w:val="24"/>
          <w:u w:val="single"/>
        </w:rPr>
        <w:t>Formaciones recibidas</w:t>
      </w:r>
      <w:r>
        <w:rPr>
          <w:rFonts w:ascii="Arial" w:hAnsi="Arial" w:cs="Arial"/>
          <w:sz w:val="24"/>
          <w:szCs w:val="24"/>
        </w:rPr>
        <w:t xml:space="preserve">: </w:t>
      </w:r>
    </w:p>
    <w:p>
      <w:pPr>
        <w:numPr>
          <w:ilvl w:val="1"/>
          <w:numId w:val="32"/>
        </w:numPr>
        <w:spacing w:after="0"/>
        <w:jc w:val="both"/>
        <w:rPr>
          <w:rFonts w:ascii="Arial" w:hAnsi="Arial" w:cs="Arial"/>
          <w:sz w:val="24"/>
          <w:szCs w:val="24"/>
        </w:rPr>
      </w:pPr>
      <w:r>
        <w:rPr>
          <w:rFonts w:ascii="Arial" w:hAnsi="Arial" w:cs="Arial"/>
          <w:sz w:val="24"/>
          <w:szCs w:val="24"/>
          <w:u w:val="single"/>
        </w:rPr>
        <w:t>Internas</w:t>
      </w:r>
      <w:r>
        <w:rPr>
          <w:rFonts w:ascii="Arial" w:hAnsi="Arial" w:cs="Arial"/>
          <w:sz w:val="24"/>
          <w:szCs w:val="24"/>
        </w:rPr>
        <w:t xml:space="preserve">: participación activa en formaciones propuestas por la Institución con el objetivo de unificar conocimientos y mantener al equipo actualizado. </w:t>
      </w:r>
    </w:p>
    <w:p>
      <w:pPr>
        <w:pStyle w:val="Prrafodelista"/>
        <w:numPr>
          <w:ilvl w:val="0"/>
          <w:numId w:val="142"/>
        </w:numPr>
        <w:spacing w:after="0"/>
        <w:jc w:val="both"/>
        <w:rPr>
          <w:rFonts w:ascii="Arial" w:hAnsi="Arial" w:cs="Arial"/>
          <w:sz w:val="24"/>
          <w:szCs w:val="24"/>
        </w:rPr>
      </w:pPr>
      <w:r>
        <w:rPr>
          <w:rFonts w:ascii="Arial" w:hAnsi="Arial" w:cs="Arial"/>
          <w:sz w:val="24"/>
          <w:szCs w:val="24"/>
        </w:rPr>
        <w:t xml:space="preserve">28/04/2025: Orígenes Congregacionales y Pedagogía Oblatas. </w:t>
      </w:r>
    </w:p>
    <w:p>
      <w:pPr>
        <w:pStyle w:val="Prrafodelista"/>
        <w:numPr>
          <w:ilvl w:val="0"/>
          <w:numId w:val="142"/>
        </w:numPr>
        <w:spacing w:after="0"/>
        <w:jc w:val="both"/>
        <w:rPr>
          <w:rFonts w:ascii="Arial" w:hAnsi="Arial" w:cs="Arial"/>
          <w:sz w:val="24"/>
          <w:szCs w:val="24"/>
        </w:rPr>
      </w:pPr>
      <w:r>
        <w:rPr>
          <w:rFonts w:ascii="Arial" w:hAnsi="Arial" w:cs="Arial"/>
          <w:sz w:val="24"/>
          <w:szCs w:val="24"/>
        </w:rPr>
        <w:t xml:space="preserve">28/04/2025: Reglamento General de Protección de Datos. </w:t>
      </w:r>
    </w:p>
    <w:p>
      <w:pPr>
        <w:pStyle w:val="Prrafodelista"/>
        <w:numPr>
          <w:ilvl w:val="0"/>
          <w:numId w:val="142"/>
        </w:numPr>
        <w:spacing w:after="0"/>
        <w:jc w:val="both"/>
        <w:rPr>
          <w:rFonts w:ascii="Arial" w:hAnsi="Arial" w:cs="Arial"/>
          <w:sz w:val="24"/>
          <w:szCs w:val="24"/>
        </w:rPr>
      </w:pPr>
      <w:r>
        <w:rPr>
          <w:rFonts w:ascii="Arial" w:hAnsi="Arial" w:cs="Arial"/>
          <w:sz w:val="24"/>
          <w:szCs w:val="24"/>
        </w:rPr>
        <w:t xml:space="preserve">29/04/2025: Sistema de Protección Interno (SdPi). </w:t>
      </w:r>
    </w:p>
    <w:p>
      <w:pPr>
        <w:pStyle w:val="Prrafodelista"/>
        <w:numPr>
          <w:ilvl w:val="0"/>
          <w:numId w:val="142"/>
        </w:numPr>
        <w:spacing w:after="0"/>
        <w:jc w:val="both"/>
        <w:rPr>
          <w:rFonts w:ascii="Arial" w:hAnsi="Arial" w:cs="Arial"/>
          <w:sz w:val="24"/>
          <w:szCs w:val="24"/>
        </w:rPr>
      </w:pPr>
      <w:r>
        <w:rPr>
          <w:rFonts w:ascii="Arial" w:hAnsi="Arial" w:cs="Arial"/>
          <w:sz w:val="24"/>
          <w:szCs w:val="24"/>
        </w:rPr>
        <w:t>29/04/2025: Protocolo de acoso.</w:t>
      </w:r>
    </w:p>
    <w:p>
      <w:pPr>
        <w:pStyle w:val="Prrafodelista"/>
        <w:numPr>
          <w:ilvl w:val="0"/>
          <w:numId w:val="142"/>
        </w:numPr>
        <w:spacing w:after="0"/>
        <w:jc w:val="both"/>
        <w:rPr>
          <w:rFonts w:ascii="Arial" w:hAnsi="Arial" w:cs="Arial"/>
          <w:sz w:val="24"/>
          <w:szCs w:val="24"/>
        </w:rPr>
      </w:pPr>
      <w:r>
        <w:rPr>
          <w:rFonts w:ascii="Arial" w:hAnsi="Arial" w:cs="Arial"/>
          <w:sz w:val="24"/>
          <w:szCs w:val="24"/>
        </w:rPr>
        <w:t>13/11/2025: V Jornada internacional sobre Trata con fines de explotación sexual.</w:t>
      </w:r>
    </w:p>
    <w:p>
      <w:pPr>
        <w:spacing w:after="0"/>
        <w:jc w:val="both"/>
        <w:rPr>
          <w:rFonts w:ascii="Arial" w:hAnsi="Arial" w:cs="Arial"/>
          <w:sz w:val="24"/>
          <w:szCs w:val="24"/>
        </w:rPr>
      </w:pPr>
    </w:p>
    <w:p>
      <w:pPr>
        <w:numPr>
          <w:ilvl w:val="1"/>
          <w:numId w:val="32"/>
        </w:numPr>
        <w:spacing w:after="0"/>
        <w:jc w:val="both"/>
        <w:rPr>
          <w:rFonts w:ascii="Arial" w:hAnsi="Arial" w:cs="Arial"/>
          <w:sz w:val="24"/>
          <w:szCs w:val="24"/>
        </w:rPr>
      </w:pPr>
      <w:r>
        <w:rPr>
          <w:rFonts w:ascii="Arial" w:hAnsi="Arial" w:cs="Arial"/>
          <w:sz w:val="24"/>
          <w:szCs w:val="24"/>
          <w:u w:val="single"/>
        </w:rPr>
        <w:t>Externas</w:t>
      </w:r>
      <w:r>
        <w:rPr>
          <w:rFonts w:ascii="Arial" w:hAnsi="Arial" w:cs="Arial"/>
          <w:sz w:val="24"/>
          <w:szCs w:val="24"/>
        </w:rPr>
        <w:t xml:space="preserve">: </w:t>
      </w:r>
    </w:p>
    <w:p>
      <w:pPr>
        <w:pStyle w:val="Prrafodelista"/>
        <w:numPr>
          <w:ilvl w:val="0"/>
          <w:numId w:val="142"/>
        </w:numPr>
        <w:spacing w:after="0"/>
        <w:jc w:val="both"/>
        <w:rPr>
          <w:rFonts w:ascii="Arial" w:hAnsi="Arial" w:cs="Arial"/>
          <w:sz w:val="24"/>
          <w:szCs w:val="24"/>
        </w:rPr>
      </w:pPr>
      <w:r>
        <w:rPr>
          <w:rFonts w:ascii="Arial" w:hAnsi="Arial" w:cs="Arial"/>
          <w:sz w:val="24"/>
          <w:szCs w:val="24"/>
        </w:rPr>
        <w:t>14/10/2025: “CIBERSEGURAS. Kit de herramientas prácticas para combatir la violencia de género digital”, organizado por Mujeres, solidaridad y cooperación.</w:t>
      </w:r>
    </w:p>
    <w:p>
      <w:pPr>
        <w:pStyle w:val="Prrafodelista"/>
        <w:numPr>
          <w:ilvl w:val="0"/>
          <w:numId w:val="142"/>
        </w:numPr>
        <w:spacing w:after="0"/>
        <w:jc w:val="both"/>
        <w:rPr>
          <w:rFonts w:ascii="Arial" w:hAnsi="Arial" w:cs="Arial"/>
          <w:sz w:val="24"/>
          <w:szCs w:val="24"/>
        </w:rPr>
      </w:pPr>
      <w:r>
        <w:rPr>
          <w:rFonts w:ascii="Arial" w:hAnsi="Arial" w:cs="Arial"/>
          <w:sz w:val="24"/>
          <w:szCs w:val="24"/>
        </w:rPr>
        <w:t>20-21-22/10/2025: Formación para los psicólogos de la Red de violencia de género del Cabildo Insular de Gran Canaria e impartida por Raquel López sobre “Regulación emocional y trauma”.</w:t>
      </w:r>
    </w:p>
    <w:p>
      <w:pPr>
        <w:spacing w:after="0"/>
        <w:jc w:val="both"/>
        <w:rPr>
          <w:rFonts w:ascii="Arial" w:hAnsi="Arial" w:cs="Arial"/>
          <w:sz w:val="24"/>
          <w:szCs w:val="24"/>
        </w:rPr>
      </w:pPr>
    </w:p>
    <w:p>
      <w:pPr>
        <w:numPr>
          <w:ilvl w:val="0"/>
          <w:numId w:val="32"/>
        </w:numPr>
        <w:spacing w:after="0"/>
        <w:jc w:val="both"/>
        <w:rPr>
          <w:rFonts w:ascii="Arial" w:hAnsi="Arial" w:cs="Arial"/>
          <w:sz w:val="24"/>
          <w:szCs w:val="24"/>
        </w:rPr>
      </w:pPr>
      <w:r>
        <w:rPr>
          <w:rFonts w:ascii="Arial" w:hAnsi="Arial" w:cs="Arial"/>
          <w:sz w:val="24"/>
          <w:szCs w:val="24"/>
          <w:u w:val="single"/>
        </w:rPr>
        <w:t>Encuentros institucionales</w:t>
      </w:r>
      <w:r>
        <w:rPr>
          <w:rFonts w:ascii="Arial" w:hAnsi="Arial" w:cs="Arial"/>
          <w:sz w:val="24"/>
          <w:szCs w:val="24"/>
        </w:rPr>
        <w:t>: convivencia presencial y/o telemática con miembros de la Institución con el ánimo de promover y mantener el sentimiento de pertenencia, así como garantizar el apoyo de la Familia Oblatas a todas y todos los profesionales que forman parte de ella.</w:t>
      </w:r>
    </w:p>
    <w:p>
      <w:pPr>
        <w:spacing w:after="0"/>
        <w:ind w:left="708" w:firstLine="372"/>
        <w:jc w:val="both"/>
        <w:rPr>
          <w:rFonts w:ascii="Arial" w:hAnsi="Arial" w:cs="Arial"/>
          <w:sz w:val="24"/>
          <w:szCs w:val="24"/>
        </w:rPr>
      </w:pPr>
      <w:r>
        <w:rPr>
          <w:rFonts w:ascii="Arial" w:hAnsi="Arial" w:cs="Arial"/>
          <w:sz w:val="24"/>
          <w:szCs w:val="24"/>
        </w:rPr>
        <w:t>Con este fin se realiza:</w:t>
      </w:r>
    </w:p>
    <w:p>
      <w:pPr>
        <w:pStyle w:val="Prrafodelista"/>
        <w:numPr>
          <w:ilvl w:val="0"/>
          <w:numId w:val="142"/>
        </w:numPr>
        <w:spacing w:after="0"/>
        <w:jc w:val="both"/>
        <w:rPr>
          <w:rFonts w:ascii="Arial" w:hAnsi="Arial" w:cs="Arial"/>
          <w:sz w:val="24"/>
          <w:szCs w:val="24"/>
        </w:rPr>
      </w:pPr>
      <w:r>
        <w:rPr>
          <w:rFonts w:ascii="Arial" w:hAnsi="Arial" w:cs="Arial"/>
          <w:sz w:val="24"/>
          <w:szCs w:val="24"/>
        </w:rPr>
        <w:t>- 15/05/2025: Jornada de dinámicas grupales de equipo y team building.</w:t>
      </w:r>
    </w:p>
    <w:p>
      <w:pPr>
        <w:pStyle w:val="Prrafodelista"/>
        <w:numPr>
          <w:ilvl w:val="0"/>
          <w:numId w:val="142"/>
        </w:numPr>
        <w:spacing w:after="0"/>
        <w:jc w:val="both"/>
        <w:rPr>
          <w:rFonts w:ascii="Arial" w:hAnsi="Arial" w:cs="Arial"/>
          <w:sz w:val="24"/>
          <w:szCs w:val="24"/>
        </w:rPr>
      </w:pPr>
      <w:r>
        <w:rPr>
          <w:rFonts w:ascii="Arial" w:hAnsi="Arial" w:cs="Arial"/>
          <w:sz w:val="24"/>
          <w:szCs w:val="24"/>
        </w:rPr>
        <w:t>- 09/06/2024: Encuentro virtual Provincia Europa Oblatas</w:t>
      </w:r>
    </w:p>
    <w:p>
      <w:pPr>
        <w:pStyle w:val="Prrafodelista"/>
        <w:numPr>
          <w:ilvl w:val="0"/>
          <w:numId w:val="142"/>
        </w:numPr>
        <w:spacing w:after="0"/>
        <w:jc w:val="both"/>
        <w:rPr>
          <w:rFonts w:ascii="Arial" w:hAnsi="Arial" w:cs="Arial"/>
          <w:sz w:val="24"/>
          <w:szCs w:val="24"/>
        </w:rPr>
      </w:pPr>
      <w:r>
        <w:rPr>
          <w:rFonts w:ascii="Arial" w:hAnsi="Arial" w:cs="Arial"/>
          <w:sz w:val="24"/>
          <w:szCs w:val="24"/>
        </w:rPr>
        <w:t>- 27-28-29/10/2025: “Encuentro Familia Oblatas” (Provincia Europa Oblatas).</w:t>
      </w:r>
    </w:p>
    <w:p>
      <w:pPr>
        <w:pStyle w:val="Prrafodelista"/>
        <w:numPr>
          <w:ilvl w:val="0"/>
          <w:numId w:val="142"/>
        </w:numPr>
        <w:spacing w:after="0"/>
        <w:jc w:val="both"/>
        <w:rPr>
          <w:rFonts w:ascii="Arial" w:hAnsi="Arial" w:cs="Arial"/>
          <w:sz w:val="24"/>
          <w:szCs w:val="24"/>
        </w:rPr>
      </w:pPr>
      <w:r>
        <w:rPr>
          <w:rFonts w:ascii="Arial" w:hAnsi="Arial" w:cs="Arial"/>
          <w:sz w:val="24"/>
          <w:szCs w:val="24"/>
        </w:rPr>
        <w:t>- 25/11/2025 Encuentro Virtual familia Oblata de la Provincia Europa.</w:t>
      </w:r>
    </w:p>
    <w:p>
      <w:pPr>
        <w:pStyle w:val="Prrafodelista"/>
        <w:numPr>
          <w:ilvl w:val="0"/>
          <w:numId w:val="142"/>
        </w:numPr>
        <w:spacing w:after="0"/>
        <w:jc w:val="both"/>
        <w:rPr>
          <w:rFonts w:ascii="Arial" w:hAnsi="Arial" w:cs="Arial"/>
          <w:sz w:val="24"/>
          <w:szCs w:val="24"/>
        </w:rPr>
      </w:pPr>
      <w:r>
        <w:rPr>
          <w:rFonts w:ascii="Arial" w:hAnsi="Arial" w:cs="Arial"/>
          <w:sz w:val="24"/>
          <w:szCs w:val="24"/>
        </w:rPr>
        <w:t>-11-12/12/2025: Encuentro Presencial de Acogida para las personas de nueva incorporación a los Proyectos Sociales de la Provincia Europa.</w:t>
      </w:r>
    </w:p>
    <w:p>
      <w:pPr>
        <w:spacing w:after="0"/>
        <w:jc w:val="both"/>
        <w:rPr>
          <w:rFonts w:ascii="Arial" w:hAnsi="Arial" w:cs="Arial"/>
          <w:sz w:val="24"/>
          <w:szCs w:val="24"/>
        </w:rPr>
      </w:pPr>
    </w:p>
    <w:p>
      <w:pPr>
        <w:numPr>
          <w:ilvl w:val="0"/>
          <w:numId w:val="32"/>
        </w:numPr>
        <w:spacing w:after="0"/>
        <w:jc w:val="both"/>
        <w:rPr>
          <w:rFonts w:ascii="Arial" w:hAnsi="Arial" w:cs="Arial"/>
          <w:sz w:val="24"/>
          <w:szCs w:val="24"/>
        </w:rPr>
      </w:pPr>
      <w:r>
        <w:rPr>
          <w:rFonts w:ascii="Arial" w:hAnsi="Arial" w:cs="Arial"/>
          <w:sz w:val="24"/>
          <w:szCs w:val="24"/>
          <w:u w:val="single"/>
        </w:rPr>
        <w:t>Otras actuaciones</w:t>
      </w:r>
      <w:r>
        <w:rPr>
          <w:rFonts w:ascii="Arial" w:hAnsi="Arial" w:cs="Arial"/>
          <w:sz w:val="24"/>
          <w:szCs w:val="24"/>
        </w:rPr>
        <w:t>: participación en otros espacios con el objetivo de favorecer interacciones más informales con las mujeres como forma de generar y/o reforzar la vinculación. En el 2025 se lleva a cabo:</w:t>
      </w:r>
    </w:p>
    <w:p>
      <w:pPr>
        <w:numPr>
          <w:ilvl w:val="0"/>
          <w:numId w:val="65"/>
        </w:numPr>
        <w:spacing w:after="0"/>
        <w:jc w:val="both"/>
        <w:rPr>
          <w:rFonts w:ascii="Arial" w:hAnsi="Arial" w:cs="Arial"/>
          <w:sz w:val="24"/>
          <w:szCs w:val="24"/>
        </w:rPr>
      </w:pPr>
      <w:r>
        <w:rPr>
          <w:rFonts w:ascii="Arial" w:hAnsi="Arial" w:cs="Arial"/>
          <w:sz w:val="24"/>
          <w:szCs w:val="24"/>
        </w:rPr>
        <w:lastRenderedPageBreak/>
        <w:t>Almuerzo-convivencia en Casa de Acogida Daniela: 3</w:t>
      </w:r>
    </w:p>
    <w:p>
      <w:pPr>
        <w:numPr>
          <w:ilvl w:val="0"/>
          <w:numId w:val="65"/>
        </w:numPr>
        <w:spacing w:after="0"/>
        <w:jc w:val="both"/>
        <w:rPr>
          <w:rFonts w:ascii="Arial" w:hAnsi="Arial" w:cs="Arial"/>
          <w:sz w:val="24"/>
          <w:szCs w:val="24"/>
        </w:rPr>
      </w:pPr>
      <w:r>
        <w:rPr>
          <w:rFonts w:ascii="Arial" w:hAnsi="Arial" w:cs="Arial"/>
          <w:sz w:val="24"/>
          <w:szCs w:val="24"/>
        </w:rPr>
        <w:t>Almuerzo-convivencia en exterior: 3</w:t>
      </w:r>
    </w:p>
    <w:p>
      <w:pPr>
        <w:numPr>
          <w:ilvl w:val="0"/>
          <w:numId w:val="65"/>
        </w:numPr>
        <w:spacing w:after="0"/>
        <w:jc w:val="both"/>
        <w:rPr>
          <w:rFonts w:ascii="Arial" w:hAnsi="Arial" w:cs="Arial"/>
          <w:sz w:val="24"/>
          <w:szCs w:val="24"/>
        </w:rPr>
      </w:pPr>
      <w:r>
        <w:rPr>
          <w:rFonts w:ascii="Arial" w:hAnsi="Arial" w:cs="Arial"/>
          <w:sz w:val="24"/>
          <w:szCs w:val="24"/>
        </w:rPr>
        <w:t>Aumento del uso de la mensajería instantánea como medio facilitador de la vinculación, el contacto y seguimiento, sobre todo en los casos en los que por diferentes casuísticas se dificulta la posibilidad de un encuentro presencial: 2/3 veces por semana.</w:t>
      </w:r>
    </w:p>
    <w:p>
      <w:pPr>
        <w:numPr>
          <w:ilvl w:val="0"/>
          <w:numId w:val="65"/>
        </w:numPr>
        <w:spacing w:after="0"/>
        <w:jc w:val="both"/>
        <w:rPr>
          <w:rFonts w:ascii="Arial" w:hAnsi="Arial" w:cs="Arial"/>
          <w:sz w:val="24"/>
          <w:szCs w:val="24"/>
        </w:rPr>
      </w:pPr>
      <w:r>
        <w:rPr>
          <w:rFonts w:ascii="Arial" w:hAnsi="Arial" w:cs="Arial"/>
          <w:sz w:val="24"/>
          <w:szCs w:val="24"/>
        </w:rPr>
        <w:t xml:space="preserve">3 entrevistas de valoración de solicitud de entrada en la Casa de Acogida. </w:t>
      </w:r>
    </w:p>
    <w:p>
      <w:pPr>
        <w:spacing w:after="0"/>
        <w:jc w:val="both"/>
        <w:rPr>
          <w:rFonts w:ascii="Arial" w:hAnsi="Arial" w:cs="Arial"/>
          <w:sz w:val="24"/>
          <w:szCs w:val="24"/>
        </w:rPr>
      </w:pPr>
    </w:p>
    <w:tbl>
      <w:tblPr>
        <w:tblW w:w="9209" w:type="dxa"/>
        <w:jc w:val="center"/>
        <w:tblLook w:val="04A0" w:firstRow="1" w:lastRow="0" w:firstColumn="1" w:lastColumn="0" w:noHBand="0" w:noVBand="1"/>
      </w:tblPr>
      <w:tblGrid>
        <w:gridCol w:w="4253"/>
        <w:gridCol w:w="4956"/>
      </w:tblGrid>
      <w:tr>
        <w:trPr>
          <w:jc w:val="center"/>
        </w:trPr>
        <w:tc>
          <w:tcPr>
            <w:tcW w:w="4253" w:type="dxa"/>
            <w:shd w:val="clear" w:color="auto" w:fill="DDD9C3" w:themeFill="background2" w:themeFillShade="E6"/>
          </w:tcPr>
          <w:p>
            <w:pPr>
              <w:spacing w:after="0" w:line="360" w:lineRule="auto"/>
              <w:jc w:val="center"/>
              <w:rPr>
                <w:rFonts w:ascii="Arial" w:hAnsi="Arial" w:cs="Arial"/>
                <w:b/>
                <w:sz w:val="24"/>
                <w:szCs w:val="24"/>
              </w:rPr>
            </w:pPr>
            <w:r>
              <w:rPr>
                <w:rFonts w:ascii="Arial" w:hAnsi="Arial" w:cs="Arial"/>
                <w:b/>
                <w:sz w:val="24"/>
                <w:szCs w:val="24"/>
              </w:rPr>
              <w:t>ACTIVIDADES REALIZADAS</w:t>
            </w:r>
          </w:p>
        </w:tc>
        <w:tc>
          <w:tcPr>
            <w:tcW w:w="4956" w:type="dxa"/>
            <w:shd w:val="clear" w:color="auto" w:fill="DDD9C3" w:themeFill="background2" w:themeFillShade="E6"/>
          </w:tcPr>
          <w:p>
            <w:pPr>
              <w:spacing w:after="0" w:line="360" w:lineRule="auto"/>
              <w:jc w:val="center"/>
              <w:rPr>
                <w:rFonts w:ascii="Arial" w:hAnsi="Arial" w:cs="Arial"/>
                <w:b/>
                <w:sz w:val="24"/>
                <w:szCs w:val="24"/>
              </w:rPr>
            </w:pPr>
            <w:r>
              <w:rPr>
                <w:rFonts w:ascii="Arial" w:hAnsi="Arial" w:cs="Arial"/>
                <w:b/>
                <w:sz w:val="24"/>
                <w:szCs w:val="24"/>
              </w:rPr>
              <w:t>CANTIDAD</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Atención a la mujer</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Total:  15 mujeres</w:t>
            </w:r>
          </w:p>
          <w:p>
            <w:pPr>
              <w:spacing w:after="0" w:line="360" w:lineRule="auto"/>
              <w:jc w:val="both"/>
              <w:rPr>
                <w:rFonts w:ascii="Arial" w:hAnsi="Arial" w:cs="Arial"/>
                <w:sz w:val="24"/>
                <w:szCs w:val="24"/>
              </w:rPr>
            </w:pPr>
            <w:r>
              <w:rPr>
                <w:rFonts w:ascii="Arial" w:hAnsi="Arial" w:cs="Arial"/>
                <w:sz w:val="24"/>
                <w:szCs w:val="24"/>
              </w:rPr>
              <w:t>Asesoramiento psicológico:  12 mujeres</w:t>
            </w:r>
          </w:p>
          <w:p>
            <w:pPr>
              <w:spacing w:after="0" w:line="360" w:lineRule="auto"/>
              <w:jc w:val="both"/>
              <w:rPr>
                <w:rFonts w:ascii="Arial" w:hAnsi="Arial" w:cs="Arial"/>
                <w:sz w:val="24"/>
                <w:szCs w:val="24"/>
              </w:rPr>
            </w:pPr>
            <w:r>
              <w:rPr>
                <w:rFonts w:ascii="Arial" w:hAnsi="Arial" w:cs="Arial"/>
                <w:sz w:val="24"/>
                <w:szCs w:val="24"/>
              </w:rPr>
              <w:t>Acompañamiento psicológico: 15 mujeres</w:t>
            </w:r>
          </w:p>
          <w:p>
            <w:pPr>
              <w:spacing w:after="0" w:line="360" w:lineRule="auto"/>
              <w:jc w:val="both"/>
              <w:rPr>
                <w:rFonts w:ascii="Arial" w:hAnsi="Arial" w:cs="Arial"/>
                <w:sz w:val="24"/>
                <w:szCs w:val="24"/>
              </w:rPr>
            </w:pPr>
            <w:r>
              <w:rPr>
                <w:rFonts w:ascii="Arial" w:hAnsi="Arial" w:cs="Arial"/>
                <w:sz w:val="24"/>
                <w:szCs w:val="24"/>
              </w:rPr>
              <w:t>Psicoterapia individual: 15 mujeres</w:t>
            </w:r>
          </w:p>
          <w:p>
            <w:pPr>
              <w:spacing w:after="0" w:line="360" w:lineRule="auto"/>
              <w:jc w:val="both"/>
              <w:rPr>
                <w:rFonts w:ascii="Arial" w:hAnsi="Arial" w:cs="Arial"/>
                <w:sz w:val="24"/>
                <w:szCs w:val="24"/>
              </w:rPr>
            </w:pPr>
            <w:r>
              <w:rPr>
                <w:rFonts w:ascii="Arial" w:hAnsi="Arial" w:cs="Arial"/>
                <w:sz w:val="24"/>
                <w:szCs w:val="24"/>
              </w:rPr>
              <w:t>Psicoterapias presenciales: 167 sesiones</w:t>
            </w:r>
          </w:p>
          <w:p>
            <w:pPr>
              <w:spacing w:after="0" w:line="360" w:lineRule="auto"/>
              <w:jc w:val="both"/>
              <w:rPr>
                <w:rFonts w:ascii="Arial" w:hAnsi="Arial" w:cs="Arial"/>
                <w:sz w:val="24"/>
                <w:szCs w:val="24"/>
              </w:rPr>
            </w:pPr>
            <w:r>
              <w:rPr>
                <w:rFonts w:ascii="Arial" w:hAnsi="Arial" w:cs="Arial"/>
                <w:sz w:val="24"/>
                <w:szCs w:val="24"/>
              </w:rPr>
              <w:t>Psicoterapias telefónicas: 43 sesiones</w:t>
            </w:r>
          </w:p>
          <w:p>
            <w:pPr>
              <w:spacing w:after="0" w:line="360" w:lineRule="auto"/>
              <w:jc w:val="both"/>
              <w:rPr>
                <w:rFonts w:ascii="Arial" w:hAnsi="Arial" w:cs="Arial"/>
                <w:sz w:val="24"/>
                <w:szCs w:val="24"/>
              </w:rPr>
            </w:pPr>
            <w:r>
              <w:rPr>
                <w:rFonts w:ascii="Arial" w:hAnsi="Arial" w:cs="Arial"/>
                <w:sz w:val="24"/>
                <w:szCs w:val="24"/>
              </w:rPr>
              <w:t>Psicoterapia grupal: 7 talleres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 xml:space="preserve">Atención directa a menores </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Total: 1 menor</w:t>
            </w:r>
          </w:p>
          <w:p>
            <w:pPr>
              <w:spacing w:after="0" w:line="360" w:lineRule="auto"/>
              <w:jc w:val="both"/>
              <w:rPr>
                <w:rFonts w:ascii="Arial" w:hAnsi="Arial" w:cs="Arial"/>
                <w:sz w:val="24"/>
                <w:szCs w:val="24"/>
              </w:rPr>
            </w:pPr>
            <w:r>
              <w:rPr>
                <w:rFonts w:ascii="Arial" w:hAnsi="Arial" w:cs="Arial"/>
                <w:sz w:val="24"/>
                <w:szCs w:val="24"/>
              </w:rPr>
              <w:t xml:space="preserve">Sesiones de psicoterapia individual realizadas: 2  sesiones    </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Acompañamientos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7 acompañamientos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Realización de informes técnicos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2 informes psicológicos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Reuniones interdisciplinares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26 reuniones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Formaciones internas recibidas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5 formaciones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Formaciones externas recibidas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2 formaciones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Encuentros institucionales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4 encuentros</w:t>
            </w:r>
          </w:p>
        </w:tc>
      </w:tr>
      <w:tr>
        <w:trPr>
          <w:jc w:val="center"/>
        </w:trPr>
        <w:tc>
          <w:tcPr>
            <w:tcW w:w="4253"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Otras actuaciones</w:t>
            </w:r>
          </w:p>
        </w:tc>
        <w:tc>
          <w:tcPr>
            <w:tcW w:w="4956" w:type="dxa"/>
            <w:tcBorders>
              <w:top w:val="single" w:sz="4" w:space="0" w:color="auto"/>
              <w:left w:val="single" w:sz="4" w:space="0" w:color="auto"/>
              <w:bottom w:val="single" w:sz="4" w:space="0" w:color="auto"/>
              <w:right w:val="single" w:sz="4" w:space="0" w:color="auto"/>
            </w:tcBorders>
          </w:tcPr>
          <w:p>
            <w:pPr>
              <w:spacing w:after="0" w:line="360" w:lineRule="auto"/>
              <w:jc w:val="both"/>
              <w:rPr>
                <w:rFonts w:ascii="Arial" w:hAnsi="Arial" w:cs="Arial"/>
                <w:sz w:val="24"/>
                <w:szCs w:val="24"/>
              </w:rPr>
            </w:pPr>
            <w:r>
              <w:rPr>
                <w:rFonts w:ascii="Arial" w:hAnsi="Arial" w:cs="Arial"/>
                <w:sz w:val="24"/>
                <w:szCs w:val="24"/>
              </w:rPr>
              <w:t>9 (sin contabilizar uso de mensajería)</w:t>
            </w:r>
          </w:p>
        </w:tc>
      </w:tr>
    </w:tbl>
    <w:p>
      <w:pPr>
        <w:spacing w:after="0"/>
        <w:jc w:val="both"/>
        <w:rPr>
          <w:rFonts w:ascii="Arial" w:hAnsi="Arial" w:cs="Arial"/>
          <w:sz w:val="24"/>
          <w:szCs w:val="24"/>
        </w:rPr>
      </w:pPr>
    </w:p>
    <w:p>
      <w:pPr>
        <w:spacing w:after="0"/>
        <w:jc w:val="both"/>
        <w:rPr>
          <w:rFonts w:ascii="Arial" w:hAnsi="Arial" w:cs="Arial"/>
          <w:sz w:val="24"/>
          <w:szCs w:val="24"/>
        </w:rPr>
      </w:pPr>
    </w:p>
    <w:p>
      <w:pPr>
        <w:spacing w:after="0"/>
        <w:jc w:val="both"/>
        <w:rPr>
          <w:rFonts w:ascii="Arial" w:hAnsi="Arial" w:cs="Arial"/>
          <w:sz w:val="24"/>
          <w:szCs w:val="24"/>
        </w:rPr>
      </w:pPr>
    </w:p>
    <w:p>
      <w:pPr>
        <w:spacing w:after="0"/>
        <w:jc w:val="both"/>
        <w:rPr>
          <w:rFonts w:ascii="Arial" w:hAnsi="Arial" w:cs="Arial"/>
          <w:sz w:val="24"/>
          <w:szCs w:val="24"/>
        </w:rPr>
      </w:pPr>
    </w:p>
    <w:p>
      <w:pPr>
        <w:spacing w:after="0"/>
        <w:jc w:val="both"/>
        <w:rPr>
          <w:rFonts w:ascii="Arial" w:hAnsi="Arial" w:cs="Arial"/>
          <w:sz w:val="24"/>
          <w:szCs w:val="24"/>
        </w:rPr>
      </w:pPr>
    </w:p>
    <w:p>
      <w:pPr>
        <w:spacing w:after="0"/>
        <w:jc w:val="both"/>
        <w:rPr>
          <w:rFonts w:ascii="Arial" w:hAnsi="Arial" w:cs="Arial"/>
          <w:sz w:val="24"/>
          <w:szCs w:val="24"/>
        </w:rPr>
      </w:pPr>
    </w:p>
    <w:p>
      <w:pPr>
        <w:spacing w:after="0"/>
        <w:jc w:val="both"/>
        <w:rPr>
          <w:rFonts w:ascii="Arial" w:hAnsi="Arial" w:cs="Arial"/>
          <w:sz w:val="24"/>
          <w:szCs w:val="24"/>
        </w:rPr>
      </w:pPr>
    </w:p>
    <w:p>
      <w:pPr>
        <w:spacing w:after="0"/>
        <w:jc w:val="both"/>
        <w:rPr>
          <w:rFonts w:ascii="Arial" w:hAnsi="Arial" w:cs="Arial"/>
          <w:sz w:val="24"/>
          <w:szCs w:val="24"/>
        </w:rPr>
      </w:pPr>
    </w:p>
    <w:p>
      <w:pPr>
        <w:shd w:val="clear" w:color="auto" w:fill="CCC0D9" w:themeFill="accent4" w:themeFillTint="66"/>
        <w:spacing w:after="0" w:line="360" w:lineRule="auto"/>
        <w:ind w:left="284"/>
        <w:jc w:val="both"/>
        <w:rPr>
          <w:rFonts w:ascii="Arial" w:hAnsi="Arial" w:cs="Arial"/>
          <w:b/>
          <w:bCs/>
          <w:sz w:val="24"/>
          <w:szCs w:val="24"/>
        </w:rPr>
      </w:pPr>
      <w:r>
        <w:rPr>
          <w:rFonts w:ascii="Arial" w:hAnsi="Arial" w:cs="Arial"/>
          <w:b/>
          <w:bCs/>
          <w:sz w:val="24"/>
          <w:szCs w:val="24"/>
        </w:rPr>
        <w:lastRenderedPageBreak/>
        <w:t>I.- EVALUACIÓN DE LA INTERVENCIÓN:</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Durante el año 2025, la intervención del área psicológica se ha visto influenciada por el hecho de que algunas usuarias, que ya se encontraban en el recurso, tuvieron que cambiar de psicóloga a mitad de su proceso. Esta situación generó resistencias al establecimiento del vínculo terapéutico, </w:t>
      </w:r>
      <w:r>
        <w:rPr>
          <w:rFonts w:ascii="Arial" w:hAnsi="Arial" w:cs="Arial"/>
          <w:bCs/>
          <w:sz w:val="24"/>
          <w:szCs w:val="24"/>
        </w:rPr>
        <w:t>limitando o ralentizando</w:t>
      </w:r>
      <w:r>
        <w:rPr>
          <w:rFonts w:ascii="Arial" w:hAnsi="Arial" w:cs="Arial"/>
          <w:sz w:val="24"/>
          <w:szCs w:val="24"/>
        </w:rPr>
        <w:t xml:space="preserve"> el tipo de intervención que se pudo llevar a cabo, y afectando en algunos casos la profundidad de los procesos psicoterapéuticos y la posibilidad de desarrollar dinámicas de confianza sostenida a lo largo del tiempo.</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El perfil predominante atendido ha sido de </w:t>
      </w:r>
      <w:r>
        <w:rPr>
          <w:rFonts w:ascii="Arial" w:hAnsi="Arial" w:cs="Arial"/>
          <w:bCs/>
          <w:sz w:val="24"/>
          <w:szCs w:val="24"/>
        </w:rPr>
        <w:t>salud mental</w:t>
      </w:r>
      <w:r>
        <w:rPr>
          <w:rFonts w:ascii="Arial" w:hAnsi="Arial" w:cs="Arial"/>
          <w:sz w:val="24"/>
          <w:szCs w:val="24"/>
        </w:rPr>
        <w:t>, incluyendo personas con trastornos diagnosticados, usuarias con trayectoria prolongada en el proyecto y personas con experiencia previa en otros recursos e instituciones. Estas características han requerido un acompañamiento individualizado y flexible, adaptando los recursos y estrategias a la historia vital, las capacidades de afrontamiento y el nivel de motivación para el cambio de cada mujer.</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intervención se ha centrado en establecer y priorizar objetivos personales, brindar apoyo en los distintos momentos vitales y fortalecer competencias transversales relacionadas con el bienestar psicológico, la integración social y la inserción laboral. Asimismo, se ha promovido el empoderamiento, la planificación del futuro y la resolución de problemas cotidianos, siempre adaptando las estrategias a las necesidades y circunstancias individuales de cada usuaria. Se ha trabajado también en la adquisición de habilidades de autorregulación, afrontamiento del estrés, comunicación asertiva y establecimiento de límites, reforzando los recursos personales y potenciando la resiliencia frente a situaciones de vulnerabilidad.</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Para asegurar una intervención integral, se han mantenido reuniones interdisciplinares regulares que han permitido coordinar las acciones entre las diferentes áreas, compartir información relevante y diseñar estrategias conjuntas. Este espacio de coordinación ha </w:t>
      </w:r>
      <w:r>
        <w:rPr>
          <w:rFonts w:ascii="Arial" w:hAnsi="Arial" w:cs="Arial"/>
          <w:sz w:val="24"/>
          <w:szCs w:val="24"/>
        </w:rPr>
        <w:lastRenderedPageBreak/>
        <w:t>sido fundamental para garantizar la coherencia de la intervención y ofrecer respuestas adaptadas y consistentes a las necesidades de las usuarias.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La atención psicológica ha incluido asesoramiento, acompañamiento emocional, psicoterapia individual y seguimiento en crisis, asegurando una respuesta activa y continua a las demandas de las mujeres. Los talleres grupales se han diseñado para fortalecer competencias transversales, facilitar la socialización y la creación de vínculos positivos, fomentar la autonomía y preparar a las participantes para su integración social y laboral. Estos espacios han resultado especialmente valiosos para practicar habilidades de resolución de conflictos, trabajo en equipo y desarrollo de proyectos personales, contribuyendo a la consolidación de la autoestima y la autoconfianza.</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Asimismo, se han realizado acompañamientos externos a juzgados, consultas médicas y recursos especializados, con el objetivo de ofrecer soporte emocional en contextos que generan alta demanda emocional y asegurar la continuidad del seguimiento. Se elaboró también un informe para derivación al servicio de salud mental del SCS, facilitando la coordinación con otros recursos especializados y garantizando la atención integral de las usuarias.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El equipo ha participado activamente en formaciones internas y externas, así como en encuentros institucionales, promoviendo la actualización profesional, la unificación de criterios y el fortalecimiento del sentido de pertenencia dentro de la institución. Estas actividades han permitido mejorar la praxis profesional y la calidad de la intervención, incorporando herramientas y estrategias basadas en evidencia científica y con enfoque de género, derechos humanos e infancia.</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Se favoreció igualmente la creación de espacios informales de vinculación, incluyendo convivencias, apoyo en turnos y comunicación a través de mensajería instantánea, adaptándose a las circunstancias individuales de las usuarias y reforzando la adherencia al seguimiento psicológico. Estas acciones han contribuido a consolidar la </w:t>
      </w:r>
      <w:r>
        <w:rPr>
          <w:rFonts w:ascii="Arial" w:hAnsi="Arial" w:cs="Arial"/>
          <w:sz w:val="24"/>
          <w:szCs w:val="24"/>
        </w:rPr>
        <w:lastRenderedPageBreak/>
        <w:t>relación terapéutica y ofrecer acompañamiento constante, incluso en contextos en los que el encuentro presencial no era posible.</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En conjunto, el área psicológica ha priorizado la intervención individualizada y el fortalecimiento de la autonomía, la resiliencia y las competencias personales de las usuarias, adaptando la acción a la complejidad de los perfiles atendidos y a las limitaciones derivadas de la reorganización del seguimiento terapéutico. La intervención se ha orientado a promover la integración social y laboral, prevenir la revictimización secundaria, potenciar la seguridad y el bienestar emocional, y ofrecer un apoyo integral ajustado a las necesidades específicas de cada mujer.</w:t>
      </w:r>
    </w:p>
    <w:p>
      <w:pPr>
        <w:autoSpaceDE w:val="0"/>
        <w:autoSpaceDN w:val="0"/>
        <w:adjustRightInd w:val="0"/>
        <w:spacing w:after="0"/>
        <w:jc w:val="both"/>
        <w:rPr>
          <w:rFonts w:eastAsia="Times New Roman" w:cs="Calibri"/>
        </w:rPr>
      </w:pPr>
    </w:p>
    <w:p>
      <w:pPr>
        <w:shd w:val="clear" w:color="auto" w:fill="365F91" w:themeFill="accent1" w:themeFillShade="BF"/>
        <w:spacing w:after="0"/>
        <w:jc w:val="center"/>
        <w:outlineLvl w:val="0"/>
        <w:rPr>
          <w:rFonts w:ascii="Arial" w:eastAsia="Times New Roman" w:hAnsi="Arial" w:cs="Arial"/>
          <w:b/>
          <w:color w:val="FFFFFF"/>
          <w:sz w:val="24"/>
          <w:szCs w:val="24"/>
        </w:rPr>
      </w:pPr>
      <w:r>
        <w:rPr>
          <w:rFonts w:ascii="Arial" w:eastAsia="Times New Roman" w:hAnsi="Arial" w:cs="Arial"/>
          <w:b/>
          <w:color w:val="FFFFFF"/>
          <w:sz w:val="24"/>
          <w:szCs w:val="24"/>
        </w:rPr>
        <w:t>ÁREA JURÍDICA</w:t>
      </w:r>
    </w:p>
    <w:p>
      <w:pPr>
        <w:spacing w:after="0"/>
        <w:jc w:val="both"/>
        <w:rPr>
          <w:rFonts w:ascii="Arial" w:eastAsia="Times New Roman" w:hAnsi="Arial" w:cs="Arial"/>
          <w:b/>
          <w:sz w:val="24"/>
          <w:szCs w:val="24"/>
        </w:rPr>
      </w:pPr>
    </w:p>
    <w:p>
      <w:pPr>
        <w:numPr>
          <w:ilvl w:val="0"/>
          <w:numId w:val="67"/>
        </w:numPr>
        <w:shd w:val="clear" w:color="auto" w:fill="B2A1C7" w:themeFill="accent4" w:themeFillTint="99"/>
        <w:spacing w:after="0" w:line="360" w:lineRule="auto"/>
        <w:contextualSpacing/>
        <w:jc w:val="both"/>
        <w:rPr>
          <w:rFonts w:ascii="Arial" w:eastAsia="Times New Roman" w:hAnsi="Arial" w:cs="Arial"/>
          <w:b/>
          <w:sz w:val="24"/>
          <w:szCs w:val="24"/>
        </w:rPr>
      </w:pPr>
      <w:r>
        <w:rPr>
          <w:rFonts w:ascii="Arial" w:eastAsia="Times New Roman" w:hAnsi="Arial" w:cs="Arial"/>
          <w:b/>
          <w:sz w:val="24"/>
          <w:szCs w:val="24"/>
        </w:rPr>
        <w:t>OBJETIVOS GENERALES: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-Asesorar y orientar a nivel jurídico a las mujeres sobre los derechos que les asisten, garantizando el pleno ejercicio de los mismos. Apoyar e informar en los procedimientos jurídicos en los que sean parte, estableciendo en muchos casos un contacto directo con los letrados que se encargan de su defensa jurídica.</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-Recoger buenas y malas prácticas sobre la puesta en marcha de los mecanismos legales de detección, identificación y protección de VTSH por parte de la policía y la Administración Pública.</w:t>
      </w:r>
    </w:p>
    <w:p>
      <w:pPr>
        <w:spacing w:after="0" w:line="360" w:lineRule="auto"/>
        <w:ind w:left="1080"/>
        <w:jc w:val="both"/>
        <w:rPr>
          <w:rFonts w:ascii="Arial" w:eastAsia="Times New Roman" w:hAnsi="Arial" w:cs="Arial"/>
          <w:sz w:val="24"/>
          <w:szCs w:val="24"/>
        </w:rPr>
      </w:pPr>
    </w:p>
    <w:p>
      <w:pPr>
        <w:numPr>
          <w:ilvl w:val="0"/>
          <w:numId w:val="67"/>
        </w:numPr>
        <w:shd w:val="clear" w:color="auto" w:fill="B2A1C7" w:themeFill="accent4" w:themeFillTint="99"/>
        <w:spacing w:after="0" w:line="360" w:lineRule="auto"/>
        <w:contextualSpacing/>
        <w:jc w:val="both"/>
        <w:rPr>
          <w:rFonts w:ascii="Arial" w:eastAsia="Times New Roman" w:hAnsi="Arial" w:cs="Arial"/>
          <w:b/>
          <w:sz w:val="24"/>
          <w:szCs w:val="24"/>
        </w:rPr>
      </w:pPr>
      <w:r>
        <w:rPr>
          <w:rFonts w:ascii="Arial" w:eastAsia="Times New Roman" w:hAnsi="Arial" w:cs="Arial"/>
          <w:b/>
          <w:sz w:val="24"/>
          <w:szCs w:val="24"/>
        </w:rPr>
        <w:t>OBJETIVOS ESPECÍFICOS.</w:t>
      </w:r>
    </w:p>
    <w:p>
      <w:pPr>
        <w:autoSpaceDE w:val="0"/>
        <w:autoSpaceDN w:val="0"/>
        <w:adjustRightInd w:val="0"/>
        <w:spacing w:after="0" w:line="360" w:lineRule="auto"/>
        <w:jc w:val="both"/>
        <w:rPr>
          <w:rFonts w:ascii="Arial" w:eastAsia="Times New Roman" w:hAnsi="Arial" w:cs="Arial"/>
          <w:sz w:val="24"/>
          <w:szCs w:val="24"/>
        </w:rPr>
      </w:pP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Prestar asesoramiento jurídico a las mujeres de la Casa de Acogida.</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Favorecer que los derechos de la mujer se puedan ejercer en su plenitud.</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Realizar seguimiento de los derechos que amparan a la mujer, en relación a la Ley Orgánica 4/2000, de 11 de enero, sobre derechos y libertades de los extranjeros en España y su integración social.</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lastRenderedPageBreak/>
        <w:t>Realizar seguimiento de los derechos que amparan a la mujer en virtud de la Ley 4/2015, de 27 de abril, del Estatuto de la víctima del delito.</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Difusión de datos, estadísticas, resúmenes de informes de organismos, entidades especialistas en la temática</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Detectar la vulneración de derechos para denunciar ante los organismos pertinentes.</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Apoyar las acciones que se organicen en Gran Canaria en contra de la vulneración de derechos de víctimas de violencia de género o de apoyo a la eliminación de la misma.</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Colaboración y coordinación con otras entidades especializadas </w:t>
      </w:r>
    </w:p>
    <w:p>
      <w:pPr>
        <w:numPr>
          <w:ilvl w:val="0"/>
          <w:numId w:val="68"/>
        </w:numPr>
        <w:autoSpaceDE w:val="0"/>
        <w:autoSpaceDN w:val="0"/>
        <w:adjustRightInd w:val="0"/>
        <w:spacing w:after="0" w:line="360" w:lineRule="auto"/>
        <w:ind w:left="1066" w:hanging="357"/>
        <w:contextualSpacing/>
        <w:jc w:val="both"/>
        <w:rPr>
          <w:rFonts w:ascii="Arial" w:eastAsia="Times New Roman" w:hAnsi="Arial" w:cs="Arial"/>
          <w:sz w:val="24"/>
          <w:szCs w:val="24"/>
        </w:rPr>
      </w:pPr>
      <w:r>
        <w:rPr>
          <w:rFonts w:ascii="Arial" w:eastAsia="Times New Roman" w:hAnsi="Arial" w:cs="Arial"/>
          <w:sz w:val="24"/>
          <w:szCs w:val="24"/>
        </w:rPr>
        <w:t xml:space="preserve">Participar en las reuniones periódicas de la Red Insular contra la Violencia del Cabildo Insular de Gran Canaria. </w:t>
      </w:r>
    </w:p>
    <w:p>
      <w:pPr>
        <w:numPr>
          <w:ilvl w:val="0"/>
          <w:numId w:val="68"/>
        </w:numPr>
        <w:autoSpaceDE w:val="0"/>
        <w:autoSpaceDN w:val="0"/>
        <w:adjustRightInd w:val="0"/>
        <w:spacing w:after="0" w:line="360" w:lineRule="auto"/>
        <w:ind w:left="1066" w:hanging="357"/>
        <w:contextualSpacing/>
        <w:jc w:val="both"/>
        <w:rPr>
          <w:rFonts w:ascii="Arial" w:eastAsia="Times New Roman" w:hAnsi="Arial" w:cs="Arial"/>
          <w:sz w:val="24"/>
          <w:szCs w:val="24"/>
        </w:rPr>
      </w:pPr>
      <w:r>
        <w:rPr>
          <w:rFonts w:ascii="Arial" w:eastAsia="Times New Roman" w:hAnsi="Arial" w:cs="Arial"/>
          <w:sz w:val="24"/>
          <w:szCs w:val="24"/>
        </w:rPr>
        <w:t>Participar en las reuniones de la Red Española contra la Trata de Personas (RECTP) como miembro de la Red.</w:t>
      </w:r>
    </w:p>
    <w:p>
      <w:pPr>
        <w:numPr>
          <w:ilvl w:val="0"/>
          <w:numId w:val="68"/>
        </w:numPr>
        <w:spacing w:after="0" w:line="360" w:lineRule="auto"/>
        <w:jc w:val="both"/>
        <w:rPr>
          <w:rFonts w:ascii="Arial" w:eastAsia="Times New Roman" w:hAnsi="Arial" w:cs="Arial"/>
          <w:sz w:val="24"/>
          <w:szCs w:val="24"/>
        </w:rPr>
      </w:pPr>
      <w:r>
        <w:rPr>
          <w:rFonts w:ascii="Arial" w:eastAsia="Times New Roman" w:hAnsi="Arial" w:cs="Arial"/>
          <w:sz w:val="24"/>
          <w:szCs w:val="24"/>
        </w:rPr>
        <w:t>Asesorar jurídicamente y mantener actualizado al equipo técnico del programa, en las modificaciones operadas en la legislación que pueda afectar a VVG, VTSH y menores.</w:t>
      </w:r>
    </w:p>
    <w:p>
      <w:pPr>
        <w:numPr>
          <w:ilvl w:val="0"/>
          <w:numId w:val="68"/>
        </w:numPr>
        <w:spacing w:after="0" w:line="360" w:lineRule="auto"/>
        <w:contextualSpacing/>
        <w:rPr>
          <w:rFonts w:ascii="Arial" w:eastAsia="Times New Roman" w:hAnsi="Arial" w:cs="Arial"/>
          <w:sz w:val="24"/>
          <w:szCs w:val="24"/>
        </w:rPr>
      </w:pPr>
      <w:r>
        <w:rPr>
          <w:rFonts w:ascii="Arial" w:eastAsia="Times New Roman" w:hAnsi="Arial" w:cs="Arial"/>
          <w:sz w:val="24"/>
          <w:szCs w:val="24"/>
        </w:rPr>
        <w:t>Formación continua con el objetivo de mantenerse actualizado en todos los temas que tengan relación con el perfil de las usuarias del proyecto (Violencia de Género, Prostitución, Trata de Seres Humanos con fines de Explotación Sexual, Extranjería, etc.).</w:t>
      </w:r>
    </w:p>
    <w:p>
      <w:pPr>
        <w:spacing w:after="0" w:line="360" w:lineRule="auto"/>
        <w:ind w:left="1068"/>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C. METODOLOGÍA.</w:t>
      </w:r>
    </w:p>
    <w:p>
      <w:pPr>
        <w:spacing w:after="0" w:line="360" w:lineRule="auto"/>
        <w:ind w:left="720"/>
        <w:jc w:val="both"/>
        <w:rPr>
          <w:rFonts w:ascii="Arial" w:hAnsi="Arial" w:cs="Arial"/>
          <w:sz w:val="24"/>
          <w:szCs w:val="24"/>
        </w:rPr>
      </w:pPr>
    </w:p>
    <w:p>
      <w:pPr>
        <w:spacing w:after="0" w:line="360" w:lineRule="auto"/>
        <w:ind w:left="720"/>
        <w:jc w:val="both"/>
        <w:rPr>
          <w:rFonts w:ascii="Arial" w:hAnsi="Arial" w:cs="Arial"/>
          <w:sz w:val="24"/>
          <w:szCs w:val="24"/>
        </w:rPr>
      </w:pPr>
      <w:r>
        <w:rPr>
          <w:rFonts w:ascii="Arial" w:hAnsi="Arial" w:cs="Arial"/>
          <w:sz w:val="24"/>
          <w:szCs w:val="24"/>
        </w:rPr>
        <w:t>Las principales funciones que se desarrollan desde el área jurídica son:</w:t>
      </w:r>
    </w:p>
    <w:p>
      <w:pPr>
        <w:spacing w:after="0" w:line="360" w:lineRule="auto"/>
        <w:ind w:left="720"/>
        <w:jc w:val="both"/>
        <w:rPr>
          <w:rFonts w:ascii="Arial" w:hAnsi="Arial" w:cs="Arial"/>
          <w:sz w:val="24"/>
          <w:szCs w:val="24"/>
        </w:rPr>
      </w:pPr>
    </w:p>
    <w:p>
      <w:pPr>
        <w:numPr>
          <w:ilvl w:val="0"/>
          <w:numId w:val="69"/>
        </w:numPr>
        <w:spacing w:after="0" w:line="360" w:lineRule="auto"/>
        <w:jc w:val="both"/>
        <w:rPr>
          <w:rFonts w:ascii="Arial" w:hAnsi="Arial" w:cs="Arial"/>
          <w:sz w:val="24"/>
          <w:szCs w:val="24"/>
        </w:rPr>
      </w:pPr>
      <w:r>
        <w:rPr>
          <w:rFonts w:ascii="Arial" w:hAnsi="Arial" w:cs="Arial"/>
          <w:sz w:val="24"/>
          <w:szCs w:val="24"/>
        </w:rPr>
        <w:t xml:space="preserve">Atender, mayoritariamente de forma presencial, las consultas que plantean las mujeres sobre materias de diversa índole, tanto penal, administrativo, civil, laboral y, fundamentalmente, en materia de extranjería, mediante entrevista confidencial y respetuosa, considerando el impacto emocional y psicológico de las experiencias vividas. </w:t>
      </w:r>
    </w:p>
    <w:p>
      <w:pPr>
        <w:numPr>
          <w:ilvl w:val="0"/>
          <w:numId w:val="69"/>
        </w:numPr>
        <w:spacing w:after="0" w:line="360" w:lineRule="auto"/>
        <w:jc w:val="both"/>
        <w:rPr>
          <w:rFonts w:ascii="Arial" w:hAnsi="Arial" w:cs="Arial"/>
          <w:sz w:val="24"/>
          <w:szCs w:val="24"/>
        </w:rPr>
      </w:pPr>
      <w:r>
        <w:rPr>
          <w:rFonts w:ascii="Arial" w:hAnsi="Arial" w:cs="Arial"/>
          <w:sz w:val="24"/>
          <w:szCs w:val="24"/>
        </w:rPr>
        <w:lastRenderedPageBreak/>
        <w:t>Acompañar a las mujeres en los procesos judiciales o administrativos, prestando asistencia legal directa, garantizando protección y comprensión de sus derechos durante todo el proceso.</w:t>
      </w:r>
    </w:p>
    <w:p>
      <w:pPr>
        <w:numPr>
          <w:ilvl w:val="0"/>
          <w:numId w:val="69"/>
        </w:numPr>
        <w:spacing w:after="0" w:line="360" w:lineRule="auto"/>
        <w:jc w:val="both"/>
        <w:rPr>
          <w:rFonts w:ascii="Arial" w:hAnsi="Arial" w:cs="Arial"/>
          <w:sz w:val="24"/>
          <w:szCs w:val="24"/>
        </w:rPr>
      </w:pPr>
      <w:r>
        <w:rPr>
          <w:rFonts w:ascii="Arial" w:hAnsi="Arial" w:cs="Arial"/>
          <w:sz w:val="24"/>
          <w:szCs w:val="24"/>
        </w:rPr>
        <w:t>Resolver las dudas de las mujeres sobre la dinámica de la celebración de juicios, interrogatorios, práctica de pruebas, etc.</w:t>
      </w:r>
    </w:p>
    <w:p>
      <w:pPr>
        <w:numPr>
          <w:ilvl w:val="0"/>
          <w:numId w:val="69"/>
        </w:numPr>
        <w:spacing w:after="0" w:line="360" w:lineRule="auto"/>
        <w:jc w:val="both"/>
        <w:rPr>
          <w:rFonts w:ascii="Arial" w:hAnsi="Arial" w:cs="Arial"/>
          <w:sz w:val="24"/>
          <w:szCs w:val="24"/>
        </w:rPr>
      </w:pPr>
      <w:r>
        <w:rPr>
          <w:rFonts w:ascii="Arial" w:hAnsi="Arial" w:cs="Arial"/>
          <w:sz w:val="24"/>
          <w:szCs w:val="24"/>
        </w:rPr>
        <w:t>Preparar con antelación las declaraciones de las mujeres.</w:t>
      </w:r>
    </w:p>
    <w:p>
      <w:pPr>
        <w:numPr>
          <w:ilvl w:val="0"/>
          <w:numId w:val="69"/>
        </w:numPr>
        <w:spacing w:after="0" w:line="360" w:lineRule="auto"/>
        <w:jc w:val="both"/>
        <w:rPr>
          <w:rFonts w:ascii="Arial" w:hAnsi="Arial" w:cs="Arial"/>
          <w:sz w:val="24"/>
          <w:szCs w:val="24"/>
        </w:rPr>
      </w:pPr>
      <w:r>
        <w:rPr>
          <w:rFonts w:ascii="Arial" w:hAnsi="Arial" w:cs="Arial"/>
          <w:sz w:val="24"/>
          <w:szCs w:val="24"/>
        </w:rPr>
        <w:t xml:space="preserve">Seguimiento de los procedimientos donde las mujeres son parte, informando a las mujeres de las distintas cuestiones que plantean a lo largo de los mismos. </w:t>
      </w:r>
    </w:p>
    <w:p>
      <w:pPr>
        <w:numPr>
          <w:ilvl w:val="0"/>
          <w:numId w:val="69"/>
        </w:numPr>
        <w:spacing w:after="0" w:line="360" w:lineRule="auto"/>
        <w:jc w:val="both"/>
        <w:rPr>
          <w:rFonts w:ascii="Arial" w:hAnsi="Arial" w:cs="Arial"/>
          <w:sz w:val="24"/>
          <w:szCs w:val="24"/>
        </w:rPr>
      </w:pPr>
      <w:r>
        <w:rPr>
          <w:rFonts w:ascii="Arial" w:hAnsi="Arial" w:cs="Arial"/>
          <w:sz w:val="24"/>
          <w:szCs w:val="24"/>
        </w:rPr>
        <w:t xml:space="preserve">Contacto directo y colaboración con los abogados y abogadas que llevan la dirección legal de procedimientos judiciales mediante la asistencia jurídica gratuita. </w:t>
      </w:r>
    </w:p>
    <w:p>
      <w:pPr>
        <w:numPr>
          <w:ilvl w:val="0"/>
          <w:numId w:val="69"/>
        </w:numPr>
        <w:spacing w:after="0" w:line="360" w:lineRule="auto"/>
        <w:jc w:val="both"/>
        <w:rPr>
          <w:rFonts w:ascii="Arial" w:hAnsi="Arial" w:cs="Arial"/>
          <w:sz w:val="24"/>
          <w:szCs w:val="24"/>
        </w:rPr>
      </w:pPr>
      <w:r>
        <w:rPr>
          <w:rFonts w:ascii="Arial" w:hAnsi="Arial" w:cs="Arial"/>
          <w:sz w:val="24"/>
          <w:szCs w:val="24"/>
        </w:rPr>
        <w:t>Participar y asesorar al equipo técnico del Programa en la redacción y revisión de convenios, contratos y documentación legal, velando por su adecuación normativa y la protección de la entidad y de las mujeres.</w:t>
      </w:r>
    </w:p>
    <w:p>
      <w:pPr>
        <w:numPr>
          <w:ilvl w:val="0"/>
          <w:numId w:val="69"/>
        </w:numPr>
        <w:spacing w:after="0" w:line="360" w:lineRule="auto"/>
        <w:jc w:val="both"/>
        <w:rPr>
          <w:rFonts w:ascii="Arial" w:hAnsi="Arial" w:cs="Arial"/>
          <w:sz w:val="24"/>
          <w:szCs w:val="24"/>
        </w:rPr>
      </w:pPr>
      <w:r>
        <w:rPr>
          <w:rFonts w:ascii="Arial" w:hAnsi="Arial" w:cs="Arial"/>
          <w:sz w:val="24"/>
          <w:szCs w:val="24"/>
        </w:rPr>
        <w:t>Desarrollar actividades de formación (talleres, charlas, etc.) con enfoque de empoderamiento legal y derechos, abordando también temas jurídicos que sean de interés y utilidad para las mujeres.</w:t>
      </w:r>
    </w:p>
    <w:p>
      <w:pPr>
        <w:spacing w:after="0" w:line="360" w:lineRule="auto"/>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D. Nº DE MUJERES ATENDIDAS.</w:t>
      </w:r>
    </w:p>
    <w:p>
      <w:pPr>
        <w:spacing w:after="0" w:line="360" w:lineRule="auto"/>
        <w:rPr>
          <w:rFonts w:ascii="Arial" w:hAnsi="Arial" w:cs="Arial"/>
          <w:sz w:val="24"/>
          <w:szCs w:val="24"/>
        </w:rPr>
      </w:pPr>
    </w:p>
    <w:p>
      <w:pPr>
        <w:spacing w:after="0" w:line="360" w:lineRule="auto"/>
        <w:ind w:left="372"/>
        <w:rPr>
          <w:rFonts w:ascii="Arial" w:hAnsi="Arial" w:cs="Arial"/>
          <w:sz w:val="24"/>
          <w:szCs w:val="24"/>
        </w:rPr>
      </w:pPr>
      <w:r>
        <w:rPr>
          <w:rFonts w:ascii="Arial" w:hAnsi="Arial" w:cs="Arial"/>
          <w:sz w:val="24"/>
          <w:szCs w:val="24"/>
        </w:rPr>
        <w:t xml:space="preserve">Mujeres asesoradas jurídicamente de la Casa de Acogida Daniela:       15 mujeres. De las cuales: </w:t>
      </w:r>
    </w:p>
    <w:p>
      <w:pPr>
        <w:spacing w:after="0" w:line="360" w:lineRule="auto"/>
        <w:ind w:left="372"/>
        <w:rPr>
          <w:rFonts w:ascii="Arial" w:hAnsi="Arial" w:cs="Arial"/>
          <w:sz w:val="24"/>
          <w:szCs w:val="24"/>
        </w:rPr>
      </w:pPr>
    </w:p>
    <w:p>
      <w:pPr>
        <w:spacing w:after="0" w:line="360" w:lineRule="auto"/>
        <w:ind w:left="1080"/>
        <w:rPr>
          <w:rFonts w:ascii="Arial" w:hAnsi="Arial" w:cs="Arial"/>
          <w:sz w:val="24"/>
          <w:szCs w:val="24"/>
        </w:rPr>
      </w:pPr>
      <w:r>
        <w:rPr>
          <w:rFonts w:ascii="Arial" w:hAnsi="Arial" w:cs="Arial"/>
          <w:sz w:val="24"/>
          <w:szCs w:val="24"/>
        </w:rPr>
        <w:t>- Nº de mujeres víctimas de trata con fines de explotación sexual identificadas formalmente: 7 mujeres.</w:t>
      </w:r>
    </w:p>
    <w:p>
      <w:pPr>
        <w:spacing w:after="0" w:line="360" w:lineRule="auto"/>
        <w:ind w:left="1080"/>
        <w:rPr>
          <w:rFonts w:ascii="Arial" w:hAnsi="Arial" w:cs="Arial"/>
          <w:sz w:val="24"/>
          <w:szCs w:val="24"/>
        </w:rPr>
      </w:pPr>
      <w:r>
        <w:rPr>
          <w:rFonts w:ascii="Arial" w:hAnsi="Arial" w:cs="Arial"/>
          <w:sz w:val="24"/>
          <w:szCs w:val="24"/>
        </w:rPr>
        <w:t>- Nº de mujeres que presentan indicadores de ser víctimas de trata: 2 mujeres.</w:t>
      </w:r>
    </w:p>
    <w:p>
      <w:pPr>
        <w:spacing w:after="0" w:line="360" w:lineRule="auto"/>
        <w:ind w:left="1080"/>
        <w:rPr>
          <w:rFonts w:ascii="Arial" w:hAnsi="Arial" w:cs="Arial"/>
          <w:sz w:val="24"/>
          <w:szCs w:val="24"/>
        </w:rPr>
      </w:pPr>
      <w:r>
        <w:rPr>
          <w:rFonts w:ascii="Arial" w:hAnsi="Arial" w:cs="Arial"/>
          <w:sz w:val="24"/>
          <w:szCs w:val="24"/>
        </w:rPr>
        <w:t>- Nº de mujeres víctimas de trata con fines de explotación laboral identificada formalmente:1 mujer.</w:t>
      </w:r>
    </w:p>
    <w:p>
      <w:pPr>
        <w:spacing w:after="0" w:line="360" w:lineRule="auto"/>
        <w:ind w:left="1080"/>
        <w:rPr>
          <w:rFonts w:ascii="Arial" w:hAnsi="Arial" w:cs="Arial"/>
          <w:sz w:val="24"/>
          <w:szCs w:val="24"/>
        </w:rPr>
      </w:pPr>
      <w:r>
        <w:rPr>
          <w:rFonts w:ascii="Arial" w:hAnsi="Arial" w:cs="Arial"/>
          <w:sz w:val="24"/>
          <w:szCs w:val="24"/>
        </w:rPr>
        <w:t>- Nº de víctimas de otras formas de violencia de género: 5 mujeres.</w:t>
      </w:r>
    </w:p>
    <w:p>
      <w:pPr>
        <w:spacing w:after="0" w:line="240" w:lineRule="auto"/>
        <w:ind w:left="1080"/>
        <w:rPr>
          <w:rFonts w:ascii="Arial" w:hAnsi="Arial" w:cs="Arial"/>
          <w:sz w:val="24"/>
          <w:szCs w:val="24"/>
        </w:rPr>
      </w:pPr>
    </w:p>
    <w:p>
      <w:pPr>
        <w:spacing w:after="0" w:line="240" w:lineRule="auto"/>
        <w:ind w:left="1080"/>
        <w:rPr>
          <w:rFonts w:ascii="Arial" w:hAnsi="Arial" w:cs="Arial"/>
          <w:sz w:val="24"/>
          <w:szCs w:val="24"/>
        </w:rPr>
      </w:pPr>
    </w:p>
    <w:p>
      <w:pPr>
        <w:spacing w:after="0" w:line="240" w:lineRule="auto"/>
        <w:ind w:left="1080"/>
        <w:rPr>
          <w:rFonts w:ascii="Arial" w:hAnsi="Arial" w:cs="Arial"/>
          <w:sz w:val="24"/>
          <w:szCs w:val="24"/>
        </w:rPr>
      </w:pPr>
      <w:r>
        <w:rPr>
          <w:rFonts w:ascii="Arial" w:hAnsi="Arial" w:cs="Arial"/>
          <w:noProof/>
          <w:sz w:val="24"/>
          <w:szCs w:val="24"/>
          <w:lang w:eastAsia="es-ES"/>
        </w:rPr>
        <w:drawing>
          <wp:inline distT="0" distB="0" distL="0" distR="0">
            <wp:extent cx="5305425" cy="3467100"/>
            <wp:effectExtent l="0" t="0" r="952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spacing w:after="0" w:line="240" w:lineRule="auto"/>
        <w:ind w:left="1080"/>
        <w:rPr>
          <w:rFonts w:ascii="Arial" w:hAnsi="Arial" w:cs="Arial"/>
          <w:sz w:val="24"/>
          <w:szCs w:val="24"/>
        </w:rPr>
      </w:pPr>
    </w:p>
    <w:p>
      <w:pPr>
        <w:spacing w:after="0" w:line="240" w:lineRule="auto"/>
        <w:ind w:left="1080"/>
        <w:rPr>
          <w:rFonts w:ascii="Arial" w:hAnsi="Arial" w:cs="Arial"/>
          <w:sz w:val="24"/>
          <w:szCs w:val="24"/>
        </w:rPr>
      </w:pPr>
    </w:p>
    <w:p>
      <w:pPr>
        <w:spacing w:after="0" w:line="240" w:lineRule="auto"/>
        <w:ind w:left="1080"/>
        <w:rPr>
          <w:rFonts w:ascii="Arial" w:hAnsi="Arial" w:cs="Arial"/>
          <w:sz w:val="24"/>
          <w:szCs w:val="24"/>
        </w:rPr>
      </w:pPr>
    </w:p>
    <w:p>
      <w:pPr>
        <w:spacing w:after="0" w:line="240" w:lineRule="auto"/>
        <w:ind w:left="1080"/>
        <w:rPr>
          <w:rFonts w:ascii="Arial" w:hAnsi="Arial" w:cs="Arial"/>
          <w:sz w:val="24"/>
          <w:szCs w:val="24"/>
        </w:rPr>
      </w:pPr>
    </w:p>
    <w:p>
      <w:pPr>
        <w:shd w:val="clear" w:color="auto" w:fill="B2A1C7" w:themeFill="accent4" w:themeFillTint="99"/>
        <w:spacing w:after="0" w:line="240" w:lineRule="auto"/>
        <w:jc w:val="both"/>
        <w:rPr>
          <w:rFonts w:ascii="Arial" w:hAnsi="Arial" w:cs="Arial"/>
          <w:b/>
          <w:bCs/>
          <w:sz w:val="24"/>
          <w:szCs w:val="24"/>
        </w:rPr>
      </w:pPr>
      <w:r>
        <w:rPr>
          <w:rFonts w:ascii="Arial" w:hAnsi="Arial" w:cs="Arial"/>
          <w:b/>
          <w:bCs/>
          <w:sz w:val="24"/>
          <w:szCs w:val="24"/>
        </w:rPr>
        <w:t>E. CARACTERIZACIÓN DE LAS MUJERES ATENDIDAS (situación administrativa, nº de mujeres víctimas de trata, nº de mujeres víctimas de otro tipo de violencia de género…)</w:t>
      </w:r>
    </w:p>
    <w:p>
      <w:pPr>
        <w:spacing w:after="0" w:line="24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En la casa de Acogida han sido atendidas 8 mujeres identificadas como VTSH, 7 con fines de explotación sexual y 1 mujer víctima de trata con fines de explotación laboral. </w:t>
      </w:r>
    </w:p>
    <w:p>
      <w:pPr>
        <w:spacing w:after="0" w:line="360" w:lineRule="auto"/>
        <w:jc w:val="both"/>
        <w:rPr>
          <w:rFonts w:ascii="Arial" w:hAnsi="Arial" w:cs="Arial"/>
          <w:sz w:val="24"/>
          <w:szCs w:val="24"/>
        </w:rPr>
      </w:pPr>
      <w:r>
        <w:rPr>
          <w:rFonts w:ascii="Arial" w:hAnsi="Arial" w:cs="Arial"/>
          <w:sz w:val="24"/>
          <w:szCs w:val="24"/>
        </w:rPr>
        <w:t>El perfil que presentan, a grandes rasgos, las mujeres VTSH con fines de explotación sexual, es el siguiente: joven (20-30 años de edad), soltera, con hijos en país de origen, de origen latinoamericano (en su mayoría de Colombia), estudios de bachillerato sin homologar en España y escasa experiencia profesional.</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La mujer atendida entra a España con visado de turista y cuando es atendida, mayoritariamente, ya se encuentra en situación administrativa irregular. Una vez identificada por los cuerpos y fuerzas de seguridad del Estado como VTSH se inicia la tramitación del permiso por circunstancias excepcionales (59 bis). </w:t>
      </w:r>
    </w:p>
    <w:p>
      <w:pPr>
        <w:spacing w:after="0" w:line="360" w:lineRule="auto"/>
        <w:jc w:val="both"/>
        <w:rPr>
          <w:rFonts w:ascii="Arial" w:hAnsi="Arial" w:cs="Arial"/>
          <w:sz w:val="24"/>
          <w:szCs w:val="24"/>
        </w:rPr>
      </w:pPr>
      <w:r>
        <w:rPr>
          <w:rFonts w:ascii="Arial" w:hAnsi="Arial" w:cs="Arial"/>
          <w:sz w:val="24"/>
          <w:szCs w:val="24"/>
        </w:rPr>
        <w:lastRenderedPageBreak/>
        <w:t>En el supuesto de las mujeres atendidas no han sido identificadas como víctimas de trata, se ha tramitado la solicitud de protección internacional o su residencia cuando ha sido posible.</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Este año se ha atendido a una mujer víctima de trata con fines de explotación laboral promovido por su propio entorno familiar. Se trata de una mujer de origen africano, joven y cuya situación de vulnerabilidad fue aprovechada por sus tratantes para explotarla y obtener ingresos a su costa.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El resto de las mujeres que no se engloban en los dos grupos anteriores han sido víctimas de violencia de género, sobre todo en su país de origen, pero también en la ruta migratoria y al llegar a España. Su rango de edad es más amplio y su experiencia laboral es muy escasa. </w:t>
      </w:r>
    </w:p>
    <w:p>
      <w:pPr>
        <w:spacing w:after="0" w:line="240" w:lineRule="auto"/>
        <w:jc w:val="both"/>
        <w:rPr>
          <w:rFonts w:ascii="Arial" w:hAnsi="Arial" w:cs="Arial"/>
          <w:sz w:val="24"/>
          <w:szCs w:val="24"/>
        </w:rPr>
      </w:pPr>
    </w:p>
    <w:p>
      <w:pPr>
        <w:spacing w:after="0" w:line="240" w:lineRule="auto"/>
        <w:jc w:val="both"/>
        <w:rPr>
          <w:rFonts w:ascii="Arial" w:hAnsi="Arial" w:cs="Arial"/>
          <w:sz w:val="24"/>
          <w:szCs w:val="24"/>
        </w:rPr>
      </w:pPr>
    </w:p>
    <w:p>
      <w:pPr>
        <w:shd w:val="clear" w:color="auto" w:fill="B2A1C7" w:themeFill="accent4" w:themeFillTint="99"/>
        <w:spacing w:after="0" w:line="240" w:lineRule="auto"/>
        <w:jc w:val="both"/>
        <w:rPr>
          <w:rFonts w:ascii="Arial" w:hAnsi="Arial" w:cs="Arial"/>
          <w:b/>
          <w:bCs/>
          <w:sz w:val="24"/>
          <w:szCs w:val="24"/>
        </w:rPr>
      </w:pPr>
      <w:r>
        <w:rPr>
          <w:rFonts w:ascii="Arial" w:hAnsi="Arial" w:cs="Arial"/>
          <w:b/>
          <w:bCs/>
          <w:sz w:val="24"/>
          <w:szCs w:val="24"/>
        </w:rPr>
        <w:t>F. DEMANDAS PRESENTADAS.</w:t>
      </w:r>
    </w:p>
    <w:p>
      <w:pPr>
        <w:spacing w:after="0" w:line="240" w:lineRule="auto"/>
        <w:jc w:val="both"/>
        <w:rPr>
          <w:rFonts w:ascii="Arial" w:hAnsi="Arial" w:cs="Arial"/>
          <w:sz w:val="24"/>
          <w:szCs w:val="24"/>
        </w:rPr>
      </w:pPr>
    </w:p>
    <w:p>
      <w:pPr>
        <w:spacing w:after="0" w:line="240" w:lineRule="auto"/>
        <w:jc w:val="both"/>
        <w:rPr>
          <w:rFonts w:ascii="Arial" w:hAnsi="Arial" w:cs="Arial"/>
          <w:sz w:val="24"/>
          <w:szCs w:val="24"/>
        </w:rPr>
      </w:pPr>
      <w:r>
        <w:rPr>
          <w:rFonts w:ascii="Arial" w:hAnsi="Arial" w:cs="Arial"/>
          <w:sz w:val="24"/>
          <w:szCs w:val="24"/>
        </w:rPr>
        <w:t>Las demandas que han planteado las mujeres durante el año 2025, se encuadran dentro de las siguientes ramas del derecho:</w:t>
      </w:r>
    </w:p>
    <w:p>
      <w:pPr>
        <w:spacing w:after="0" w:line="240" w:lineRule="auto"/>
        <w:jc w:val="both"/>
        <w:rPr>
          <w:rFonts w:ascii="Arial" w:hAnsi="Arial" w:cs="Arial"/>
          <w:sz w:val="24"/>
          <w:szCs w:val="24"/>
        </w:rPr>
      </w:pPr>
    </w:p>
    <w:p>
      <w:pPr>
        <w:pStyle w:val="Prrafodelista"/>
        <w:numPr>
          <w:ilvl w:val="0"/>
          <w:numId w:val="143"/>
        </w:numPr>
        <w:spacing w:after="0" w:line="240" w:lineRule="auto"/>
        <w:jc w:val="both"/>
        <w:rPr>
          <w:rFonts w:ascii="Arial" w:hAnsi="Arial" w:cs="Arial"/>
          <w:sz w:val="24"/>
          <w:szCs w:val="24"/>
        </w:rPr>
      </w:pPr>
      <w:r>
        <w:rPr>
          <w:rFonts w:ascii="Arial" w:hAnsi="Arial" w:cs="Arial"/>
          <w:sz w:val="24"/>
          <w:szCs w:val="24"/>
          <w:u w:val="single"/>
        </w:rPr>
        <w:t>DERECHO ADMINISTRATIVO</w:t>
      </w:r>
      <w:r>
        <w:rPr>
          <w:rFonts w:ascii="Arial" w:hAnsi="Arial" w:cs="Arial"/>
          <w:sz w:val="24"/>
          <w:szCs w:val="24"/>
        </w:rPr>
        <w:t>: reclamaciones y recursos en vía administrativa.</w:t>
      </w:r>
    </w:p>
    <w:p>
      <w:pPr>
        <w:spacing w:after="0" w:line="240" w:lineRule="auto"/>
        <w:ind w:left="1080"/>
        <w:jc w:val="both"/>
        <w:rPr>
          <w:rFonts w:ascii="Arial" w:hAnsi="Arial" w:cs="Arial"/>
          <w:sz w:val="24"/>
          <w:szCs w:val="24"/>
        </w:rPr>
      </w:pPr>
    </w:p>
    <w:p>
      <w:pPr>
        <w:pStyle w:val="Prrafodelista"/>
        <w:numPr>
          <w:ilvl w:val="0"/>
          <w:numId w:val="143"/>
        </w:numPr>
        <w:spacing w:after="0" w:line="240" w:lineRule="auto"/>
        <w:jc w:val="both"/>
        <w:rPr>
          <w:rFonts w:ascii="Arial" w:hAnsi="Arial" w:cs="Arial"/>
          <w:sz w:val="24"/>
          <w:szCs w:val="24"/>
        </w:rPr>
      </w:pPr>
      <w:r>
        <w:rPr>
          <w:rFonts w:ascii="Arial" w:hAnsi="Arial" w:cs="Arial"/>
          <w:sz w:val="24"/>
          <w:szCs w:val="24"/>
          <w:u w:val="single"/>
        </w:rPr>
        <w:t>DERECHO CIVIL</w:t>
      </w:r>
      <w:r>
        <w:rPr>
          <w:rFonts w:ascii="Arial" w:hAnsi="Arial" w:cs="Arial"/>
          <w:sz w:val="24"/>
          <w:szCs w:val="24"/>
        </w:rPr>
        <w:t>: consultas sobre derecho de familia, menores y nacionalidad.</w:t>
      </w:r>
    </w:p>
    <w:p>
      <w:pPr>
        <w:spacing w:after="0" w:line="240" w:lineRule="auto"/>
        <w:jc w:val="both"/>
        <w:rPr>
          <w:rFonts w:ascii="Arial" w:hAnsi="Arial" w:cs="Arial"/>
          <w:sz w:val="24"/>
          <w:szCs w:val="24"/>
        </w:rPr>
      </w:pPr>
    </w:p>
    <w:p>
      <w:pPr>
        <w:pStyle w:val="Prrafodelista"/>
        <w:numPr>
          <w:ilvl w:val="0"/>
          <w:numId w:val="143"/>
        </w:numPr>
        <w:spacing w:after="0" w:line="240" w:lineRule="auto"/>
        <w:jc w:val="both"/>
        <w:rPr>
          <w:rFonts w:ascii="Arial" w:hAnsi="Arial" w:cs="Arial"/>
          <w:sz w:val="24"/>
          <w:szCs w:val="24"/>
        </w:rPr>
      </w:pPr>
      <w:r>
        <w:rPr>
          <w:rFonts w:ascii="Arial" w:hAnsi="Arial" w:cs="Arial"/>
          <w:sz w:val="24"/>
          <w:szCs w:val="24"/>
          <w:u w:val="single"/>
        </w:rPr>
        <w:t>DERECHO DE EXTRANJERÍA</w:t>
      </w:r>
      <w:r>
        <w:rPr>
          <w:rFonts w:ascii="Arial" w:hAnsi="Arial" w:cs="Arial"/>
          <w:sz w:val="24"/>
          <w:szCs w:val="24"/>
        </w:rPr>
        <w:t xml:space="preserve">: reconocimiento de víctimas de trata de seres humanos, regularización de su situación administrativa, solicitud de protección internacional y retorno voluntario. </w:t>
      </w:r>
    </w:p>
    <w:p>
      <w:pPr>
        <w:spacing w:after="0" w:line="240" w:lineRule="auto"/>
        <w:ind w:left="1080"/>
        <w:jc w:val="both"/>
        <w:rPr>
          <w:rFonts w:ascii="Arial" w:hAnsi="Arial" w:cs="Arial"/>
          <w:sz w:val="24"/>
          <w:szCs w:val="24"/>
          <w:u w:val="single"/>
        </w:rPr>
      </w:pPr>
    </w:p>
    <w:p>
      <w:pPr>
        <w:pStyle w:val="Prrafodelista"/>
        <w:numPr>
          <w:ilvl w:val="0"/>
          <w:numId w:val="143"/>
        </w:numPr>
        <w:spacing w:after="0" w:line="240" w:lineRule="auto"/>
        <w:jc w:val="both"/>
        <w:rPr>
          <w:rFonts w:ascii="Arial" w:hAnsi="Arial" w:cs="Arial"/>
          <w:sz w:val="24"/>
          <w:szCs w:val="24"/>
        </w:rPr>
      </w:pPr>
      <w:r>
        <w:rPr>
          <w:rFonts w:ascii="Arial" w:hAnsi="Arial" w:cs="Arial"/>
          <w:sz w:val="24"/>
          <w:szCs w:val="24"/>
          <w:u w:val="single"/>
        </w:rPr>
        <w:t>DERECHO LABORAL</w:t>
      </w:r>
      <w:r>
        <w:rPr>
          <w:rFonts w:ascii="Arial" w:hAnsi="Arial" w:cs="Arial"/>
          <w:sz w:val="24"/>
          <w:szCs w:val="24"/>
        </w:rPr>
        <w:t xml:space="preserve">: contratación laboral, derechos y obligaciones.   </w:t>
      </w:r>
    </w:p>
    <w:p>
      <w:pPr>
        <w:spacing w:after="0" w:line="240" w:lineRule="auto"/>
        <w:ind w:left="1080"/>
        <w:jc w:val="both"/>
        <w:rPr>
          <w:rFonts w:ascii="Arial" w:hAnsi="Arial" w:cs="Arial"/>
          <w:sz w:val="24"/>
          <w:szCs w:val="24"/>
          <w:u w:val="single"/>
        </w:rPr>
      </w:pPr>
    </w:p>
    <w:p>
      <w:pPr>
        <w:pStyle w:val="Prrafodelista"/>
        <w:numPr>
          <w:ilvl w:val="0"/>
          <w:numId w:val="143"/>
        </w:numPr>
        <w:spacing w:after="0" w:line="240" w:lineRule="auto"/>
        <w:jc w:val="both"/>
        <w:rPr>
          <w:rFonts w:ascii="Arial" w:hAnsi="Arial" w:cs="Arial"/>
          <w:sz w:val="24"/>
          <w:szCs w:val="24"/>
        </w:rPr>
      </w:pPr>
      <w:r>
        <w:rPr>
          <w:rFonts w:ascii="Arial" w:hAnsi="Arial" w:cs="Arial"/>
          <w:sz w:val="24"/>
          <w:szCs w:val="24"/>
          <w:u w:val="single"/>
        </w:rPr>
        <w:t>DERECHO PENAL:</w:t>
      </w:r>
      <w:r>
        <w:rPr>
          <w:rFonts w:ascii="Arial" w:hAnsi="Arial" w:cs="Arial"/>
          <w:sz w:val="24"/>
          <w:szCs w:val="24"/>
        </w:rPr>
        <w:t xml:space="preserve"> consultas sobre delitos de coacciones, violencia de género y doméstica, explotación laboral, amenazas, delitos contra la integridad sexual, etc.. </w:t>
      </w:r>
    </w:p>
    <w:p>
      <w:pPr>
        <w:spacing w:after="0" w:line="240" w:lineRule="auto"/>
        <w:jc w:val="both"/>
        <w:rPr>
          <w:rFonts w:ascii="Arial" w:hAnsi="Arial" w:cs="Arial"/>
          <w:sz w:val="24"/>
          <w:szCs w:val="24"/>
          <w:u w:val="single"/>
        </w:rPr>
      </w:pPr>
    </w:p>
    <w:p>
      <w:pPr>
        <w:spacing w:after="0" w:line="240" w:lineRule="auto"/>
        <w:jc w:val="both"/>
        <w:rPr>
          <w:rFonts w:ascii="Arial" w:hAnsi="Arial" w:cs="Arial"/>
          <w:sz w:val="24"/>
          <w:szCs w:val="24"/>
          <w:u w:val="single"/>
        </w:rPr>
      </w:pPr>
    </w:p>
    <w:p>
      <w:pPr>
        <w:spacing w:after="0" w:line="240" w:lineRule="auto"/>
        <w:jc w:val="both"/>
        <w:rPr>
          <w:rFonts w:ascii="Arial" w:hAnsi="Arial" w:cs="Arial"/>
          <w:sz w:val="24"/>
          <w:szCs w:val="24"/>
          <w:u w:val="single"/>
        </w:rPr>
      </w:pPr>
    </w:p>
    <w:p>
      <w:pPr>
        <w:spacing w:after="0" w:line="240" w:lineRule="auto"/>
        <w:jc w:val="both"/>
        <w:rPr>
          <w:rFonts w:ascii="Arial" w:hAnsi="Arial" w:cs="Arial"/>
          <w:sz w:val="24"/>
          <w:szCs w:val="24"/>
          <w:u w:val="single"/>
        </w:rPr>
      </w:pPr>
    </w:p>
    <w:p>
      <w:pPr>
        <w:spacing w:after="0" w:line="240" w:lineRule="auto"/>
        <w:jc w:val="both"/>
        <w:rPr>
          <w:rFonts w:ascii="Arial" w:hAnsi="Arial" w:cs="Arial"/>
          <w:sz w:val="24"/>
          <w:szCs w:val="24"/>
          <w:u w:val="single"/>
        </w:rPr>
      </w:pPr>
    </w:p>
    <w:p>
      <w:pPr>
        <w:spacing w:after="0" w:line="240" w:lineRule="auto"/>
        <w:jc w:val="both"/>
        <w:rPr>
          <w:rFonts w:ascii="Arial" w:hAnsi="Arial" w:cs="Arial"/>
          <w:sz w:val="24"/>
          <w:szCs w:val="24"/>
          <w:u w:val="single"/>
        </w:rPr>
      </w:pPr>
    </w:p>
    <w:p>
      <w:pPr>
        <w:spacing w:after="0" w:line="240" w:lineRule="auto"/>
        <w:ind w:left="1440"/>
        <w:contextualSpacing/>
        <w:jc w:val="both"/>
        <w:rPr>
          <w:rFonts w:ascii="Arial" w:hAnsi="Arial" w:cs="Arial"/>
          <w:sz w:val="24"/>
          <w:szCs w:val="24"/>
        </w:rPr>
      </w:pPr>
    </w:p>
    <w:p>
      <w:pPr>
        <w:shd w:val="clear" w:color="auto" w:fill="B2A1C7" w:themeFill="accent4" w:themeFillTint="99"/>
        <w:spacing w:after="0" w:line="240" w:lineRule="auto"/>
        <w:jc w:val="both"/>
        <w:rPr>
          <w:rFonts w:ascii="Arial" w:hAnsi="Arial" w:cs="Arial"/>
          <w:b/>
          <w:bCs/>
          <w:sz w:val="24"/>
          <w:szCs w:val="24"/>
        </w:rPr>
      </w:pPr>
      <w:r>
        <w:rPr>
          <w:rFonts w:ascii="Arial" w:hAnsi="Arial" w:cs="Arial"/>
          <w:b/>
          <w:bCs/>
          <w:sz w:val="24"/>
          <w:szCs w:val="24"/>
        </w:rPr>
        <w:lastRenderedPageBreak/>
        <w:t>G. ACTIVIDADES REALIZADAS</w:t>
      </w:r>
    </w:p>
    <w:p>
      <w:pPr>
        <w:spacing w:after="160" w:line="252" w:lineRule="auto"/>
        <w:jc w:val="both"/>
        <w:rPr>
          <w:rFonts w:ascii="Arial" w:hAnsi="Arial" w:cs="Arial"/>
          <w:sz w:val="24"/>
          <w:szCs w:val="24"/>
        </w:rPr>
      </w:pPr>
    </w:p>
    <w:p>
      <w:pPr>
        <w:spacing w:after="160" w:line="252" w:lineRule="auto"/>
        <w:jc w:val="both"/>
        <w:rPr>
          <w:rFonts w:ascii="Arial" w:hAnsi="Arial" w:cs="Arial"/>
          <w:sz w:val="24"/>
          <w:szCs w:val="24"/>
        </w:rPr>
      </w:pPr>
      <w:r>
        <w:rPr>
          <w:rFonts w:ascii="Arial" w:hAnsi="Arial" w:cs="Arial"/>
          <w:sz w:val="24"/>
          <w:szCs w:val="24"/>
        </w:rPr>
        <w:t xml:space="preserve">Se han realizado un total de </w:t>
      </w:r>
      <w:r>
        <w:rPr>
          <w:rFonts w:ascii="Arial" w:hAnsi="Arial" w:cs="Arial"/>
          <w:b/>
          <w:sz w:val="24"/>
          <w:szCs w:val="24"/>
          <w:u w:val="single"/>
        </w:rPr>
        <w:t>55 acciones</w:t>
      </w:r>
      <w:r>
        <w:rPr>
          <w:rFonts w:ascii="Arial" w:hAnsi="Arial" w:cs="Arial"/>
          <w:b/>
          <w:bCs/>
          <w:sz w:val="24"/>
          <w:szCs w:val="24"/>
        </w:rPr>
        <w:t xml:space="preserve"> </w:t>
      </w:r>
      <w:r>
        <w:rPr>
          <w:rFonts w:ascii="Arial" w:hAnsi="Arial" w:cs="Arial"/>
          <w:sz w:val="24"/>
          <w:szCs w:val="24"/>
        </w:rPr>
        <w:t xml:space="preserve">de asesoramiento jurídico, en muchos casos se ha procedido al estudio de casos posteriores a la entrevista, en relación a los siguientes contenidos: </w:t>
      </w:r>
    </w:p>
    <w:p>
      <w:pPr>
        <w:spacing w:after="160" w:line="252" w:lineRule="auto"/>
        <w:jc w:val="both"/>
        <w:rPr>
          <w:rFonts w:ascii="Arial" w:hAnsi="Arial" w:cs="Arial"/>
          <w:sz w:val="24"/>
          <w:szCs w:val="24"/>
        </w:rPr>
      </w:pPr>
    </w:p>
    <w:p>
      <w:pPr>
        <w:spacing w:after="160" w:line="252" w:lineRule="auto"/>
        <w:jc w:val="both"/>
        <w:rPr>
          <w:rFonts w:ascii="Arial" w:hAnsi="Arial" w:cs="Arial"/>
          <w:sz w:val="24"/>
          <w:szCs w:val="24"/>
          <w:u w:val="single"/>
        </w:rPr>
      </w:pPr>
      <w:r>
        <w:rPr>
          <w:rFonts w:ascii="Arial" w:hAnsi="Arial" w:cs="Arial"/>
          <w:sz w:val="24"/>
          <w:szCs w:val="24"/>
          <w:u w:val="single"/>
        </w:rPr>
        <w:t>DERECHO DE EXTRANJERÍA</w:t>
      </w:r>
    </w:p>
    <w:p>
      <w:pPr>
        <w:spacing w:after="160" w:line="252" w:lineRule="auto"/>
        <w:jc w:val="both"/>
        <w:rPr>
          <w:rFonts w:ascii="Arial" w:hAnsi="Arial" w:cs="Arial"/>
          <w:sz w:val="24"/>
          <w:szCs w:val="24"/>
        </w:rPr>
      </w:pPr>
      <w:r>
        <w:rPr>
          <w:rFonts w:ascii="Arial" w:hAnsi="Arial" w:cs="Arial"/>
          <w:sz w:val="24"/>
          <w:szCs w:val="24"/>
        </w:rPr>
        <w:t>Asesoramiento sobre permisos de residencia y trabajo, cédula de inscripción, tarjeta de identificación de extranjeros, renovación de permisos, solicitud de protección internacional, tanto para las mujeres como para sus descendientes, así como el seguimiento e información a la mujer de cada fase de su procedimiento.</w:t>
      </w:r>
    </w:p>
    <w:p>
      <w:pPr>
        <w:spacing w:after="160" w:line="252" w:lineRule="auto"/>
        <w:jc w:val="both"/>
        <w:rPr>
          <w:rFonts w:ascii="Arial" w:hAnsi="Arial" w:cs="Arial"/>
          <w:sz w:val="24"/>
          <w:szCs w:val="24"/>
        </w:rPr>
      </w:pPr>
      <w:r>
        <w:rPr>
          <w:rFonts w:ascii="Arial" w:hAnsi="Arial" w:cs="Arial"/>
          <w:sz w:val="24"/>
          <w:szCs w:val="24"/>
        </w:rPr>
        <w:t>Asesoramiento y tramitación de retorno voluntario.</w:t>
      </w:r>
    </w:p>
    <w:p>
      <w:pPr>
        <w:spacing w:after="160" w:line="252" w:lineRule="auto"/>
        <w:jc w:val="both"/>
        <w:rPr>
          <w:rFonts w:ascii="Arial" w:hAnsi="Arial" w:cs="Arial"/>
          <w:sz w:val="24"/>
          <w:szCs w:val="24"/>
        </w:rPr>
      </w:pPr>
    </w:p>
    <w:p>
      <w:pPr>
        <w:spacing w:after="160" w:line="252" w:lineRule="auto"/>
        <w:jc w:val="both"/>
        <w:rPr>
          <w:rFonts w:ascii="Arial" w:hAnsi="Arial" w:cs="Arial"/>
          <w:sz w:val="24"/>
          <w:szCs w:val="24"/>
          <w:u w:val="single"/>
        </w:rPr>
      </w:pPr>
      <w:r>
        <w:rPr>
          <w:rFonts w:ascii="Arial" w:hAnsi="Arial" w:cs="Arial"/>
          <w:sz w:val="24"/>
          <w:szCs w:val="24"/>
          <w:u w:val="single"/>
        </w:rPr>
        <w:t>DERECHO LABORAL</w:t>
      </w:r>
    </w:p>
    <w:p>
      <w:pPr>
        <w:spacing w:after="160" w:line="252" w:lineRule="auto"/>
        <w:jc w:val="both"/>
        <w:rPr>
          <w:rFonts w:ascii="Arial" w:hAnsi="Arial" w:cs="Arial"/>
          <w:sz w:val="24"/>
          <w:szCs w:val="24"/>
        </w:rPr>
      </w:pPr>
      <w:r>
        <w:rPr>
          <w:rFonts w:ascii="Arial" w:hAnsi="Arial" w:cs="Arial"/>
          <w:sz w:val="24"/>
          <w:szCs w:val="24"/>
        </w:rPr>
        <w:t xml:space="preserve">Las consultas realizadas han versado principalmente sobre los contratos de trabajo necesarios para la obtención de los permisos de residencia, sobre derechos de los trabajadores y despidos. </w:t>
      </w:r>
    </w:p>
    <w:p>
      <w:pPr>
        <w:spacing w:after="160" w:line="252" w:lineRule="auto"/>
        <w:jc w:val="both"/>
        <w:rPr>
          <w:rFonts w:ascii="Arial" w:hAnsi="Arial" w:cs="Arial"/>
          <w:sz w:val="24"/>
          <w:szCs w:val="24"/>
        </w:rPr>
      </w:pPr>
    </w:p>
    <w:p>
      <w:pPr>
        <w:spacing w:after="160" w:line="252" w:lineRule="auto"/>
        <w:jc w:val="both"/>
        <w:rPr>
          <w:rFonts w:ascii="Arial" w:hAnsi="Arial" w:cs="Arial"/>
          <w:sz w:val="24"/>
          <w:szCs w:val="24"/>
          <w:u w:val="single"/>
        </w:rPr>
      </w:pPr>
      <w:r>
        <w:rPr>
          <w:rFonts w:ascii="Arial" w:hAnsi="Arial" w:cs="Arial"/>
          <w:sz w:val="24"/>
          <w:szCs w:val="24"/>
          <w:u w:val="single"/>
        </w:rPr>
        <w:t>DERECHO CIVIL Y DE FAMILIA</w:t>
      </w:r>
    </w:p>
    <w:p>
      <w:pPr>
        <w:spacing w:after="0" w:line="240" w:lineRule="auto"/>
        <w:contextualSpacing/>
        <w:jc w:val="both"/>
        <w:rPr>
          <w:rFonts w:ascii="Arial" w:hAnsi="Arial" w:cs="Arial"/>
          <w:sz w:val="24"/>
          <w:szCs w:val="24"/>
        </w:rPr>
      </w:pPr>
      <w:r>
        <w:rPr>
          <w:rFonts w:ascii="Arial" w:hAnsi="Arial" w:cs="Arial"/>
          <w:sz w:val="24"/>
          <w:szCs w:val="24"/>
        </w:rPr>
        <w:t>Consultas sobre arrendamientos urbanos, interpretación de contratos y derechos de los arrendatarios.</w:t>
      </w:r>
    </w:p>
    <w:p>
      <w:pPr>
        <w:spacing w:after="0" w:line="240" w:lineRule="auto"/>
        <w:contextualSpacing/>
        <w:jc w:val="both"/>
        <w:rPr>
          <w:rFonts w:ascii="Arial" w:hAnsi="Arial" w:cs="Arial"/>
          <w:sz w:val="24"/>
          <w:szCs w:val="24"/>
        </w:rPr>
      </w:pPr>
      <w:r>
        <w:rPr>
          <w:rFonts w:ascii="Arial" w:hAnsi="Arial" w:cs="Arial"/>
          <w:sz w:val="24"/>
          <w:szCs w:val="24"/>
        </w:rPr>
        <w:t>Consultas sobre relaciones paterno filiales: patria potestad, guarda y custodia, pensión de alimentos, derecho de visitas, reclamación de paternidad, filiación, etc.</w:t>
      </w:r>
    </w:p>
    <w:p>
      <w:pPr>
        <w:spacing w:after="0" w:line="240" w:lineRule="auto"/>
        <w:contextualSpacing/>
        <w:jc w:val="both"/>
        <w:rPr>
          <w:rFonts w:ascii="Arial" w:hAnsi="Arial" w:cs="Arial"/>
          <w:sz w:val="24"/>
          <w:szCs w:val="24"/>
        </w:rPr>
      </w:pPr>
      <w:r>
        <w:rPr>
          <w:rFonts w:ascii="Arial" w:hAnsi="Arial" w:cs="Arial"/>
          <w:sz w:val="24"/>
          <w:szCs w:val="24"/>
        </w:rPr>
        <w:t>Validez y eficacia de resoluciones judiciales, poderes y otros documentos públicos otorgados en el extranjero.</w:t>
      </w:r>
    </w:p>
    <w:p>
      <w:pPr>
        <w:spacing w:after="0" w:line="240" w:lineRule="auto"/>
        <w:contextualSpacing/>
        <w:jc w:val="both"/>
        <w:rPr>
          <w:rFonts w:ascii="Arial" w:hAnsi="Arial" w:cs="Arial"/>
          <w:sz w:val="24"/>
          <w:szCs w:val="24"/>
        </w:rPr>
      </w:pPr>
      <w:r>
        <w:rPr>
          <w:rFonts w:ascii="Arial" w:hAnsi="Arial" w:cs="Arial"/>
          <w:sz w:val="24"/>
          <w:szCs w:val="24"/>
        </w:rPr>
        <w:t>Consultas sobre solicitud de nacionalidad española (requisitos, documentación necesaria, etc.).</w:t>
      </w:r>
    </w:p>
    <w:p>
      <w:pPr>
        <w:spacing w:after="0" w:line="240" w:lineRule="auto"/>
        <w:contextualSpacing/>
        <w:jc w:val="both"/>
        <w:rPr>
          <w:rFonts w:ascii="Arial" w:hAnsi="Arial" w:cs="Arial"/>
          <w:sz w:val="24"/>
          <w:szCs w:val="24"/>
        </w:rPr>
      </w:pPr>
    </w:p>
    <w:p>
      <w:pPr>
        <w:spacing w:after="0" w:line="240" w:lineRule="auto"/>
        <w:contextualSpacing/>
        <w:jc w:val="both"/>
        <w:rPr>
          <w:rFonts w:ascii="Arial" w:hAnsi="Arial" w:cs="Arial"/>
          <w:sz w:val="24"/>
          <w:szCs w:val="24"/>
        </w:rPr>
      </w:pPr>
    </w:p>
    <w:p>
      <w:pPr>
        <w:spacing w:after="0" w:line="240" w:lineRule="auto"/>
        <w:contextualSpacing/>
        <w:jc w:val="both"/>
        <w:rPr>
          <w:rFonts w:ascii="Arial" w:hAnsi="Arial" w:cs="Arial"/>
          <w:sz w:val="24"/>
          <w:szCs w:val="24"/>
          <w:u w:val="single"/>
        </w:rPr>
      </w:pPr>
      <w:r>
        <w:rPr>
          <w:rFonts w:ascii="Arial" w:hAnsi="Arial" w:cs="Arial"/>
          <w:sz w:val="24"/>
          <w:szCs w:val="24"/>
          <w:u w:val="single"/>
        </w:rPr>
        <w:t>DERECHO PENAL</w:t>
      </w:r>
    </w:p>
    <w:p>
      <w:pPr>
        <w:spacing w:after="0" w:line="240" w:lineRule="auto"/>
        <w:contextualSpacing/>
        <w:jc w:val="both"/>
        <w:rPr>
          <w:rFonts w:ascii="Arial" w:hAnsi="Arial" w:cs="Arial"/>
          <w:sz w:val="24"/>
          <w:szCs w:val="24"/>
          <w:u w:val="single"/>
        </w:rPr>
      </w:pPr>
    </w:p>
    <w:p>
      <w:pPr>
        <w:spacing w:after="0" w:line="240" w:lineRule="auto"/>
        <w:contextualSpacing/>
        <w:jc w:val="both"/>
        <w:rPr>
          <w:rFonts w:ascii="Arial" w:hAnsi="Arial" w:cs="Arial"/>
          <w:sz w:val="24"/>
          <w:szCs w:val="24"/>
        </w:rPr>
      </w:pPr>
      <w:r>
        <w:rPr>
          <w:rFonts w:ascii="Arial" w:hAnsi="Arial" w:cs="Arial"/>
          <w:sz w:val="24"/>
          <w:szCs w:val="24"/>
        </w:rPr>
        <w:t>Consulta sobre mediación penal en delitos leves.</w:t>
      </w:r>
    </w:p>
    <w:p>
      <w:pPr>
        <w:spacing w:after="160" w:line="252" w:lineRule="auto"/>
        <w:jc w:val="both"/>
        <w:rPr>
          <w:rFonts w:ascii="Arial" w:hAnsi="Arial" w:cs="Arial"/>
          <w:sz w:val="24"/>
          <w:szCs w:val="24"/>
        </w:rPr>
      </w:pPr>
      <w:r>
        <w:rPr>
          <w:rFonts w:ascii="Arial" w:hAnsi="Arial" w:cs="Arial"/>
          <w:sz w:val="24"/>
          <w:szCs w:val="24"/>
        </w:rPr>
        <w:t>Orientación y consultas sobre asuntos penales vinculados a los siguientes delitos:  delitos sexuales, violencia doméstica, violencia de género, amenazas, coacciones, etc. Denuncias por extravío/robo de documentación.</w:t>
      </w:r>
    </w:p>
    <w:p>
      <w:pPr>
        <w:spacing w:after="160" w:line="252" w:lineRule="auto"/>
        <w:jc w:val="both"/>
        <w:rPr>
          <w:rFonts w:ascii="Arial" w:hAnsi="Arial" w:cs="Arial"/>
          <w:sz w:val="24"/>
          <w:szCs w:val="24"/>
        </w:rPr>
      </w:pPr>
    </w:p>
    <w:p>
      <w:pPr>
        <w:spacing w:after="160" w:line="252" w:lineRule="auto"/>
        <w:jc w:val="both"/>
        <w:rPr>
          <w:rFonts w:ascii="Arial" w:hAnsi="Arial" w:cs="Arial"/>
          <w:sz w:val="24"/>
          <w:szCs w:val="24"/>
        </w:rPr>
      </w:pPr>
    </w:p>
    <w:p>
      <w:pPr>
        <w:spacing w:after="160" w:line="252" w:lineRule="auto"/>
        <w:jc w:val="both"/>
        <w:rPr>
          <w:rFonts w:ascii="Arial" w:hAnsi="Arial" w:cs="Arial"/>
          <w:sz w:val="24"/>
          <w:szCs w:val="24"/>
          <w:u w:val="single"/>
        </w:rPr>
      </w:pPr>
      <w:r>
        <w:rPr>
          <w:rFonts w:ascii="Arial" w:hAnsi="Arial" w:cs="Arial"/>
          <w:sz w:val="24"/>
          <w:szCs w:val="24"/>
          <w:u w:val="single"/>
        </w:rPr>
        <w:lastRenderedPageBreak/>
        <w:t>DERECHO ADMINISTRATIVO</w:t>
      </w:r>
    </w:p>
    <w:p>
      <w:pPr>
        <w:spacing w:after="160" w:line="360" w:lineRule="auto"/>
        <w:jc w:val="both"/>
        <w:rPr>
          <w:rFonts w:ascii="Arial" w:hAnsi="Arial" w:cs="Arial"/>
          <w:sz w:val="24"/>
          <w:szCs w:val="24"/>
        </w:rPr>
      </w:pPr>
      <w:r>
        <w:rPr>
          <w:rFonts w:ascii="Arial" w:hAnsi="Arial" w:cs="Arial"/>
          <w:sz w:val="24"/>
          <w:szCs w:val="24"/>
        </w:rPr>
        <w:t>Trámites ante entidades gubernamentales (Registro Civil, Ministerio de Interior, etc.).</w:t>
      </w:r>
    </w:p>
    <w:p>
      <w:pPr>
        <w:spacing w:after="0" w:line="360" w:lineRule="auto"/>
        <w:contextualSpacing/>
        <w:jc w:val="both"/>
        <w:rPr>
          <w:rFonts w:ascii="Arial" w:hAnsi="Arial" w:cs="Arial"/>
          <w:sz w:val="24"/>
          <w:szCs w:val="24"/>
          <w:u w:val="single"/>
        </w:rPr>
      </w:pPr>
      <w:r>
        <w:rPr>
          <w:rFonts w:ascii="Arial" w:hAnsi="Arial" w:cs="Arial"/>
          <w:sz w:val="24"/>
          <w:szCs w:val="24"/>
          <w:u w:val="single"/>
        </w:rPr>
        <w:t>OTROS</w:t>
      </w:r>
    </w:p>
    <w:p>
      <w:pPr>
        <w:spacing w:after="0" w:line="360" w:lineRule="auto"/>
        <w:contextualSpacing/>
        <w:jc w:val="both"/>
        <w:rPr>
          <w:rFonts w:ascii="Arial" w:hAnsi="Arial" w:cs="Arial"/>
          <w:sz w:val="24"/>
          <w:szCs w:val="24"/>
        </w:rPr>
      </w:pPr>
      <w:r>
        <w:rPr>
          <w:rFonts w:ascii="Arial" w:hAnsi="Arial" w:cs="Arial"/>
          <w:sz w:val="24"/>
          <w:szCs w:val="24"/>
        </w:rPr>
        <w:t>Se han realizado acompañamientos y solicitud de información sobre los procedimientos de las mujeres para la realización de trámites varios ante distintos organismos, a saber: juzgados, Subdelegación del Gobierno (Extranjería), Policía, Registro Civil, entre otros.</w:t>
      </w:r>
    </w:p>
    <w:p>
      <w:pPr>
        <w:spacing w:after="160" w:line="360" w:lineRule="auto"/>
        <w:jc w:val="both"/>
        <w:rPr>
          <w:rFonts w:ascii="Arial" w:hAnsi="Arial" w:cs="Arial"/>
          <w:sz w:val="24"/>
          <w:szCs w:val="24"/>
        </w:rPr>
      </w:pPr>
      <w:r>
        <w:rPr>
          <w:rFonts w:ascii="Arial" w:hAnsi="Arial" w:cs="Arial"/>
          <w:sz w:val="24"/>
          <w:szCs w:val="24"/>
        </w:rPr>
        <w:t xml:space="preserve">1º.- Se ha realizado, a lo largo del año catorce acompañamientos a las mujeres y más de veinte coordinaciones con otros agentes para la realización de diversos trámites en Ayuntamiento de Las Palmas de Gran Canaria, comisaría, juzgados, Subdelegación del Gobierno (Extranjería), etc. </w:t>
      </w:r>
    </w:p>
    <w:p>
      <w:pPr>
        <w:spacing w:after="160" w:line="360" w:lineRule="auto"/>
        <w:jc w:val="both"/>
        <w:rPr>
          <w:rFonts w:ascii="Arial" w:hAnsi="Arial" w:cs="Arial"/>
          <w:sz w:val="24"/>
          <w:szCs w:val="24"/>
        </w:rPr>
      </w:pPr>
      <w:r>
        <w:rPr>
          <w:rFonts w:ascii="Arial" w:hAnsi="Arial" w:cs="Arial"/>
          <w:sz w:val="24"/>
          <w:szCs w:val="24"/>
        </w:rPr>
        <w:t>2º.- A lo largo del año, se ha participado en reuniones con los representantes de distintas entidades, organismos públicos y Fuerzas y Cuerpos de Seguridad del Estado. Entre otras, se destacan las siguientes:</w:t>
      </w:r>
    </w:p>
    <w:p>
      <w:pPr>
        <w:spacing w:after="160" w:line="360" w:lineRule="auto"/>
        <w:ind w:left="567"/>
        <w:jc w:val="both"/>
        <w:rPr>
          <w:rFonts w:ascii="Arial" w:hAnsi="Arial" w:cs="Arial"/>
          <w:sz w:val="24"/>
          <w:szCs w:val="24"/>
        </w:rPr>
      </w:pPr>
      <w:r>
        <w:rPr>
          <w:rFonts w:ascii="Arial" w:hAnsi="Arial" w:cs="Arial"/>
          <w:sz w:val="24"/>
          <w:szCs w:val="24"/>
        </w:rPr>
        <w:t>- Mesa de Migraciones convocada por Pastoral de Migraciones (26 de mayo y 17 de noviembre de 2025)</w:t>
      </w:r>
    </w:p>
    <w:p>
      <w:pPr>
        <w:spacing w:after="160" w:line="360" w:lineRule="auto"/>
        <w:ind w:left="567"/>
        <w:jc w:val="both"/>
        <w:rPr>
          <w:rFonts w:ascii="Arial" w:hAnsi="Arial" w:cs="Arial"/>
          <w:sz w:val="24"/>
          <w:szCs w:val="24"/>
        </w:rPr>
      </w:pPr>
      <w:r>
        <w:rPr>
          <w:rFonts w:ascii="Arial" w:hAnsi="Arial" w:cs="Arial"/>
          <w:sz w:val="24"/>
          <w:szCs w:val="24"/>
        </w:rPr>
        <w:t>- Reunión del grupo “En Red.Contigo” en la sede de Centro Lugo (Cáritas) el 20 de marzo de 2025.</w:t>
      </w:r>
    </w:p>
    <w:p>
      <w:pPr>
        <w:spacing w:after="160" w:line="360" w:lineRule="auto"/>
        <w:ind w:left="567"/>
        <w:jc w:val="both"/>
        <w:rPr>
          <w:rFonts w:ascii="Arial" w:hAnsi="Arial" w:cs="Arial"/>
          <w:sz w:val="24"/>
          <w:szCs w:val="24"/>
        </w:rPr>
      </w:pPr>
      <w:r>
        <w:rPr>
          <w:rFonts w:ascii="Arial" w:hAnsi="Arial" w:cs="Arial"/>
          <w:sz w:val="24"/>
          <w:szCs w:val="24"/>
        </w:rPr>
        <w:t>-Reuniones convocadas por la Red contra la Violencia del Cabildo de Gran Canaria (21 de febrero, 20 de junio,26 de septiembre y 28 de noviembre de 2025).</w:t>
      </w:r>
    </w:p>
    <w:p>
      <w:pPr>
        <w:spacing w:after="160" w:line="360" w:lineRule="auto"/>
        <w:ind w:left="567"/>
        <w:jc w:val="both"/>
        <w:rPr>
          <w:rFonts w:ascii="Arial" w:hAnsi="Arial" w:cs="Arial"/>
          <w:sz w:val="24"/>
          <w:szCs w:val="24"/>
        </w:rPr>
      </w:pPr>
      <w:r>
        <w:rPr>
          <w:rFonts w:ascii="Arial" w:hAnsi="Arial" w:cs="Arial"/>
          <w:sz w:val="24"/>
          <w:szCs w:val="24"/>
        </w:rPr>
        <w:t>- Tres reuniones con UCRIF de la Policía Nacional en Comisaría de Las Palmas (25 de abril, 22 de julio y 22 de octubre de 2025).</w:t>
      </w:r>
    </w:p>
    <w:p>
      <w:pPr>
        <w:spacing w:after="160" w:line="360" w:lineRule="auto"/>
        <w:ind w:left="567"/>
        <w:jc w:val="both"/>
        <w:rPr>
          <w:rFonts w:ascii="Arial" w:hAnsi="Arial" w:cs="Arial"/>
          <w:sz w:val="24"/>
          <w:szCs w:val="24"/>
        </w:rPr>
      </w:pPr>
      <w:r>
        <w:rPr>
          <w:rFonts w:ascii="Arial" w:hAnsi="Arial" w:cs="Arial"/>
          <w:sz w:val="24"/>
          <w:szCs w:val="24"/>
        </w:rPr>
        <w:t xml:space="preserve">- Dos reuniones con Grupo Especializado en Trata de la Guardia Civil de Las Palmas en la sede del Programa Oblatas Daniela a lo largo del año. </w:t>
      </w:r>
    </w:p>
    <w:p>
      <w:pPr>
        <w:spacing w:after="160" w:line="360" w:lineRule="auto"/>
        <w:ind w:left="567"/>
        <w:jc w:val="both"/>
        <w:rPr>
          <w:rFonts w:ascii="Arial" w:hAnsi="Arial" w:cs="Arial"/>
          <w:sz w:val="24"/>
          <w:szCs w:val="24"/>
        </w:rPr>
      </w:pPr>
      <w:r>
        <w:rPr>
          <w:rFonts w:ascii="Arial" w:hAnsi="Arial" w:cs="Arial"/>
          <w:sz w:val="24"/>
          <w:szCs w:val="24"/>
        </w:rPr>
        <w:t>- Reunión con el Consulado de Colombia en Las Palmas, el 8 de octubre de 2025.</w:t>
      </w:r>
    </w:p>
    <w:p>
      <w:pPr>
        <w:spacing w:after="160" w:line="360" w:lineRule="auto"/>
        <w:ind w:left="567"/>
        <w:jc w:val="both"/>
        <w:rPr>
          <w:rFonts w:ascii="Arial" w:hAnsi="Arial" w:cs="Arial"/>
          <w:sz w:val="24"/>
          <w:szCs w:val="24"/>
        </w:rPr>
      </w:pPr>
      <w:r>
        <w:rPr>
          <w:rFonts w:ascii="Arial" w:hAnsi="Arial" w:cs="Arial"/>
          <w:sz w:val="24"/>
          <w:szCs w:val="24"/>
        </w:rPr>
        <w:t>- Reunión con el Interlocutor Social Nacional de UCRIF y entidades especializadas el 5 de noviembre de 2025, en la Comisaría Centro de Las Palmas.</w:t>
      </w:r>
    </w:p>
    <w:p>
      <w:pPr>
        <w:spacing w:after="160" w:line="360" w:lineRule="auto"/>
        <w:ind w:left="567"/>
        <w:jc w:val="both"/>
        <w:rPr>
          <w:rFonts w:ascii="Arial" w:hAnsi="Arial" w:cs="Arial"/>
          <w:sz w:val="24"/>
          <w:szCs w:val="24"/>
        </w:rPr>
      </w:pPr>
      <w:r>
        <w:rPr>
          <w:rFonts w:ascii="Arial" w:hAnsi="Arial" w:cs="Arial"/>
          <w:sz w:val="24"/>
          <w:szCs w:val="24"/>
        </w:rPr>
        <w:lastRenderedPageBreak/>
        <w:t xml:space="preserve">- Reunión con Fiscal Delegada para Extranjería en Las Palmas, doña Teseida Garcia, en la sede de fiscalía, el 27 de noviembre de 2025, junto con otras entidades especializadas. </w:t>
      </w:r>
    </w:p>
    <w:p>
      <w:pPr>
        <w:spacing w:after="160" w:line="360" w:lineRule="auto"/>
        <w:ind w:left="567"/>
        <w:jc w:val="both"/>
        <w:rPr>
          <w:rFonts w:ascii="Arial" w:hAnsi="Arial" w:cs="Arial"/>
          <w:sz w:val="24"/>
          <w:szCs w:val="24"/>
        </w:rPr>
      </w:pPr>
      <w:r>
        <w:rPr>
          <w:rFonts w:ascii="Arial" w:hAnsi="Arial" w:cs="Arial"/>
          <w:sz w:val="24"/>
          <w:szCs w:val="24"/>
        </w:rPr>
        <w:t>- Reunión con grupo de extranjería y trata de la Comisaría de Policía Nacional de Puerto del Rosario (Fuerteventura), el 2 de diciembre de 2025, en las dependencias de Puerto del Rosario</w:t>
      </w:r>
    </w:p>
    <w:p>
      <w:pPr>
        <w:spacing w:after="160" w:line="360" w:lineRule="auto"/>
        <w:jc w:val="both"/>
        <w:rPr>
          <w:rFonts w:ascii="Arial" w:hAnsi="Arial" w:cs="Arial"/>
          <w:sz w:val="24"/>
          <w:szCs w:val="24"/>
        </w:rPr>
      </w:pPr>
      <w:r>
        <w:rPr>
          <w:rFonts w:ascii="Arial" w:hAnsi="Arial" w:cs="Arial"/>
          <w:sz w:val="24"/>
          <w:szCs w:val="24"/>
        </w:rPr>
        <w:t xml:space="preserve">3º.- Acciones formativas realizadas: </w:t>
      </w:r>
    </w:p>
    <w:p>
      <w:pPr>
        <w:spacing w:after="160" w:line="360" w:lineRule="auto"/>
        <w:ind w:left="567"/>
        <w:contextualSpacing/>
        <w:jc w:val="both"/>
        <w:rPr>
          <w:rFonts w:ascii="Arial" w:hAnsi="Arial" w:cs="Arial"/>
          <w:sz w:val="24"/>
          <w:szCs w:val="24"/>
        </w:rPr>
      </w:pPr>
      <w:r>
        <w:rPr>
          <w:rFonts w:ascii="Arial" w:hAnsi="Arial" w:cs="Arial"/>
          <w:sz w:val="24"/>
          <w:szCs w:val="24"/>
        </w:rPr>
        <w:t>- Formación sobre “Counselling y escucha”, organizado por la Diócesis de Canarias, de octubre de 2024 a mayo de 2025, presencial, 50 horas lectivas.</w:t>
      </w:r>
    </w:p>
    <w:p>
      <w:pPr>
        <w:spacing w:after="160" w:line="360" w:lineRule="auto"/>
        <w:ind w:left="567"/>
        <w:contextualSpacing/>
        <w:jc w:val="both"/>
        <w:rPr>
          <w:rFonts w:ascii="Arial" w:hAnsi="Arial" w:cs="Arial"/>
          <w:sz w:val="24"/>
          <w:szCs w:val="24"/>
        </w:rPr>
      </w:pPr>
      <w:r>
        <w:rPr>
          <w:rFonts w:ascii="Arial" w:hAnsi="Arial" w:cs="Arial"/>
          <w:sz w:val="24"/>
          <w:szCs w:val="24"/>
        </w:rPr>
        <w:t>- Jornada de Médicos del Mundo, en la sede del Gabinete Literario, el 7 de abril de 2025.</w:t>
      </w:r>
    </w:p>
    <w:p>
      <w:pPr>
        <w:spacing w:after="160" w:line="360" w:lineRule="auto"/>
        <w:ind w:left="567"/>
        <w:contextualSpacing/>
        <w:jc w:val="both"/>
        <w:rPr>
          <w:rFonts w:ascii="Arial" w:hAnsi="Arial" w:cs="Arial"/>
          <w:sz w:val="24"/>
          <w:szCs w:val="24"/>
        </w:rPr>
      </w:pPr>
      <w:r>
        <w:rPr>
          <w:rFonts w:ascii="Arial" w:hAnsi="Arial" w:cs="Arial"/>
          <w:sz w:val="24"/>
          <w:szCs w:val="24"/>
        </w:rPr>
        <w:t xml:space="preserve">- Jornada sobre “Migraciones y duelo”, organizadas por el Centro de Formación del Profesorado de Las Palmas, el 7 y 8 de mayo de 2025. </w:t>
      </w:r>
    </w:p>
    <w:p>
      <w:pPr>
        <w:spacing w:after="160" w:line="360" w:lineRule="auto"/>
        <w:ind w:left="567"/>
        <w:contextualSpacing/>
        <w:jc w:val="both"/>
        <w:rPr>
          <w:rFonts w:ascii="Arial" w:hAnsi="Arial" w:cs="Arial"/>
          <w:sz w:val="24"/>
          <w:szCs w:val="24"/>
        </w:rPr>
      </w:pPr>
      <w:r>
        <w:rPr>
          <w:rFonts w:ascii="Arial" w:hAnsi="Arial" w:cs="Arial"/>
          <w:sz w:val="24"/>
          <w:szCs w:val="24"/>
        </w:rPr>
        <w:t xml:space="preserve">- Presentación de la Guía Práctica sobre Reglamento de Extranjería, en la sede del Cabildo de Gran Canaria, el 11 de junio de 2025. </w:t>
      </w:r>
    </w:p>
    <w:p>
      <w:pPr>
        <w:spacing w:after="160" w:line="360" w:lineRule="auto"/>
        <w:ind w:left="567"/>
        <w:contextualSpacing/>
        <w:jc w:val="both"/>
        <w:rPr>
          <w:rFonts w:ascii="Arial" w:hAnsi="Arial" w:cs="Arial"/>
          <w:sz w:val="24"/>
          <w:szCs w:val="24"/>
        </w:rPr>
      </w:pPr>
      <w:r>
        <w:rPr>
          <w:rFonts w:ascii="Arial" w:hAnsi="Arial" w:cs="Arial"/>
          <w:sz w:val="24"/>
          <w:szCs w:val="24"/>
        </w:rPr>
        <w:t>- “Rompiendo barreras” por la igualdad y el acceso a mecanismos de protección, organizado por CEAR, el 1 de julio de 2025, en la sede de Casa África.</w:t>
      </w:r>
    </w:p>
    <w:p>
      <w:pPr>
        <w:spacing w:after="160" w:line="360" w:lineRule="auto"/>
        <w:ind w:left="567"/>
        <w:contextualSpacing/>
        <w:jc w:val="both"/>
        <w:rPr>
          <w:rFonts w:ascii="Arial" w:hAnsi="Arial" w:cs="Arial"/>
          <w:sz w:val="24"/>
          <w:szCs w:val="24"/>
        </w:rPr>
      </w:pPr>
      <w:r>
        <w:rPr>
          <w:rFonts w:ascii="Arial" w:hAnsi="Arial" w:cs="Arial"/>
          <w:sz w:val="24"/>
          <w:szCs w:val="24"/>
        </w:rPr>
        <w:t>- Jornadas de sensibilización sobre la Trata “Prostitución en la cultura”, organizadas por Programa Oblatas Daniela, realizadas en la Casa de Colón y en el espacio Violeta de la Biblioteca de la ULPGC, los días 22, 23 y 24 de septiembre de 2025.</w:t>
      </w:r>
    </w:p>
    <w:p>
      <w:pPr>
        <w:spacing w:after="160" w:line="360" w:lineRule="auto"/>
        <w:ind w:left="567"/>
        <w:contextualSpacing/>
        <w:jc w:val="both"/>
        <w:rPr>
          <w:rFonts w:ascii="Arial" w:hAnsi="Arial" w:cs="Arial"/>
          <w:sz w:val="24"/>
          <w:szCs w:val="24"/>
        </w:rPr>
      </w:pPr>
      <w:r>
        <w:rPr>
          <w:rFonts w:ascii="Arial" w:hAnsi="Arial" w:cs="Arial"/>
          <w:sz w:val="24"/>
          <w:szCs w:val="24"/>
        </w:rPr>
        <w:t xml:space="preserve">- Jornadas “Construyendo entornos seguros e inclusivos: prevención de la violencia en poblaciones vulnerables”, organizadas por Clave-A, en Fundación Mapfre Canarias, el 24 de septiembre de 2025. </w:t>
      </w:r>
    </w:p>
    <w:p>
      <w:pPr>
        <w:spacing w:after="160" w:line="360" w:lineRule="auto"/>
        <w:ind w:left="567"/>
        <w:contextualSpacing/>
        <w:jc w:val="both"/>
        <w:rPr>
          <w:rFonts w:ascii="Arial" w:hAnsi="Arial" w:cs="Arial"/>
          <w:sz w:val="24"/>
          <w:szCs w:val="24"/>
        </w:rPr>
      </w:pPr>
      <w:r>
        <w:rPr>
          <w:rFonts w:ascii="Arial" w:hAnsi="Arial" w:cs="Arial"/>
          <w:sz w:val="24"/>
          <w:szCs w:val="24"/>
        </w:rPr>
        <w:t>- Jornadas sobre Ciberseguridad organizada por Mujeres, Solidaridad y Cooperación, en la sede del Cabildo Insular de Gran Canaria el 24 de octubre de 2025.</w:t>
      </w:r>
    </w:p>
    <w:p>
      <w:pPr>
        <w:spacing w:after="160" w:line="360" w:lineRule="auto"/>
        <w:ind w:left="567"/>
        <w:contextualSpacing/>
        <w:jc w:val="both"/>
        <w:rPr>
          <w:rFonts w:ascii="Arial" w:hAnsi="Arial" w:cs="Arial"/>
          <w:sz w:val="24"/>
          <w:szCs w:val="24"/>
        </w:rPr>
      </w:pPr>
      <w:r>
        <w:rPr>
          <w:rFonts w:ascii="Arial" w:hAnsi="Arial" w:cs="Arial"/>
          <w:sz w:val="24"/>
          <w:szCs w:val="24"/>
        </w:rPr>
        <w:t xml:space="preserve">- Jornadas sobre violencia vicaria “No estamos locas, pero nos hacen la vida imposible”, organizadas por la Delegación del Gobierno en Canarias, el 6 de noviembre de 2025. </w:t>
      </w:r>
    </w:p>
    <w:p>
      <w:pPr>
        <w:spacing w:after="160" w:line="360" w:lineRule="auto"/>
        <w:ind w:left="567"/>
        <w:contextualSpacing/>
        <w:jc w:val="both"/>
        <w:rPr>
          <w:rFonts w:ascii="Arial" w:hAnsi="Arial" w:cs="Arial"/>
          <w:sz w:val="24"/>
          <w:szCs w:val="24"/>
        </w:rPr>
      </w:pPr>
      <w:r>
        <w:rPr>
          <w:rFonts w:ascii="Arial" w:hAnsi="Arial" w:cs="Arial"/>
          <w:sz w:val="24"/>
          <w:szCs w:val="24"/>
        </w:rPr>
        <w:lastRenderedPageBreak/>
        <w:t>- Seminario “Una visión amplia del sistema prostitucional” organizadas por Asociación La Sur/Feminicidio.net, el 20 de noviembre de 2025.</w:t>
      </w:r>
    </w:p>
    <w:p>
      <w:pPr>
        <w:spacing w:after="160" w:line="360" w:lineRule="auto"/>
        <w:ind w:left="567"/>
        <w:contextualSpacing/>
        <w:jc w:val="both"/>
        <w:rPr>
          <w:rFonts w:ascii="Arial" w:hAnsi="Arial" w:cs="Arial"/>
          <w:sz w:val="24"/>
          <w:szCs w:val="24"/>
        </w:rPr>
      </w:pPr>
      <w:r>
        <w:rPr>
          <w:rFonts w:ascii="Arial" w:hAnsi="Arial" w:cs="Arial"/>
          <w:sz w:val="24"/>
          <w:szCs w:val="24"/>
        </w:rPr>
        <w:t>- Jornadas “Mujeres conectadas. Estrategias contra el cibermachismo” organizadas por Canarias Ahora, en la sede de la ULPGC, sede del Grado de Educación, el 27 de noviembre de 2025.</w:t>
      </w:r>
    </w:p>
    <w:p>
      <w:pPr>
        <w:spacing w:after="160" w:line="360" w:lineRule="auto"/>
        <w:ind w:left="567"/>
        <w:contextualSpacing/>
        <w:jc w:val="both"/>
        <w:rPr>
          <w:rFonts w:ascii="Arial" w:hAnsi="Arial" w:cs="Arial"/>
          <w:sz w:val="24"/>
          <w:szCs w:val="24"/>
        </w:rPr>
      </w:pPr>
      <w:r>
        <w:rPr>
          <w:rFonts w:ascii="Arial" w:hAnsi="Arial" w:cs="Arial"/>
          <w:sz w:val="24"/>
          <w:szCs w:val="24"/>
        </w:rPr>
        <w:t>- Seminario “Transformaciones recientes de los sistemas de explotación sexual” organizadas por La Sur/Feminicidio.net, el 2 de diciembre de 2025</w:t>
      </w:r>
    </w:p>
    <w:p>
      <w:pPr>
        <w:spacing w:after="160" w:line="360" w:lineRule="auto"/>
        <w:ind w:left="567"/>
        <w:contextualSpacing/>
        <w:jc w:val="both"/>
        <w:rPr>
          <w:rFonts w:ascii="Arial" w:hAnsi="Arial" w:cs="Arial"/>
          <w:sz w:val="24"/>
          <w:szCs w:val="24"/>
        </w:rPr>
      </w:pPr>
      <w:r>
        <w:rPr>
          <w:rFonts w:ascii="Arial" w:hAnsi="Arial" w:cs="Arial"/>
          <w:sz w:val="24"/>
          <w:szCs w:val="24"/>
        </w:rPr>
        <w:t>- Jornadas “Mujeres que habitan. Perspectiva de Género y Migración en el territorio canario” organizada por Gesplan en Casa África, el 4 de diciembre de 2025.</w:t>
      </w:r>
    </w:p>
    <w:p>
      <w:pPr>
        <w:spacing w:after="160" w:line="360" w:lineRule="auto"/>
        <w:contextualSpacing/>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bCs/>
          <w:sz w:val="24"/>
          <w:szCs w:val="24"/>
        </w:rPr>
        <w:t>H. EVALUACIÓN DE LA INTERVENCIÓN:</w:t>
      </w:r>
    </w:p>
    <w:p>
      <w:pPr>
        <w:spacing w:after="0" w:line="360" w:lineRule="auto"/>
        <w:jc w:val="both"/>
        <w:rPr>
          <w:rFonts w:ascii="Arial" w:hAnsi="Arial" w:cs="Arial"/>
          <w:b/>
          <w:bCs/>
          <w:sz w:val="24"/>
          <w:szCs w:val="24"/>
        </w:rPr>
      </w:pPr>
    </w:p>
    <w:p>
      <w:pPr>
        <w:spacing w:after="0" w:line="360" w:lineRule="auto"/>
        <w:jc w:val="both"/>
        <w:rPr>
          <w:rFonts w:ascii="Arial" w:hAnsi="Arial" w:cs="Arial"/>
          <w:b/>
          <w:bCs/>
          <w:sz w:val="24"/>
          <w:szCs w:val="24"/>
        </w:rPr>
      </w:pPr>
      <w:r>
        <w:rPr>
          <w:rFonts w:ascii="Arial" w:hAnsi="Arial" w:cs="Arial"/>
          <w:b/>
          <w:bCs/>
          <w:sz w:val="24"/>
          <w:szCs w:val="24"/>
        </w:rPr>
        <w:t>Consecución de objetivos, realización de actividades y análisis de los resultados obtenidos (logros, dificultades…).</w:t>
      </w:r>
    </w:p>
    <w:p>
      <w:pPr>
        <w:spacing w:after="0" w:line="360" w:lineRule="auto"/>
        <w:jc w:val="both"/>
        <w:rPr>
          <w:rFonts w:ascii="Arial" w:hAnsi="Arial" w:cs="Arial"/>
          <w:b/>
          <w:bCs/>
          <w:sz w:val="24"/>
          <w:szCs w:val="24"/>
        </w:rPr>
      </w:pPr>
    </w:p>
    <w:p>
      <w:pPr>
        <w:spacing w:after="0" w:line="360" w:lineRule="auto"/>
        <w:jc w:val="both"/>
        <w:rPr>
          <w:rFonts w:ascii="Arial" w:hAnsi="Arial" w:cs="Arial"/>
          <w:sz w:val="24"/>
          <w:szCs w:val="24"/>
        </w:rPr>
      </w:pPr>
      <w:r>
        <w:rPr>
          <w:rFonts w:ascii="Arial" w:hAnsi="Arial" w:cs="Arial"/>
          <w:sz w:val="24"/>
          <w:szCs w:val="24"/>
        </w:rPr>
        <w:t>La asistencia a nuestras usuarias se ha realizado presencialmente en la oficina y en alguna ocasión por teléfono o vía mail.</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Se ha dado continuidad y, en cierta medida, se ha mejorado cualitativamente la coordinación con otras instituciones y organismos, lo que redunda en la calidad y profesionalidad en la atención a las mujeres. Se ha mantenido una estrecha colaboración con instituciones como CEAR, Ingénero, Médicos del Mundo, Cruz Blanca y Cáritas. Además, destaca la comunicación directa con las Fuerzas y Cuerpos de Seguridad del Estado, concretamente, con los interlocutores sociales, con las unidades de UCRIF de Policía Nacional y también con la Guardia Civil.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Se valora de forma positiva la coordinación también con el Colegio de Abogados y con profesionales del turno de oficio que intervienen asistiendo a las mujeres, así como con el personal de los juzgados que tramitan los procedimientos judiciales en los que son parte las mujeres. </w:t>
      </w:r>
    </w:p>
    <w:p>
      <w:pPr>
        <w:spacing w:after="0" w:line="360" w:lineRule="auto"/>
        <w:jc w:val="both"/>
        <w:rPr>
          <w:rFonts w:ascii="Arial" w:hAnsi="Arial" w:cs="Arial"/>
          <w:sz w:val="24"/>
          <w:szCs w:val="24"/>
        </w:rPr>
      </w:pPr>
      <w:r>
        <w:rPr>
          <w:rFonts w:ascii="Arial" w:hAnsi="Arial" w:cs="Arial"/>
          <w:sz w:val="24"/>
          <w:szCs w:val="24"/>
        </w:rPr>
        <w:lastRenderedPageBreak/>
        <w:t xml:space="preserve">Se ha cumplido con los objetivos generales y con los específicos de esta área, respondiendo a las necesidades de las mujeres mediante una orientación jurídica de calidad, cercana y en un lenguaje comprensible. </w:t>
      </w:r>
    </w:p>
    <w:p>
      <w:pPr>
        <w:spacing w:after="0" w:line="360" w:lineRule="auto"/>
        <w:ind w:left="720"/>
        <w:jc w:val="both"/>
        <w:rPr>
          <w:rFonts w:ascii="Arial" w:hAnsi="Arial" w:cs="Arial"/>
          <w:sz w:val="24"/>
          <w:szCs w:val="24"/>
        </w:rPr>
      </w:pPr>
    </w:p>
    <w:p>
      <w:pPr>
        <w:spacing w:after="0" w:line="360" w:lineRule="auto"/>
        <w:jc w:val="both"/>
        <w:rPr>
          <w:rFonts w:ascii="Arial" w:hAnsi="Arial" w:cs="Arial"/>
          <w:b/>
          <w:bCs/>
          <w:sz w:val="24"/>
          <w:szCs w:val="24"/>
        </w:rPr>
      </w:pPr>
      <w:r>
        <w:rPr>
          <w:rFonts w:ascii="Arial" w:hAnsi="Arial" w:cs="Arial"/>
          <w:b/>
          <w:bCs/>
          <w:sz w:val="24"/>
          <w:szCs w:val="24"/>
        </w:rPr>
        <w:t>Conclusiones y propuestas.</w:t>
      </w:r>
    </w:p>
    <w:p>
      <w:pPr>
        <w:spacing w:after="0" w:line="360" w:lineRule="auto"/>
        <w:jc w:val="both"/>
        <w:rPr>
          <w:rFonts w:ascii="Arial" w:hAnsi="Arial" w:cs="Arial"/>
          <w:b/>
          <w:bCs/>
          <w:sz w:val="24"/>
          <w:szCs w:val="24"/>
        </w:rPr>
      </w:pPr>
    </w:p>
    <w:p>
      <w:pPr>
        <w:spacing w:after="0" w:line="360" w:lineRule="auto"/>
        <w:jc w:val="both"/>
        <w:rPr>
          <w:rFonts w:ascii="Arial" w:hAnsi="Arial" w:cs="Arial"/>
          <w:sz w:val="24"/>
          <w:szCs w:val="24"/>
        </w:rPr>
      </w:pPr>
      <w:r>
        <w:rPr>
          <w:rFonts w:ascii="Arial" w:hAnsi="Arial" w:cs="Arial"/>
          <w:sz w:val="24"/>
          <w:szCs w:val="24"/>
        </w:rPr>
        <w:t xml:space="preserve">Se considera muy positivo la mejora en la coordinación con otros agentes intervinientes, tales como Fuerzas y Cuerpos de Seguridad del Estado, Subdelegación del Gobierno, Colegio de Abogados, letrados del turno de oficio, personal de los juzgados y de otras administraciones públicas, etc., poniendo en valor la accesibilidad y disponibilidad del servicio teniendo como objetivo un acompañamiento de calidad hacia la mujer.  </w:t>
      </w:r>
    </w:p>
    <w:p>
      <w:pPr>
        <w:spacing w:after="0" w:line="360" w:lineRule="auto"/>
        <w:ind w:left="720"/>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Destacar que desde el área jurídica es primordial continuar potenciando espacios para el encuentro, formación y sensibilización tanto de la ciudadanía como de colectivos más implicados en el tema de la trata (abogados, policías, personal sanitario, etc.).</w:t>
      </w:r>
    </w:p>
    <w:p>
      <w:pPr>
        <w:spacing w:after="0" w:line="360" w:lineRule="auto"/>
        <w:jc w:val="both"/>
        <w:rPr>
          <w:rFonts w:ascii="Arial" w:hAnsi="Arial" w:cs="Arial"/>
          <w:sz w:val="24"/>
          <w:szCs w:val="24"/>
        </w:rPr>
      </w:pPr>
      <w:r>
        <w:rPr>
          <w:rFonts w:ascii="Arial" w:hAnsi="Arial" w:cs="Arial"/>
          <w:sz w:val="24"/>
          <w:szCs w:val="24"/>
        </w:rPr>
        <w:t>En cuanto a la presencia y participación en espacios vinculados se destaca la representación del Programa Oblatas Daniela en las reuniones bimensuales con UCRIF, con otras entidades especializadas y colectivos, así como en la Red Española contra la Trata de Personas.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Como aspectos a mejorar estaría la aplicación de la perspectiva de género y de derechos humanos en todos los ámbitos y por parte de todos los operadores.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Es necesario contar con medios más eficaces para la detección e identificación temprana de víctimas de trata en las fronteras tanto marítimas como terrestres.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También es necesario reducir los tiempos de espera en la resolución de algunas solicitudes de permiso de residencia para extranjeras, fundamentalmente los que se tramitan por arraigo, ya que la demora dificulta las posibilidades de inserción laboral y, por ende, una mejora en las condiciones de vida y en el desarrollo de un proyecto vital alejado de la prostitución. </w:t>
      </w:r>
    </w:p>
    <w:p>
      <w:pPr>
        <w:spacing w:after="0" w:line="360" w:lineRule="auto"/>
        <w:jc w:val="both"/>
        <w:rPr>
          <w:rFonts w:ascii="Arial" w:hAnsi="Arial" w:cs="Arial"/>
          <w:sz w:val="24"/>
          <w:szCs w:val="24"/>
        </w:rPr>
      </w:pPr>
      <w:r>
        <w:rPr>
          <w:rFonts w:ascii="Arial" w:hAnsi="Arial" w:cs="Arial"/>
          <w:sz w:val="24"/>
          <w:szCs w:val="24"/>
        </w:rPr>
        <w:lastRenderedPageBreak/>
        <w:t xml:space="preserve">También resulta necesaria e imprescindible la aprobación de la Ley Integral contra la Trata, en la que como entidad especializada se ha puesto hincapié desde el principio y que ha requerido un esfuerzo y dedicación significativo.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Como aspecto a potenciar, el trabajo de sensibilización y concienciación social de esta problemática que afecta a millones de niñas y mujeres en todo el mundo, visto como una vulneración de los derechos humanos y no solamente desde el aspecto punitivo de la persecución del delito.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Se considera positivo la aprobación del nuevo Reglamento de Extranjería. Sin embargo, consideramos que las solicitantes de Protección Internacional quedan desprotegidas al no contarse como tiempo de permanencia en España para arraigo el que ha trascurrido desde su solicitud de protección hasta que se dicta resolución denegatoria. También se considera positivo la puesta en funcionamiento de la oficina de atención a víctimas de delitos sexuales de atención 24 horas.</w:t>
      </w:r>
    </w:p>
    <w:p>
      <w:pPr>
        <w:jc w:val="both"/>
        <w:rPr>
          <w:rFonts w:eastAsia="Times New Roman" w:cs="Calibri"/>
          <w:b/>
        </w:rPr>
      </w:pPr>
    </w:p>
    <w:p>
      <w:pPr>
        <w:shd w:val="clear" w:color="auto" w:fill="365F91" w:themeFill="accent1" w:themeFillShade="BF"/>
        <w:spacing w:after="0" w:line="240" w:lineRule="auto"/>
        <w:jc w:val="both"/>
        <w:rPr>
          <w:rFonts w:ascii="Arial" w:eastAsia="Times New Roman" w:hAnsi="Arial" w:cs="Arial"/>
          <w:b/>
          <w:color w:val="FFFFFF"/>
          <w:sz w:val="24"/>
          <w:szCs w:val="24"/>
        </w:rPr>
      </w:pPr>
      <w:r>
        <w:rPr>
          <w:rFonts w:ascii="Arial" w:eastAsia="Times New Roman" w:hAnsi="Arial" w:cs="Arial"/>
          <w:b/>
          <w:color w:val="FFFFFF"/>
          <w:sz w:val="24"/>
          <w:szCs w:val="24"/>
        </w:rPr>
        <w:t>3.- PROYECTO DANIELA PARTICIPA /SERVICIO INSULAR DE INTERVENCIÓN ESPECIALIZADA EN PROSTITUCIÓN Y EXPLOTACIÓN SEXUAL</w:t>
      </w:r>
    </w:p>
    <w:p>
      <w:pPr>
        <w:autoSpaceDE w:val="0"/>
        <w:autoSpaceDN w:val="0"/>
        <w:adjustRightInd w:val="0"/>
        <w:spacing w:after="0"/>
        <w:jc w:val="both"/>
        <w:rPr>
          <w:rFonts w:ascii="Arial" w:hAnsi="Arial" w:cs="Arial"/>
          <w:sz w:val="24"/>
          <w:szCs w:val="24"/>
        </w:rPr>
      </w:pPr>
    </w:p>
    <w:p>
      <w:pPr>
        <w:shd w:val="clear" w:color="auto" w:fill="B2A1C7" w:themeFill="accent4" w:themeFillTint="99"/>
        <w:spacing w:after="0" w:line="360" w:lineRule="auto"/>
        <w:jc w:val="both"/>
        <w:rPr>
          <w:rFonts w:ascii="Arial" w:hAnsi="Arial" w:cs="Arial"/>
          <w:b/>
          <w:bCs/>
          <w:sz w:val="24"/>
          <w:szCs w:val="24"/>
        </w:rPr>
      </w:pPr>
      <w:r>
        <w:rPr>
          <w:rFonts w:ascii="Arial" w:hAnsi="Arial" w:cs="Arial"/>
          <w:b/>
          <w:sz w:val="24"/>
          <w:szCs w:val="24"/>
        </w:rPr>
        <w:t>3.1.-</w:t>
      </w:r>
      <w:r>
        <w:rPr>
          <w:rFonts w:ascii="Arial" w:hAnsi="Arial" w:cs="Arial"/>
          <w:b/>
          <w:bCs/>
          <w:sz w:val="24"/>
          <w:szCs w:val="24"/>
        </w:rPr>
        <w:t>DESCRIPCIÓN DEL PROYECTO</w:t>
      </w:r>
    </w:p>
    <w:p>
      <w:pPr>
        <w:spacing w:after="0" w:line="360" w:lineRule="auto"/>
        <w:jc w:val="both"/>
        <w:rPr>
          <w:rFonts w:ascii="Arial" w:hAnsi="Arial" w:cs="Arial"/>
          <w:b/>
          <w:sz w:val="24"/>
          <w:szCs w:val="24"/>
        </w:rPr>
      </w:pPr>
    </w:p>
    <w:p>
      <w:pPr>
        <w:spacing w:after="0" w:line="360" w:lineRule="auto"/>
        <w:jc w:val="both"/>
        <w:rPr>
          <w:rFonts w:ascii="Arial" w:hAnsi="Arial" w:cs="Arial"/>
          <w:bCs/>
          <w:sz w:val="24"/>
          <w:szCs w:val="24"/>
        </w:rPr>
      </w:pPr>
      <w:r>
        <w:rPr>
          <w:rFonts w:ascii="Arial" w:hAnsi="Arial" w:cs="Arial"/>
          <w:bCs/>
          <w:sz w:val="24"/>
          <w:szCs w:val="24"/>
        </w:rPr>
        <w:t xml:space="preserve">Daniela Participa desde la intervención en medio abierto, se acerca a ámbitos de prostitución, pisos, clubes y calles, con el fin de darse a conocer entre las mujeres y ser un recurso de apoyo. También es este el medio de conocer la realidad que enmarca los contextos de prostitución y detectar posibles indicadores de trata de seres humanos.  </w:t>
      </w:r>
    </w:p>
    <w:p>
      <w:pPr>
        <w:spacing w:after="0" w:line="360" w:lineRule="auto"/>
        <w:jc w:val="both"/>
        <w:rPr>
          <w:rFonts w:ascii="Arial" w:hAnsi="Arial" w:cs="Arial"/>
          <w:bCs/>
          <w:sz w:val="24"/>
          <w:szCs w:val="24"/>
        </w:rPr>
      </w:pPr>
    </w:p>
    <w:p>
      <w:pPr>
        <w:spacing w:after="0" w:line="360" w:lineRule="auto"/>
        <w:jc w:val="both"/>
        <w:rPr>
          <w:rFonts w:ascii="Arial" w:hAnsi="Arial" w:cs="Arial"/>
          <w:bCs/>
          <w:sz w:val="24"/>
          <w:szCs w:val="24"/>
        </w:rPr>
      </w:pPr>
      <w:r>
        <w:rPr>
          <w:rFonts w:ascii="Arial" w:hAnsi="Arial" w:cs="Arial"/>
          <w:bCs/>
          <w:sz w:val="24"/>
          <w:szCs w:val="24"/>
        </w:rPr>
        <w:t>Paralelamente a ello, se interviene con las mujeres que lo precisan mediante el acompañamiento e impulso de su integración socio laboral, a través de proyectos, talleres y actividades propias o bien de la red comunitaria, propiciando un acompañamiento integral.</w:t>
      </w:r>
    </w:p>
    <w:p>
      <w:pPr>
        <w:spacing w:after="0" w:line="360" w:lineRule="auto"/>
        <w:jc w:val="both"/>
        <w:rPr>
          <w:rFonts w:ascii="Arial" w:hAnsi="Arial" w:cs="Arial"/>
          <w:bCs/>
          <w:sz w:val="24"/>
          <w:szCs w:val="24"/>
        </w:rPr>
      </w:pPr>
    </w:p>
    <w:p>
      <w:pPr>
        <w:spacing w:after="0" w:line="360" w:lineRule="auto"/>
        <w:jc w:val="both"/>
        <w:rPr>
          <w:rFonts w:ascii="Arial" w:hAnsi="Arial" w:cs="Arial"/>
          <w:bCs/>
          <w:sz w:val="24"/>
          <w:szCs w:val="24"/>
        </w:rPr>
      </w:pPr>
      <w:r>
        <w:rPr>
          <w:rFonts w:ascii="Arial" w:hAnsi="Arial" w:cs="Arial"/>
          <w:bCs/>
          <w:sz w:val="24"/>
          <w:szCs w:val="24"/>
        </w:rPr>
        <w:lastRenderedPageBreak/>
        <w:t>Es por ello que requiere una participación y coordinación activa con todas las entidades públicas y privadas que puedan incidir en el proyecto personal de cada una de las mujeres y sus hijas e hijos, así como en las actividades que se desarrollen dentro del proyecto de participación comunitaria y en la dinámica de intervención del propio Centro.</w:t>
      </w:r>
    </w:p>
    <w:p>
      <w:pPr>
        <w:spacing w:after="0" w:line="360" w:lineRule="auto"/>
        <w:jc w:val="both"/>
        <w:rPr>
          <w:rFonts w:ascii="Arial" w:hAnsi="Arial" w:cs="Arial"/>
          <w:bCs/>
          <w:sz w:val="24"/>
          <w:szCs w:val="24"/>
        </w:rPr>
      </w:pPr>
    </w:p>
    <w:p>
      <w:pPr>
        <w:spacing w:after="0" w:line="360" w:lineRule="auto"/>
        <w:jc w:val="both"/>
        <w:rPr>
          <w:rFonts w:ascii="Arial" w:hAnsi="Arial" w:cs="Arial"/>
          <w:bCs/>
          <w:sz w:val="24"/>
          <w:szCs w:val="24"/>
        </w:rPr>
      </w:pPr>
      <w:r>
        <w:rPr>
          <w:rFonts w:ascii="Arial" w:hAnsi="Arial" w:cs="Arial"/>
          <w:bCs/>
          <w:sz w:val="24"/>
          <w:szCs w:val="24"/>
        </w:rPr>
        <w:t>Daniela Participa es un proyecto de continuidad, especializado en el ámbito de prostitución y víctimas de trata, por lo que presta especial atención al refuerzo de lazos de coordinación con los distintos recursos para lograr una mayor eficacia y eficiencia en la intervención integral con las mujeres con las que se realiza intervención. Se mantienen coordinaciones estrechas, fundamentalmente para la detección e identificación de posibles víctimas de trata con fines de explotación sexual y/ en contextos de prostitución, especialmente con la Unidad Contra las Redes de Inmigración y Falsedad Documental de la policía (UCRIF).</w:t>
      </w:r>
    </w:p>
    <w:p>
      <w:pPr>
        <w:spacing w:after="0" w:line="360" w:lineRule="auto"/>
        <w:jc w:val="both"/>
        <w:rPr>
          <w:rFonts w:ascii="Arial" w:hAnsi="Arial" w:cs="Arial"/>
          <w:bCs/>
          <w:sz w:val="24"/>
          <w:szCs w:val="24"/>
        </w:rPr>
      </w:pPr>
    </w:p>
    <w:p>
      <w:pPr>
        <w:spacing w:after="0" w:line="360" w:lineRule="auto"/>
        <w:jc w:val="both"/>
        <w:rPr>
          <w:rFonts w:ascii="Arial" w:hAnsi="Arial" w:cs="Arial"/>
          <w:bCs/>
          <w:sz w:val="24"/>
          <w:szCs w:val="24"/>
        </w:rPr>
      </w:pPr>
      <w:r>
        <w:rPr>
          <w:rFonts w:ascii="Arial" w:hAnsi="Arial" w:cs="Arial"/>
          <w:bCs/>
          <w:sz w:val="24"/>
          <w:szCs w:val="24"/>
        </w:rPr>
        <w:t>Además, este proyecto abarca el ámbito de formación, sensibilización y prevención dirigido a colectivos profesionales y centros educativos, desde donde se incide en visibilizar la realidad que abarcamos, mujer, exclusión social, feminización de la pobreza, igualdad y violencia, prostitución y trata de seres humanos. La finalidad última de estas acciones es crear conciencia social en torno a la esclavitud en el siglo XXI, la trata de seres humanos, y el camino y compromiso que falta para romper las estructuras generadoras de injusticia y desigualdad, que incide de forma abusiva en las mujeres.</w:t>
      </w:r>
    </w:p>
    <w:p>
      <w:pPr>
        <w:spacing w:after="0" w:line="360" w:lineRule="auto"/>
        <w:jc w:val="both"/>
        <w:rPr>
          <w:rFonts w:ascii="Arial" w:hAnsi="Arial" w:cs="Arial"/>
          <w:bCs/>
          <w:sz w:val="24"/>
          <w:szCs w:val="24"/>
        </w:rPr>
      </w:pPr>
    </w:p>
    <w:p>
      <w:pPr>
        <w:spacing w:after="0" w:line="360" w:lineRule="auto"/>
        <w:jc w:val="both"/>
        <w:rPr>
          <w:rFonts w:ascii="Arial" w:hAnsi="Arial" w:cs="Arial"/>
          <w:bCs/>
          <w:sz w:val="24"/>
          <w:szCs w:val="24"/>
        </w:rPr>
      </w:pPr>
      <w:r>
        <w:rPr>
          <w:rFonts w:ascii="Arial" w:hAnsi="Arial" w:cs="Arial"/>
          <w:bCs/>
          <w:sz w:val="24"/>
          <w:szCs w:val="24"/>
        </w:rPr>
        <w:t>Desde el conocimiento del trabajo realizado, Daniela Participa aborda una realidad de la mujer en contextos de prostitución, vulnerabilidad, marginación y pobreza, causas y consecuencias que le han llevado a esta situación.  La prostitución cursa con la feminización de la pobreza, las mujeres procedentes de países de menor desarrollo económico vienen a nuestro país por la pobreza de los suyos. Llegan alentadas o engañadas, principalmente, por las mafias de traficantes, para mejorar su vida y, sin embargo, terminan dentro de la prostitución como horizonte vital.</w:t>
      </w:r>
    </w:p>
    <w:p>
      <w:pPr>
        <w:spacing w:after="0" w:line="360" w:lineRule="auto"/>
        <w:jc w:val="both"/>
        <w:rPr>
          <w:rFonts w:ascii="Arial" w:hAnsi="Arial" w:cs="Arial"/>
          <w:bCs/>
          <w:sz w:val="24"/>
          <w:szCs w:val="24"/>
        </w:rPr>
      </w:pPr>
      <w:r>
        <w:rPr>
          <w:rFonts w:ascii="Arial" w:hAnsi="Arial" w:cs="Arial"/>
          <w:bCs/>
          <w:sz w:val="24"/>
          <w:szCs w:val="24"/>
        </w:rPr>
        <w:t xml:space="preserve"> </w:t>
      </w:r>
    </w:p>
    <w:p>
      <w:pPr>
        <w:spacing w:after="0" w:line="360" w:lineRule="auto"/>
        <w:jc w:val="both"/>
        <w:rPr>
          <w:rFonts w:ascii="Arial" w:hAnsi="Arial" w:cs="Arial"/>
          <w:bCs/>
          <w:sz w:val="24"/>
          <w:szCs w:val="24"/>
        </w:rPr>
      </w:pPr>
      <w:r>
        <w:rPr>
          <w:rFonts w:ascii="Arial" w:hAnsi="Arial" w:cs="Arial"/>
          <w:bCs/>
          <w:sz w:val="24"/>
          <w:szCs w:val="24"/>
        </w:rPr>
        <w:lastRenderedPageBreak/>
        <w:t>La entidad entiende que la prostitución y la trata de mujeres con fines de explotación sexual son dos fenómenos estrechamente interrelacionados, por tanto, se considera que no pueden, ni deben, desvincularse. Partiendo de la discriminación de origen existente entre hombres y mujeres, y de la realidad social que nos dice que la mayoría de personas que ejercen prostitución son mujeres y quienes mayoritariamente consumen prostitución son varones, se afirma que la trata de mujeres con fines de explotación sexual es una forma más de violencia de género.</w:t>
      </w:r>
    </w:p>
    <w:p>
      <w:pPr>
        <w:spacing w:line="360" w:lineRule="auto"/>
        <w:jc w:val="both"/>
        <w:rPr>
          <w:rFonts w:ascii="Arial" w:hAnsi="Arial" w:cs="Arial"/>
          <w:bCs/>
          <w:sz w:val="24"/>
          <w:szCs w:val="24"/>
        </w:rPr>
      </w:pPr>
    </w:p>
    <w:p>
      <w:pPr>
        <w:spacing w:line="360" w:lineRule="auto"/>
        <w:jc w:val="both"/>
        <w:rPr>
          <w:rFonts w:ascii="Arial" w:hAnsi="Arial" w:cs="Arial"/>
          <w:bCs/>
          <w:sz w:val="24"/>
          <w:szCs w:val="24"/>
        </w:rPr>
      </w:pPr>
      <w:r>
        <w:rPr>
          <w:rFonts w:ascii="Arial" w:hAnsi="Arial" w:cs="Arial"/>
          <w:bCs/>
          <w:sz w:val="24"/>
          <w:szCs w:val="24"/>
        </w:rPr>
        <w:t>Como otras manifestaciones de violencia contra las mujeres, la explotación sexual femenina se caracteriza por las relaciones de dominación que los hombres ejercen sobre las mujeres, relaciones de desigualdad asentadas en los valores tradicionales del patriarcado. De este modo, la discriminación de las mujeres, la desigualdad en las relaciones entre hombres y mujeres y el modelo hegemónico de sexualidad masculina, son vitales a la hora de comprender la explotación sexual de mujeres.</w:t>
      </w:r>
    </w:p>
    <w:p>
      <w:pPr>
        <w:shd w:val="clear" w:color="auto" w:fill="CCC0D9" w:themeFill="accent4" w:themeFillTint="66"/>
        <w:spacing w:after="0" w:line="240" w:lineRule="auto"/>
        <w:jc w:val="both"/>
        <w:rPr>
          <w:rFonts w:ascii="Arial" w:eastAsia="Times New Roman" w:hAnsi="Arial" w:cs="Arial"/>
          <w:b/>
          <w:sz w:val="24"/>
          <w:szCs w:val="24"/>
        </w:rPr>
      </w:pPr>
      <w:r>
        <w:rPr>
          <w:rFonts w:ascii="Arial" w:eastAsia="Times New Roman" w:hAnsi="Arial" w:cs="Arial"/>
          <w:b/>
          <w:sz w:val="24"/>
          <w:szCs w:val="24"/>
        </w:rPr>
        <w:t>3.2.- OBJETIVOS</w:t>
      </w:r>
    </w:p>
    <w:p>
      <w:pPr>
        <w:spacing w:after="0"/>
        <w:jc w:val="both"/>
        <w:outlineLvl w:val="0"/>
        <w:rPr>
          <w:rFonts w:ascii="Arial" w:hAnsi="Arial" w:cs="Arial"/>
          <w:b/>
          <w:sz w:val="24"/>
          <w:szCs w:val="24"/>
        </w:rPr>
      </w:pPr>
    </w:p>
    <w:p>
      <w:pPr>
        <w:spacing w:after="0" w:line="360" w:lineRule="auto"/>
        <w:jc w:val="both"/>
        <w:outlineLvl w:val="0"/>
        <w:rPr>
          <w:rFonts w:ascii="Arial" w:hAnsi="Arial" w:cs="Arial"/>
          <w:b/>
          <w:sz w:val="24"/>
          <w:szCs w:val="24"/>
          <w:u w:val="single"/>
        </w:rPr>
      </w:pPr>
      <w:r>
        <w:rPr>
          <w:rFonts w:ascii="Arial" w:hAnsi="Arial" w:cs="Arial"/>
          <w:b/>
          <w:sz w:val="24"/>
          <w:szCs w:val="24"/>
          <w:u w:val="single"/>
        </w:rPr>
        <w:t>OBJETIVO GENERAL:</w:t>
      </w:r>
    </w:p>
    <w:p>
      <w:pPr>
        <w:spacing w:after="0" w:line="360" w:lineRule="auto"/>
        <w:jc w:val="both"/>
        <w:outlineLvl w:val="0"/>
        <w:rPr>
          <w:rFonts w:ascii="Arial" w:hAnsi="Arial" w:cs="Arial"/>
          <w:bCs/>
          <w:sz w:val="24"/>
          <w:szCs w:val="24"/>
        </w:rPr>
      </w:pPr>
      <w:r>
        <w:rPr>
          <w:rFonts w:ascii="Arial" w:hAnsi="Arial" w:cs="Arial"/>
          <w:bCs/>
          <w:sz w:val="24"/>
          <w:szCs w:val="24"/>
        </w:rPr>
        <w:t xml:space="preserve">Garantizar la protección integral, orientación, asesoramiento y atención multidisciplinar, especializada y coordinada de las mujeres víctimas de violencia de género, especialmente aquellas vinculadas a contextos de prostitución, explotación sexual y/o víctimas de trata, así como, desarrollar acciones destinadas a la sensibilización social y a la prevención de la violencia de género, con especial incidencia en los ámbitos comunitario y educativo. </w:t>
      </w:r>
    </w:p>
    <w:p>
      <w:pPr>
        <w:spacing w:after="0" w:line="360" w:lineRule="auto"/>
        <w:jc w:val="both"/>
        <w:outlineLvl w:val="0"/>
        <w:rPr>
          <w:rFonts w:ascii="Arial" w:hAnsi="Arial" w:cs="Arial"/>
          <w:b/>
          <w:sz w:val="24"/>
          <w:szCs w:val="24"/>
        </w:rPr>
      </w:pPr>
    </w:p>
    <w:p>
      <w:pPr>
        <w:spacing w:after="0" w:line="360" w:lineRule="auto"/>
        <w:jc w:val="both"/>
        <w:outlineLvl w:val="0"/>
        <w:rPr>
          <w:rFonts w:ascii="Arial" w:hAnsi="Arial" w:cs="Arial"/>
          <w:b/>
          <w:bCs/>
          <w:sz w:val="24"/>
          <w:szCs w:val="24"/>
          <w:u w:val="single"/>
        </w:rPr>
      </w:pPr>
      <w:r>
        <w:rPr>
          <w:rFonts w:ascii="Arial" w:hAnsi="Arial" w:cs="Arial"/>
          <w:b/>
          <w:bCs/>
          <w:sz w:val="24"/>
          <w:szCs w:val="24"/>
          <w:u w:val="single"/>
        </w:rPr>
        <w:t>OBJETIVOS ESPECÍFICOS:</w:t>
      </w:r>
    </w:p>
    <w:p>
      <w:pPr>
        <w:numPr>
          <w:ilvl w:val="0"/>
          <w:numId w:val="18"/>
        </w:numPr>
        <w:tabs>
          <w:tab w:val="left" w:pos="360"/>
        </w:tabs>
        <w:suppressAutoHyphens/>
        <w:spacing w:line="360" w:lineRule="auto"/>
        <w:ind w:left="360"/>
        <w:jc w:val="both"/>
        <w:rPr>
          <w:rFonts w:ascii="Arial" w:hAnsi="Arial" w:cs="Arial"/>
          <w:sz w:val="24"/>
          <w:szCs w:val="24"/>
        </w:rPr>
      </w:pPr>
      <w:r>
        <w:rPr>
          <w:rFonts w:ascii="Arial" w:hAnsi="Arial" w:cs="Arial"/>
          <w:sz w:val="24"/>
          <w:szCs w:val="24"/>
        </w:rPr>
        <w:t>Intervenir de forma integral, con las mujeres y menores en riesgo o víctimas de violencia de género, especialmente por prostitución y/o trata con fines de explotación sexual que lo soliciten.</w:t>
      </w:r>
    </w:p>
    <w:p>
      <w:pPr>
        <w:numPr>
          <w:ilvl w:val="0"/>
          <w:numId w:val="18"/>
        </w:numPr>
        <w:tabs>
          <w:tab w:val="left" w:pos="360"/>
        </w:tabs>
        <w:suppressAutoHyphens/>
        <w:spacing w:line="360" w:lineRule="auto"/>
        <w:ind w:left="360"/>
        <w:jc w:val="both"/>
        <w:rPr>
          <w:rFonts w:ascii="Arial" w:hAnsi="Arial" w:cs="Arial"/>
          <w:sz w:val="24"/>
          <w:szCs w:val="24"/>
        </w:rPr>
      </w:pPr>
      <w:r>
        <w:rPr>
          <w:rFonts w:ascii="Arial" w:hAnsi="Arial" w:cs="Arial"/>
          <w:sz w:val="24"/>
          <w:szCs w:val="24"/>
        </w:rPr>
        <w:t>Intervenir con mujeres, desde el dispositivo de acercamiento, en CIE y medios abiertos y cerrados de contextos de prostitución (calle, pisos, clubs).</w:t>
      </w:r>
    </w:p>
    <w:p>
      <w:pPr>
        <w:numPr>
          <w:ilvl w:val="0"/>
          <w:numId w:val="18"/>
        </w:numPr>
        <w:spacing w:line="360" w:lineRule="auto"/>
        <w:ind w:left="360"/>
        <w:jc w:val="both"/>
        <w:rPr>
          <w:rFonts w:ascii="Arial" w:hAnsi="Arial" w:cs="Arial"/>
          <w:sz w:val="24"/>
          <w:szCs w:val="24"/>
        </w:rPr>
      </w:pPr>
      <w:r>
        <w:rPr>
          <w:rFonts w:ascii="Arial" w:hAnsi="Arial" w:cs="Arial"/>
          <w:sz w:val="24"/>
          <w:szCs w:val="24"/>
        </w:rPr>
        <w:lastRenderedPageBreak/>
        <w:t>Realizar talleres grupales, entre las mujeres atendidas en el proyecto, que incidan en la recuperación y/o prevención de la violencia de género para la promoción de la autonomía y empoderamiento personal.</w:t>
      </w:r>
    </w:p>
    <w:p>
      <w:pPr>
        <w:numPr>
          <w:ilvl w:val="0"/>
          <w:numId w:val="18"/>
        </w:numPr>
        <w:spacing w:line="360" w:lineRule="auto"/>
        <w:ind w:left="360"/>
        <w:jc w:val="both"/>
        <w:rPr>
          <w:rFonts w:ascii="Arial" w:hAnsi="Arial" w:cs="Arial"/>
          <w:sz w:val="24"/>
          <w:szCs w:val="24"/>
        </w:rPr>
      </w:pPr>
      <w:r>
        <w:rPr>
          <w:rFonts w:ascii="Arial" w:hAnsi="Arial" w:cs="Arial"/>
          <w:sz w:val="24"/>
          <w:szCs w:val="24"/>
        </w:rPr>
        <w:t>Visibilizar, informar y orientar hacia la lucha contra la violencia de género por prostitución y/o trata de seres humanos con fines de explotación, mediante la difusión, exposición y dinamización de espacios participativos en centros educativos, agentes y entidades insertas en la red comunitaria y la población en general.</w:t>
      </w:r>
    </w:p>
    <w:p>
      <w:pPr>
        <w:numPr>
          <w:ilvl w:val="0"/>
          <w:numId w:val="18"/>
        </w:numPr>
        <w:spacing w:line="360" w:lineRule="auto"/>
        <w:ind w:left="360"/>
        <w:jc w:val="both"/>
        <w:rPr>
          <w:rFonts w:ascii="Arial" w:hAnsi="Arial" w:cs="Arial"/>
          <w:sz w:val="24"/>
          <w:szCs w:val="24"/>
        </w:rPr>
      </w:pPr>
      <w:r>
        <w:rPr>
          <w:rFonts w:ascii="Arial" w:hAnsi="Arial" w:cs="Arial"/>
          <w:sz w:val="24"/>
          <w:szCs w:val="24"/>
        </w:rPr>
        <w:t>Adquirir y profundizar, como equipo especializado del Programa Oblatas Daniela, en conocimientos y herramientas para la intervención integral e interdisciplinar, con mujeres en contextos de prostitución y trata de mujeres con fines de explotación.</w:t>
      </w:r>
    </w:p>
    <w:p>
      <w:pPr>
        <w:numPr>
          <w:ilvl w:val="0"/>
          <w:numId w:val="18"/>
        </w:numPr>
        <w:shd w:val="clear" w:color="auto" w:fill="FFFFFF"/>
        <w:spacing w:line="360" w:lineRule="auto"/>
        <w:ind w:left="360"/>
        <w:jc w:val="both"/>
        <w:rPr>
          <w:rFonts w:ascii="Arial" w:hAnsi="Arial" w:cs="Arial"/>
          <w:sz w:val="24"/>
          <w:szCs w:val="24"/>
        </w:rPr>
      </w:pPr>
      <w:r>
        <w:rPr>
          <w:rFonts w:ascii="Arial" w:hAnsi="Arial" w:cs="Arial"/>
          <w:sz w:val="24"/>
          <w:szCs w:val="24"/>
        </w:rPr>
        <w:t>Gestionar y sistematizar el funcionamiento del proyecto, los procedimientos y experiencias que se adquieren a lo largo de las diversas intervenciones que se desarrollan en el proyecto.</w:t>
      </w:r>
    </w:p>
    <w:p>
      <w:pPr>
        <w:shd w:val="clear" w:color="auto" w:fill="CCC0D9" w:themeFill="accent4" w:themeFillTint="66"/>
        <w:spacing w:after="0" w:line="360" w:lineRule="auto"/>
        <w:jc w:val="both"/>
        <w:rPr>
          <w:rFonts w:ascii="Arial" w:eastAsia="Times New Roman" w:hAnsi="Arial" w:cs="Arial"/>
          <w:b/>
          <w:sz w:val="24"/>
          <w:szCs w:val="24"/>
        </w:rPr>
      </w:pPr>
      <w:r>
        <w:rPr>
          <w:rFonts w:ascii="Arial" w:eastAsia="Times New Roman" w:hAnsi="Arial" w:cs="Arial"/>
          <w:b/>
          <w:sz w:val="24"/>
          <w:szCs w:val="24"/>
        </w:rPr>
        <w:t>3.3.- DESCRIPCIÓN DE LA POBLACIÓN ATENDIDA</w:t>
      </w:r>
    </w:p>
    <w:p>
      <w:pPr>
        <w:spacing w:after="160" w:line="360" w:lineRule="auto"/>
        <w:jc w:val="both"/>
        <w:rPr>
          <w:rFonts w:ascii="Arial" w:hAnsi="Arial" w:cs="Arial"/>
          <w:b/>
          <w:sz w:val="24"/>
          <w:szCs w:val="24"/>
        </w:rPr>
      </w:pPr>
    </w:p>
    <w:p>
      <w:pPr>
        <w:spacing w:after="160" w:line="360" w:lineRule="auto"/>
        <w:jc w:val="both"/>
        <w:rPr>
          <w:rFonts w:ascii="Arial" w:hAnsi="Arial" w:cs="Arial"/>
          <w:sz w:val="24"/>
          <w:szCs w:val="24"/>
        </w:rPr>
      </w:pPr>
      <w:r>
        <w:rPr>
          <w:rFonts w:ascii="Arial" w:hAnsi="Arial" w:cs="Arial"/>
          <w:sz w:val="24"/>
          <w:szCs w:val="24"/>
        </w:rPr>
        <w:t>En el año 2025, se ha mantenido un volumen elevado de atención, dando respuesta a las demandas presentadas por 134 mujeres, 1 de ellas menor de edad.</w:t>
      </w:r>
    </w:p>
    <w:p>
      <w:pPr>
        <w:spacing w:after="160" w:line="360" w:lineRule="auto"/>
        <w:jc w:val="both"/>
        <w:rPr>
          <w:rFonts w:ascii="Arial" w:hAnsi="Arial" w:cs="Arial"/>
          <w:sz w:val="24"/>
          <w:szCs w:val="24"/>
        </w:rPr>
      </w:pPr>
      <w:r>
        <w:rPr>
          <w:rFonts w:ascii="Arial" w:hAnsi="Arial" w:cs="Arial"/>
          <w:sz w:val="24"/>
          <w:szCs w:val="24"/>
        </w:rPr>
        <w:t>Con respecto al año anterior, se atendieron en el espacio de oficinas a 10 mujeres menos, sin embargo, se ampliaron de forma significativa el número de salidas a los diferentes espacios de prostitución, fortaleciendo así la labor de detección, acompañamiento y proximidad del Programa en contextos de especial vulnerabilidad.</w:t>
      </w:r>
    </w:p>
    <w:p>
      <w:pPr>
        <w:spacing w:after="160" w:line="259" w:lineRule="auto"/>
        <w:jc w:val="center"/>
        <w:rPr>
          <w:rFonts w:ascii="Arial" w:hAnsi="Arial" w:cs="Arial"/>
          <w:sz w:val="24"/>
          <w:szCs w:val="24"/>
        </w:rPr>
      </w:pPr>
      <w:r>
        <w:rPr>
          <w:rFonts w:ascii="Arial" w:hAnsi="Arial" w:cs="Arial"/>
          <w:noProof/>
          <w:sz w:val="24"/>
          <w:szCs w:val="24"/>
          <w:lang w:eastAsia="es-ES"/>
        </w:rPr>
        <w:lastRenderedPageBreak/>
        <w:drawing>
          <wp:inline distT="0" distB="0" distL="0" distR="0">
            <wp:extent cx="5413961" cy="3657600"/>
            <wp:effectExtent l="0" t="0" r="0" b="0"/>
            <wp:docPr id="30" name="Imagen 30" descr="D:\Mis Documentos\Usuario2827\Downloads\atencion_socioeducativa_mujeres_2020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is Documentos\Usuario2827\Downloads\atencion_socioeducativa_mujeres_2020_2025.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50965" cy="3682599"/>
                    </a:xfrm>
                    <a:prstGeom prst="rect">
                      <a:avLst/>
                    </a:prstGeom>
                    <a:noFill/>
                    <a:ln>
                      <a:noFill/>
                    </a:ln>
                  </pic:spPr>
                </pic:pic>
              </a:graphicData>
            </a:graphic>
          </wp:inline>
        </w:drawing>
      </w:r>
    </w:p>
    <w:p>
      <w:pPr>
        <w:spacing w:after="160" w:line="360" w:lineRule="auto"/>
        <w:jc w:val="both"/>
        <w:rPr>
          <w:rFonts w:ascii="Arial" w:hAnsi="Arial" w:cs="Arial"/>
          <w:sz w:val="24"/>
          <w:szCs w:val="24"/>
        </w:rPr>
      </w:pPr>
      <w:r>
        <w:rPr>
          <w:rFonts w:ascii="Arial" w:hAnsi="Arial" w:cs="Arial"/>
          <w:sz w:val="24"/>
          <w:szCs w:val="24"/>
        </w:rPr>
        <w:t>En relación con las vías de acceso a través de las cuales las mujeres atendidas han contactado con el proyecto, se identifican distintos canales de derivación que reflejan la diversidad de recursos y agentes implicados en la detección y acompañamiento. Entre los principales destacan las entidades sociales (Ingénero, CEAR, Cruz Roja, Adsis, Médicos del Mundo, Centro Lugo, Fundación Cruz Blanca, Hogar Betania, Fiet Gratia, Proyecto Esperanza y Fundación Ecca), así como el trabajo de calle y la recomendación de otras mujeres. Asimismo, se han registrado derivaciones procedentes de las Fuerzas y Cuerpos de Seguridad del Estado (Unidad Central de Redes de Inmigración Ilegal y Falsedades Documentales UCRIF), Guardia Civil y otros como el centro penitenciario, del propio recurso alojativo del Programa, de servicios especializados en atención a mujeres víctimas de violencia de género (DEMA, Mujeres, Solidaridad y Cooperación y SIAM de Lanzarote), así como de centros de salud y hospitales de la isla. A continuación, se presentan las diferentes vías de acceso al proyecto:</w:t>
      </w: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r>
        <w:rPr>
          <w:rFonts w:ascii="Arial" w:hAnsi="Arial" w:cs="Arial"/>
          <w:noProof/>
          <w:sz w:val="24"/>
          <w:szCs w:val="24"/>
          <w:lang w:eastAsia="es-ES"/>
        </w:rPr>
        <w:lastRenderedPageBreak/>
        <w:drawing>
          <wp:anchor distT="0" distB="0" distL="114300" distR="114300" simplePos="0" relativeHeight="251665408" behindDoc="0" locked="0" layoutInCell="1" allowOverlap="1">
            <wp:simplePos x="0" y="0"/>
            <wp:positionH relativeFrom="margin">
              <wp:posOffset>474345</wp:posOffset>
            </wp:positionH>
            <wp:positionV relativeFrom="paragraph">
              <wp:posOffset>150495</wp:posOffset>
            </wp:positionV>
            <wp:extent cx="5505450" cy="5362575"/>
            <wp:effectExtent l="0" t="0" r="0" b="9525"/>
            <wp:wrapSquare wrapText="bothSides"/>
            <wp:docPr id="32" name="Imagen 32" descr="D:\Mis Documentos\Usuario2827\Downloads\vias_acceso_programa_daniela_obla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is Documentos\Usuario2827\Downloads\vias_acceso_programa_daniela_oblatas.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05450" cy="5362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eastAsia="es-ES"/>
        </w:rPr>
        <w:drawing>
          <wp:inline distT="0" distB="0" distL="0" distR="0">
            <wp:extent cx="6143625" cy="2907579"/>
            <wp:effectExtent l="0" t="0" r="0" b="762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5735" cy="2913310"/>
                    </a:xfrm>
                    <a:prstGeom prst="rect">
                      <a:avLst/>
                    </a:prstGeom>
                    <a:noFill/>
                  </pic:spPr>
                </pic:pic>
              </a:graphicData>
            </a:graphic>
          </wp:inline>
        </w:drawing>
      </w:r>
    </w:p>
    <w:p>
      <w:pPr>
        <w:spacing w:after="0" w:line="360" w:lineRule="auto"/>
        <w:jc w:val="both"/>
        <w:rPr>
          <w:rFonts w:ascii="Arial" w:hAnsi="Arial" w:cs="Arial"/>
          <w:sz w:val="24"/>
          <w:szCs w:val="24"/>
          <w:lang w:val="es-ES_tradnl"/>
        </w:rPr>
      </w:pPr>
      <w:r>
        <w:rPr>
          <w:rFonts w:ascii="Arial" w:hAnsi="Arial" w:cs="Arial"/>
          <w:sz w:val="24"/>
          <w:szCs w:val="24"/>
          <w:lang w:val="es-ES_tradnl"/>
        </w:rPr>
        <w:lastRenderedPageBreak/>
        <w:t>Tal y como se ha señalado anteriormente, el número de mujeres atendidas se justifican, en gran medida, por la repercusión del trabajo de calle y la aproximación continuada a los espacios de prostitución. Esta labor ha facilitado el contacto directo con las mujeres, así como la difusión de información sobre la existencia y el funcionamiento del recurso. Asimismo, la comunicación y el intercambio de experiencias entre las propias mujeres han sido determinantes, convirtiéndose en uno de los principales medios a través de los cuales conocen la entidad y toman la decisión de acercarse al proyecto para abordar sus problemáticas.</w:t>
      </w:r>
    </w:p>
    <w:p>
      <w:pPr>
        <w:spacing w:after="0" w:line="360" w:lineRule="auto"/>
        <w:jc w:val="both"/>
        <w:rPr>
          <w:rFonts w:ascii="Arial" w:hAnsi="Arial" w:cs="Arial"/>
          <w:sz w:val="24"/>
          <w:szCs w:val="24"/>
          <w:lang w:val="es-ES_tradnl"/>
        </w:rPr>
      </w:pPr>
    </w:p>
    <w:p>
      <w:pPr>
        <w:spacing w:after="0" w:line="360" w:lineRule="auto"/>
        <w:jc w:val="both"/>
        <w:rPr>
          <w:rFonts w:ascii="Arial" w:hAnsi="Arial" w:cs="Arial"/>
          <w:sz w:val="24"/>
          <w:szCs w:val="24"/>
          <w:lang w:val="es-ES_tradnl"/>
        </w:rPr>
      </w:pPr>
      <w:r>
        <w:rPr>
          <w:rFonts w:ascii="Arial" w:hAnsi="Arial" w:cs="Arial"/>
          <w:sz w:val="24"/>
          <w:szCs w:val="24"/>
          <w:lang w:val="es-ES_tradnl"/>
        </w:rPr>
        <w:t>Tal como se observa en la gráfica, el trabajo de calle no solo constituye una vía de acceso directa al recurso, sino que también favorece que las mujeres se recomienden entre sí la atención ofrecida por el proyecto Daniela Participa, reforzando así los procesos de derivación informal y el aumento progresivo de mujeres atendidas.</w:t>
      </w:r>
    </w:p>
    <w:p>
      <w:pPr>
        <w:spacing w:after="0" w:line="360" w:lineRule="auto"/>
        <w:jc w:val="both"/>
        <w:rPr>
          <w:rFonts w:ascii="Arial" w:hAnsi="Arial" w:cs="Arial"/>
          <w:sz w:val="24"/>
          <w:szCs w:val="24"/>
          <w:lang w:val="es-ES_tradnl"/>
        </w:rPr>
      </w:pPr>
    </w:p>
    <w:p>
      <w:pPr>
        <w:spacing w:after="0" w:line="360" w:lineRule="auto"/>
        <w:jc w:val="both"/>
        <w:rPr>
          <w:rFonts w:ascii="Arial" w:hAnsi="Arial" w:cs="Arial"/>
          <w:sz w:val="24"/>
          <w:szCs w:val="24"/>
          <w:lang w:val="es-ES_tradnl"/>
        </w:rPr>
      </w:pPr>
      <w:r>
        <w:rPr>
          <w:rFonts w:ascii="Arial" w:hAnsi="Arial" w:cs="Arial"/>
          <w:noProof/>
          <w:sz w:val="24"/>
          <w:szCs w:val="24"/>
          <w:lang w:eastAsia="es-ES"/>
        </w:rPr>
        <w:drawing>
          <wp:anchor distT="0" distB="0" distL="114300" distR="114300" simplePos="0" relativeHeight="251664384" behindDoc="0" locked="0" layoutInCell="1" allowOverlap="1">
            <wp:simplePos x="0" y="0"/>
            <wp:positionH relativeFrom="column">
              <wp:posOffset>-1905</wp:posOffset>
            </wp:positionH>
            <wp:positionV relativeFrom="paragraph">
              <wp:posOffset>603885</wp:posOffset>
            </wp:positionV>
            <wp:extent cx="6054725" cy="3324225"/>
            <wp:effectExtent l="0" t="0" r="3175" b="9525"/>
            <wp:wrapSquare wrapText="bothSides"/>
            <wp:docPr id="35" name="Imagen 35" descr="D:\Mis Documentos\Usuario2827\Downloads\edad_mujeres_programa_danie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is Documentos\Usuario2827\Downloads\edad_mujeres_programa_daniela.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54725" cy="3324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lang w:val="es-ES_tradnl"/>
        </w:rPr>
        <w:t xml:space="preserve">En cuanto a las principales características sociodemográficas, se destacan las siguientes: </w:t>
      </w:r>
    </w:p>
    <w:p>
      <w:pPr>
        <w:spacing w:after="160" w:line="259" w:lineRule="auto"/>
        <w:jc w:val="center"/>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360" w:lineRule="auto"/>
        <w:jc w:val="both"/>
        <w:rPr>
          <w:rFonts w:ascii="Arial" w:hAnsi="Arial" w:cs="Arial"/>
          <w:sz w:val="24"/>
          <w:szCs w:val="24"/>
          <w:lang w:val="es-ES_tradnl"/>
        </w:rPr>
      </w:pPr>
      <w:r>
        <w:rPr>
          <w:rFonts w:ascii="Arial" w:hAnsi="Arial" w:cs="Arial"/>
          <w:sz w:val="24"/>
          <w:szCs w:val="24"/>
          <w:lang w:val="es-ES_tradnl"/>
        </w:rPr>
        <w:lastRenderedPageBreak/>
        <w:t xml:space="preserve">La gráfica muestra que la mayoría de las mujeres atendidas se concentra en edades adultas, especialmente en los tramos de 26 a 35 años y 36 a 45 años, que representan los grupos más numerosos. Asimismo, destaca un volumen significativo de mujeres mayores de 46 años, lo que evidencia una amplia diversidad etaria en la atención. </w:t>
      </w:r>
    </w:p>
    <w:p>
      <w:pPr>
        <w:spacing w:after="160" w:line="259" w:lineRule="auto"/>
        <w:jc w:val="center"/>
        <w:rPr>
          <w:rFonts w:ascii="Arial" w:hAnsi="Arial" w:cs="Arial"/>
          <w:sz w:val="24"/>
          <w:szCs w:val="24"/>
          <w:lang w:val="es-ES_tradnl"/>
        </w:rPr>
      </w:pPr>
      <w:r>
        <w:rPr>
          <w:rFonts w:ascii="Arial" w:hAnsi="Arial" w:cs="Arial"/>
          <w:noProof/>
          <w:sz w:val="24"/>
          <w:szCs w:val="24"/>
          <w:lang w:eastAsia="es-ES"/>
        </w:rPr>
        <w:drawing>
          <wp:inline distT="0" distB="0" distL="0" distR="0">
            <wp:extent cx="5849174" cy="3105150"/>
            <wp:effectExtent l="0" t="0" r="0" b="0"/>
            <wp:docPr id="36" name="Imagen 36" descr="D:\Mis Documentos\Usuario2827\Downloads\pais_origen_mujeres_programa_danie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is Documentos\Usuario2827\Downloads\pais_origen_mujeres_programa_daniela.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60109" cy="3110955"/>
                    </a:xfrm>
                    <a:prstGeom prst="rect">
                      <a:avLst/>
                    </a:prstGeom>
                    <a:noFill/>
                    <a:ln>
                      <a:noFill/>
                    </a:ln>
                  </pic:spPr>
                </pic:pic>
              </a:graphicData>
            </a:graphic>
          </wp:inline>
        </w:drawing>
      </w:r>
    </w:p>
    <w:p>
      <w:pPr>
        <w:spacing w:after="160" w:line="259" w:lineRule="auto"/>
        <w:jc w:val="both"/>
        <w:rPr>
          <w:rFonts w:ascii="Arial" w:hAnsi="Arial" w:cs="Arial"/>
          <w:sz w:val="24"/>
          <w:szCs w:val="24"/>
          <w:lang w:val="es-ES_tradnl"/>
        </w:rPr>
      </w:pPr>
    </w:p>
    <w:p>
      <w:pPr>
        <w:spacing w:after="160" w:line="360" w:lineRule="auto"/>
        <w:jc w:val="both"/>
        <w:rPr>
          <w:rFonts w:ascii="Arial" w:hAnsi="Arial" w:cs="Arial"/>
          <w:sz w:val="24"/>
          <w:szCs w:val="24"/>
          <w:lang w:val="es-ES_tradnl"/>
        </w:rPr>
      </w:pPr>
      <w:r>
        <w:rPr>
          <w:rFonts w:ascii="Arial" w:hAnsi="Arial" w:cs="Arial"/>
          <w:sz w:val="24"/>
          <w:szCs w:val="24"/>
          <w:lang w:val="es-ES_tradnl"/>
        </w:rPr>
        <w:t>La gráfica muestra una clara predominancia de mujeres de origen colombiano, que representan aproximadamente el 47,8 % del total de mujeres atendidas. A continuación, destacan las mujeres de nacionalidad española (17,2 %) y venezolana (14,2 %). En menor proporción aparecen mujeres procedentes de Argentina (3,7 %), Brasil (3,0 %) y Nigeria (2,2 %). El resto de nacionalidades presentan una representación reducida, con porcentajes que oscilan entre el 0,7 % y el 1,5 % cada una, lo que refleja una amplia diversidad de países de origen, aunque con una concentración mayoritaria en determinados contextos geográficos.</w:t>
      </w: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r>
        <w:rPr>
          <w:rFonts w:ascii="Arial" w:hAnsi="Arial" w:cs="Arial"/>
          <w:noProof/>
          <w:sz w:val="24"/>
          <w:szCs w:val="24"/>
          <w:lang w:eastAsia="es-ES"/>
        </w:rPr>
        <w:lastRenderedPageBreak/>
        <w:drawing>
          <wp:anchor distT="0" distB="0" distL="114300" distR="114300" simplePos="0" relativeHeight="251666432" behindDoc="0" locked="0" layoutInCell="1" allowOverlap="1">
            <wp:simplePos x="0" y="0"/>
            <wp:positionH relativeFrom="column">
              <wp:posOffset>874395</wp:posOffset>
            </wp:positionH>
            <wp:positionV relativeFrom="paragraph">
              <wp:posOffset>0</wp:posOffset>
            </wp:positionV>
            <wp:extent cx="4438650" cy="3430270"/>
            <wp:effectExtent l="0" t="0" r="0" b="0"/>
            <wp:wrapThrough wrapText="bothSides">
              <wp:wrapPolygon edited="0">
                <wp:start x="0" y="0"/>
                <wp:lineTo x="0" y="21472"/>
                <wp:lineTo x="21507" y="21472"/>
                <wp:lineTo x="21507" y="0"/>
                <wp:lineTo x="0" y="0"/>
              </wp:wrapPolygon>
            </wp:wrapThrough>
            <wp:docPr id="37" name="Imagen 37" descr="D:\Mis Documentos\Usuario2827\Downloads\estado_civil_mujeres_programa_daniel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is Documentos\Usuario2827\Downloads\estado_civil_mujeres_programa_daniela (1).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438650" cy="3430270"/>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r>
        <w:rPr>
          <w:rFonts w:ascii="Arial" w:hAnsi="Arial" w:cs="Arial"/>
          <w:sz w:val="24"/>
          <w:szCs w:val="24"/>
          <w:lang w:val="es-ES_tradnl"/>
        </w:rPr>
        <w:t>La gráfica de estado civil muestra un claro predominio de mujeres solteras, que representan aproximadamente el 73,1 % del total atendido, constituyéndose como el grupo mayoritario. En porcentajes considerablemente menores se sitúan las mujeres casadas (6,7 %), divorciadas (6,0 %) y separadas (5,2 %). Por su parte, las mujeres viudas suponen un 3,7 %.</w:t>
      </w:r>
    </w:p>
    <w:p>
      <w:pPr>
        <w:spacing w:after="160" w:line="259" w:lineRule="auto"/>
        <w:jc w:val="both"/>
        <w:rPr>
          <w:rFonts w:ascii="Arial" w:hAnsi="Arial" w:cs="Arial"/>
          <w:sz w:val="24"/>
          <w:szCs w:val="24"/>
          <w:lang w:val="es-ES_tradnl"/>
        </w:rPr>
      </w:pPr>
      <w:r>
        <w:rPr>
          <w:rFonts w:ascii="Arial" w:hAnsi="Arial" w:cs="Arial"/>
          <w:noProof/>
          <w:sz w:val="24"/>
          <w:szCs w:val="24"/>
          <w:lang w:eastAsia="es-ES"/>
        </w:rPr>
        <w:drawing>
          <wp:anchor distT="0" distB="0" distL="114300" distR="114300" simplePos="0" relativeHeight="251667456" behindDoc="0" locked="0" layoutInCell="1" allowOverlap="1">
            <wp:simplePos x="0" y="0"/>
            <wp:positionH relativeFrom="column">
              <wp:posOffset>1217294</wp:posOffset>
            </wp:positionH>
            <wp:positionV relativeFrom="paragraph">
              <wp:posOffset>30480</wp:posOffset>
            </wp:positionV>
            <wp:extent cx="3609975" cy="3602812"/>
            <wp:effectExtent l="0" t="0" r="0" b="0"/>
            <wp:wrapSquare wrapText="bothSides"/>
            <wp:docPr id="11" name="Imagen 11" descr="D:\Mis Documentos\Usuario2827\Downloads\situacion_familiar_numero_hijos_agrup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is Documentos\Usuario2827\Downloads\situacion_familiar_numero_hijos_agrupado.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10433" cy="3603269"/>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r>
        <w:rPr>
          <w:rFonts w:ascii="Arial" w:hAnsi="Arial" w:cs="Arial"/>
          <w:sz w:val="24"/>
          <w:szCs w:val="24"/>
          <w:lang w:val="es-ES_tradnl"/>
        </w:rPr>
        <w:lastRenderedPageBreak/>
        <w:t>De las mujeres atendidas, 88 tenían hijos/as, lo que representa aproximadamente el 65,7 % del total. Predominan especialmente aquellas con uno o dos hijos/as, que constituyen el grupo mayoritario dentro de este indicador. Este dato, en relación con el indicador anterior relativo al estado civil, permite dibujar un perfil de mujer en situación de alta vulnerabilidad social, con cargas familiares significativas que, en la mayoría de los casos, afronta en solitario, lo que incrementa su nivel de riesgo y la necesidad de acompañamiento socioeducativo continuado.</w:t>
      </w:r>
    </w:p>
    <w:p>
      <w:pPr>
        <w:spacing w:after="160" w:line="259" w:lineRule="auto"/>
        <w:jc w:val="both"/>
        <w:rPr>
          <w:rFonts w:ascii="Arial" w:hAnsi="Arial" w:cs="Arial"/>
          <w:noProof/>
          <w:sz w:val="24"/>
          <w:szCs w:val="24"/>
          <w:lang w:eastAsia="es-ES"/>
        </w:rPr>
      </w:pPr>
      <w:r>
        <w:rPr>
          <w:rFonts w:ascii="Arial" w:hAnsi="Arial" w:cs="Arial"/>
          <w:noProof/>
          <w:sz w:val="24"/>
          <w:szCs w:val="24"/>
          <w:lang w:eastAsia="es-ES"/>
        </w:rPr>
        <w:drawing>
          <wp:anchor distT="0" distB="0" distL="114300" distR="114300" simplePos="0" relativeHeight="251669504" behindDoc="0" locked="0" layoutInCell="1" allowOverlap="1">
            <wp:simplePos x="0" y="0"/>
            <wp:positionH relativeFrom="margin">
              <wp:align>right</wp:align>
            </wp:positionH>
            <wp:positionV relativeFrom="paragraph">
              <wp:posOffset>1237615</wp:posOffset>
            </wp:positionV>
            <wp:extent cx="5848350" cy="1828800"/>
            <wp:effectExtent l="0" t="0" r="0" b="0"/>
            <wp:wrapSquare wrapText="bothSides"/>
            <wp:docPr id="41" name="Imagen 41" descr="D:\Mis Documentos\Usuario2827\Downloads\nivel_formativo_mujeres_programa_daniela_mejo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is Documentos\Usuario2827\Downloads\nivel_formativo_mujeres_programa_daniela_mejorado.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48350" cy="1828800"/>
                    </a:xfrm>
                    <a:prstGeom prst="rect">
                      <a:avLst/>
                    </a:prstGeom>
                    <a:noFill/>
                    <a:ln>
                      <a:noFill/>
                    </a:ln>
                  </pic:spPr>
                </pic:pic>
              </a:graphicData>
            </a:graphic>
            <wp14:sizeRelV relativeFrom="margin">
              <wp14:pctHeight>0</wp14:pctHeight>
            </wp14:sizeRelV>
          </wp:anchor>
        </w:drawing>
      </w:r>
      <w:r>
        <w:rPr>
          <w:rFonts w:ascii="Arial" w:hAnsi="Arial" w:cs="Arial"/>
          <w:noProof/>
          <w:sz w:val="24"/>
          <w:szCs w:val="24"/>
          <w:lang w:eastAsia="es-ES"/>
        </w:rPr>
        <w:t>La gráfica de nivel formativo, tal y como se expone a continuación, refleja que la mayoría de las mujeres atendidas cuenta con algún nivel de estudios. Entre los niveles formativos, destacan especialmente los estudios secundarios finalizados, que representan alrededor del 28,2 % del total, seguidos de los estudios primarios (22,9 %) y el bachillerato (16,8 %). Asimismo, se observa que un 10,7 % ha accedido a estudios universitarios (finalizados o no) y un 5,3 % cuenta con formación profesional.</w:t>
      </w:r>
    </w:p>
    <w:p>
      <w:pPr>
        <w:tabs>
          <w:tab w:val="left" w:pos="1265"/>
        </w:tabs>
        <w:spacing w:after="160" w:line="259" w:lineRule="auto"/>
        <w:rPr>
          <w:rFonts w:ascii="Arial" w:hAnsi="Arial" w:cs="Arial"/>
          <w:noProof/>
          <w:sz w:val="24"/>
          <w:szCs w:val="24"/>
          <w:lang w:eastAsia="es-ES"/>
        </w:rPr>
      </w:pPr>
      <w:r>
        <w:rPr>
          <w:rFonts w:ascii="Arial" w:hAnsi="Arial" w:cs="Arial"/>
          <w:noProof/>
          <w:sz w:val="24"/>
          <w:szCs w:val="24"/>
          <w:lang w:eastAsia="es-ES"/>
        </w:rPr>
        <w:drawing>
          <wp:anchor distT="0" distB="0" distL="114300" distR="114300" simplePos="0" relativeHeight="251668480" behindDoc="0" locked="0" layoutInCell="1" allowOverlap="1">
            <wp:simplePos x="0" y="0"/>
            <wp:positionH relativeFrom="column">
              <wp:posOffset>93345</wp:posOffset>
            </wp:positionH>
            <wp:positionV relativeFrom="paragraph">
              <wp:posOffset>2127250</wp:posOffset>
            </wp:positionV>
            <wp:extent cx="5861685" cy="3286125"/>
            <wp:effectExtent l="0" t="0" r="5715" b="9525"/>
            <wp:wrapSquare wrapText="bothSides"/>
            <wp:docPr id="47" name="Imagen 47" descr="D:\Mis Documentos\Usuario2827\Downloads\situacion_administrativa_muje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Mis Documentos\Usuario2827\Downloads\situacion_administrativa_mujeres.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61685" cy="328612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after="160" w:line="360" w:lineRule="auto"/>
        <w:jc w:val="both"/>
        <w:rPr>
          <w:rFonts w:ascii="Arial" w:hAnsi="Arial" w:cs="Arial"/>
          <w:sz w:val="24"/>
          <w:szCs w:val="24"/>
          <w:lang w:val="es-ES_tradnl"/>
        </w:rPr>
      </w:pPr>
      <w:r>
        <w:rPr>
          <w:rFonts w:ascii="Arial" w:hAnsi="Arial" w:cs="Arial"/>
          <w:sz w:val="24"/>
          <w:szCs w:val="24"/>
          <w:lang w:val="es-ES_tradnl"/>
        </w:rPr>
        <w:lastRenderedPageBreak/>
        <w:t>La gráfica muestra que una parte significativa de las mujeres atendidas se encuentra en situación administrativa irregular. En concreto, las mujeres que disponen únicamente de pasaporte en el momento de la primera atención, representan el grupo más numeroso (aproximadamente el 41 %). Muy próximo a este grupo se sitúan las mujeres con NIE,</w:t>
      </w:r>
      <w:r>
        <w:rPr>
          <w:rFonts w:ascii="Arial" w:hAnsi="Arial" w:cs="Arial"/>
          <w:color w:val="FF0000"/>
          <w:sz w:val="24"/>
          <w:szCs w:val="24"/>
          <w:lang w:val="es-ES_tradnl"/>
        </w:rPr>
        <w:t xml:space="preserve"> </w:t>
      </w:r>
      <w:r>
        <w:rPr>
          <w:rFonts w:ascii="Arial" w:hAnsi="Arial" w:cs="Arial"/>
          <w:sz w:val="24"/>
          <w:szCs w:val="24"/>
          <w:lang w:val="es-ES_tradnl"/>
        </w:rPr>
        <w:t xml:space="preserve">que suponen alrededor del 39 %, reflejando procesos de regularización en curso o consolidados. </w:t>
      </w:r>
    </w:p>
    <w:p>
      <w:pPr>
        <w:spacing w:after="160" w:line="360" w:lineRule="auto"/>
        <w:jc w:val="both"/>
        <w:rPr>
          <w:rFonts w:ascii="Arial" w:hAnsi="Arial" w:cs="Arial"/>
          <w:sz w:val="24"/>
          <w:szCs w:val="24"/>
          <w:lang w:val="es-ES_tradnl"/>
        </w:rPr>
      </w:pPr>
      <w:r>
        <w:rPr>
          <w:rFonts w:ascii="Arial" w:hAnsi="Arial" w:cs="Arial"/>
          <w:sz w:val="24"/>
          <w:szCs w:val="24"/>
          <w:lang w:val="es-ES_tradnl"/>
        </w:rPr>
        <w:t xml:space="preserve">Por otro lado, las mujeres con DNI representan cerca del 18 %, mientras que las solicitantes de asilo con tarjeta roja constituyen un porcentaje muy reducido (en torno al 1,5 %). </w:t>
      </w:r>
    </w:p>
    <w:p>
      <w:pPr>
        <w:spacing w:after="160" w:line="259" w:lineRule="auto"/>
        <w:jc w:val="both"/>
        <w:rPr>
          <w:rFonts w:ascii="Arial" w:hAnsi="Arial" w:cs="Arial"/>
          <w:sz w:val="24"/>
          <w:szCs w:val="24"/>
          <w:lang w:val="es-ES_tradnl"/>
        </w:rPr>
      </w:pPr>
      <w:r>
        <w:rPr>
          <w:rFonts w:ascii="Arial" w:hAnsi="Arial" w:cs="Arial"/>
          <w:noProof/>
          <w:sz w:val="24"/>
          <w:szCs w:val="24"/>
          <w:lang w:eastAsia="es-ES"/>
        </w:rPr>
        <w:drawing>
          <wp:inline distT="0" distB="0" distL="0" distR="0">
            <wp:extent cx="5846445" cy="2950845"/>
            <wp:effectExtent l="0" t="0" r="1905" b="190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46445" cy="2950845"/>
                    </a:xfrm>
                    <a:prstGeom prst="rect">
                      <a:avLst/>
                    </a:prstGeom>
                    <a:noFill/>
                  </pic:spPr>
                </pic:pic>
              </a:graphicData>
            </a:graphic>
          </wp:inline>
        </w:drawing>
      </w:r>
    </w:p>
    <w:p>
      <w:pPr>
        <w:spacing w:after="160" w:line="360" w:lineRule="auto"/>
        <w:jc w:val="both"/>
        <w:rPr>
          <w:rFonts w:ascii="Arial" w:hAnsi="Arial" w:cs="Arial"/>
          <w:sz w:val="24"/>
          <w:szCs w:val="24"/>
          <w:lang w:val="es-ES_tradnl"/>
        </w:rPr>
      </w:pPr>
      <w:r>
        <w:rPr>
          <w:rFonts w:ascii="Arial" w:hAnsi="Arial" w:cs="Arial"/>
          <w:sz w:val="24"/>
          <w:szCs w:val="24"/>
        </w:rPr>
        <w:t>En relación con la principal problemática social identificada en las mujeres atendidas, se observa que la situación de prostitución continúa siendo la más prevalente, afectando a 66 mujeres, lo que representa el 49,3 % del total. Asimismo, 20 mujeres han sido identificadas como víctimas de trata con fines de explotación sexual (14,9 %), y 10 mujeres presentan indicadores de trata (7,5 %), lo que evidencia la persistencia de contextos de alta vulnerabilidad vinculados a la explotación.</w:t>
      </w:r>
    </w:p>
    <w:p>
      <w:pPr>
        <w:spacing w:after="160" w:line="360" w:lineRule="auto"/>
        <w:jc w:val="both"/>
        <w:rPr>
          <w:rFonts w:ascii="Arial" w:hAnsi="Arial" w:cs="Arial"/>
          <w:sz w:val="24"/>
          <w:szCs w:val="24"/>
        </w:rPr>
      </w:pPr>
      <w:r>
        <w:rPr>
          <w:rFonts w:ascii="Arial" w:hAnsi="Arial" w:cs="Arial"/>
          <w:sz w:val="24"/>
          <w:szCs w:val="24"/>
        </w:rPr>
        <w:t xml:space="preserve">Por otro lado, 22 mujeres se encontraban en situación de exclusión social (16,4 %), mientras que 11 mujeres presentaban como problemática principal la violencia de </w:t>
      </w:r>
      <w:r>
        <w:rPr>
          <w:rFonts w:ascii="Arial" w:hAnsi="Arial" w:cs="Arial"/>
          <w:sz w:val="24"/>
          <w:szCs w:val="24"/>
        </w:rPr>
        <w:lastRenderedPageBreak/>
        <w:t xml:space="preserve">género (8,2 %). En menor proporción se sitúan las mujeres en situación de protección internacional (4 mujeres; 3,0 %). </w:t>
      </w:r>
    </w:p>
    <w:p>
      <w:pPr>
        <w:spacing w:after="160" w:line="360" w:lineRule="auto"/>
        <w:jc w:val="both"/>
        <w:rPr>
          <w:rFonts w:ascii="Arial" w:hAnsi="Arial" w:cs="Arial"/>
          <w:sz w:val="24"/>
          <w:szCs w:val="24"/>
        </w:rPr>
      </w:pPr>
      <w:r>
        <w:rPr>
          <w:rFonts w:ascii="Arial" w:hAnsi="Arial" w:cs="Arial"/>
          <w:sz w:val="24"/>
          <w:szCs w:val="24"/>
        </w:rPr>
        <w:t>En conjunto, los datos reflejan que la mayoría de las mujeres atendidas se enfrentan a situaciones complejas y acumulativas de vulnerabilidad, en las que confluyen la prostitución, la trata, la exclusión social y la violencia, lo que justifica la necesidad de una intervención integral, especializada y sostenida en el tiempo.</w:t>
      </w:r>
    </w:p>
    <w:p>
      <w:pPr>
        <w:spacing w:after="160" w:line="259" w:lineRule="auto"/>
        <w:jc w:val="both"/>
        <w:rPr>
          <w:rFonts w:ascii="Arial" w:hAnsi="Arial" w:cs="Arial"/>
          <w:sz w:val="24"/>
          <w:szCs w:val="24"/>
        </w:rPr>
      </w:pPr>
    </w:p>
    <w:p>
      <w:pPr>
        <w:shd w:val="clear" w:color="auto" w:fill="B2A1C7" w:themeFill="accent4" w:themeFillTint="99"/>
        <w:contextualSpacing/>
        <w:jc w:val="both"/>
        <w:rPr>
          <w:rFonts w:ascii="Arial" w:hAnsi="Arial" w:cs="Arial"/>
          <w:b/>
          <w:sz w:val="24"/>
          <w:szCs w:val="24"/>
        </w:rPr>
      </w:pPr>
      <w:r>
        <w:rPr>
          <w:rFonts w:ascii="Arial" w:hAnsi="Arial" w:cs="Arial"/>
          <w:b/>
          <w:sz w:val="24"/>
          <w:szCs w:val="24"/>
        </w:rPr>
        <w:t>3.4.- METODOLOGÍA</w:t>
      </w:r>
    </w:p>
    <w:p>
      <w:pPr>
        <w:autoSpaceDE w:val="0"/>
        <w:autoSpaceDN w:val="0"/>
        <w:adjustRightInd w:val="0"/>
        <w:spacing w:after="0"/>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Daniela Participa ha desarrollado todas sus acciones dirigidas a facilitar a las mujeres la toma de conciencia ante su propia realidad y a ser protagonista en la búsqueda de alternativas que pueden favorecer su autonomía y su incorporación a la sociedad, desde el conocimiento y el ejercicio de sus derechos y obligaciones como ciudadanas.</w:t>
      </w:r>
    </w:p>
    <w:p>
      <w:pP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La atención social a las mujeres en sede se ha establecido mediante cita previa, salvo en los casos de mujeres que llegan por primera vez, intervenciones por situación de crisis y mujeres que han suspendido el acompañamiento y reanudan.</w:t>
      </w:r>
    </w:p>
    <w:p>
      <w:pPr>
        <w:spacing w:after="0" w:line="360" w:lineRule="auto"/>
        <w:jc w:val="both"/>
        <w:rPr>
          <w:rFonts w:ascii="Arial" w:eastAsia="Times New Roman" w:hAnsi="Arial" w:cs="Arial"/>
          <w:sz w:val="24"/>
          <w:szCs w:val="24"/>
          <w:lang w:eastAsia="es-ES"/>
        </w:rPr>
      </w:pPr>
    </w:p>
    <w:p>
      <w:pP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Cuando la mujer accede al servicio se realiza una entrevista de valoración por parte de la trabajadora social, explicando los servicios del programa y se realiza una breve aproximación a las demandas y necesidades de la mujer. Tras la primera entrevista, si la mujer no reúne el perfil, se ofrece información y orientación sobre los recursos específicos que precise. Si la mujer manifiesta iniciar un acompañamiento para el desarrollo personal e inclusión socio laboral, se planifica junto a ella varias citas sucesivas para la valoración, diagnóstico, diseño de los objetivos de su seguimiento.</w:t>
      </w:r>
    </w:p>
    <w:p>
      <w:pP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Si la mujer refiere el deseo de intervenciones o servicios puntuales, se procede a acompañar solo en su demanda.</w:t>
      </w:r>
    </w:p>
    <w:p>
      <w:pPr>
        <w:spacing w:after="0" w:line="360" w:lineRule="auto"/>
        <w:jc w:val="both"/>
        <w:rPr>
          <w:rFonts w:ascii="Arial" w:eastAsia="Times New Roman" w:hAnsi="Arial" w:cs="Arial"/>
          <w:sz w:val="24"/>
          <w:szCs w:val="24"/>
          <w:lang w:eastAsia="es-ES"/>
        </w:rPr>
      </w:pPr>
    </w:p>
    <w:p>
      <w:pP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Si la mujer demanda o es susceptible de atención psicológica, jurídica, formativa y/o laboral, se le deriva a las profesionales de cada área, realizando una presentación personal previa y concertando una cita con la mujer.</w:t>
      </w:r>
    </w:p>
    <w:p>
      <w:pPr>
        <w:spacing w:after="0" w:line="360" w:lineRule="auto"/>
        <w:jc w:val="both"/>
        <w:rPr>
          <w:rFonts w:ascii="Arial" w:eastAsia="Times New Roman" w:hAnsi="Arial" w:cs="Arial"/>
          <w:sz w:val="24"/>
          <w:szCs w:val="24"/>
          <w:lang w:eastAsia="es-ES"/>
        </w:rPr>
      </w:pPr>
    </w:p>
    <w:p>
      <w:pP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La metodología de la intervención social se configura desde la intervención integral, por lo que todas las mujeres son valoradas desde el Equipo de Atención Especializada del Programa.</w:t>
      </w:r>
    </w:p>
    <w:p>
      <w:pPr>
        <w:spacing w:after="0" w:line="360" w:lineRule="auto"/>
        <w:jc w:val="both"/>
        <w:rPr>
          <w:rFonts w:ascii="Arial" w:eastAsia="Times New Roman" w:hAnsi="Arial" w:cs="Arial"/>
          <w:sz w:val="24"/>
          <w:szCs w:val="24"/>
          <w:lang w:eastAsia="es-ES"/>
        </w:rPr>
      </w:pPr>
    </w:p>
    <w:p>
      <w:pP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Se realiza la intervención en espacios de prostitución, según planificación previa y las zonas de intervención en trabajo de calle.  Se contacta con pisos, clubes, con anticipación, y si en el encuentro con la mujer se detecta necesidad de continuar en la relación de ayuda, se les invita a acudir al Programa Oblatas Daniela, o bien se facilita el encuentro en un espacio seguro y cercano a ella.</w:t>
      </w:r>
    </w:p>
    <w:p>
      <w:pPr>
        <w:spacing w:after="0" w:line="360" w:lineRule="auto"/>
        <w:jc w:val="both"/>
        <w:rPr>
          <w:rFonts w:ascii="Arial" w:eastAsia="Times New Roman" w:hAnsi="Arial" w:cs="Arial"/>
          <w:sz w:val="24"/>
          <w:szCs w:val="24"/>
          <w:lang w:eastAsia="es-ES"/>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Las acciones formativas y de sensibilización social se establecen y dirigen a grupos, de forma que una vez trabajados los contenidos, adaptándolos a edades y conocimientos, se contemplan tiempos de exposición de información, de contraste de fuentes de información, de debate y reflexión conjunto, así como extracción de conclusiones.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Desde el área psicológica se realiza una primera entrevista donde se permite a la mujer que exprese en qué necesita ser ayudada y tras recoger las demandas iniciales, se proponen unos objetivos comunes y un plan de seguimiento. Ello puede suponer tener citas una vez por semana, cada quince días, una vez al mes, en función de lo acordado.  En ocasiones se facilita que las citas coincidan el mismo día haciendo una coordinación de equipo para facilitarle a la mujer su asistencia y pueda aprovechar así los desplazamientos realizados por su parte. En las sucesivas sesiones normalmente salen nuevos objetivos de trabajo, nuevas problemáticas, por lo que se trata de un proceso flexible y adaptado siempre a las necesidades de la mujer. Se utilizan diferentes herramientas y técnicas psicológicas como estrategia para conseguir su desarrollo personal, siempre dependiendo de cuál sea la más adecuada para la mujer. Es la mujer la que valora cual es el momento para continuar o no con terapia y si considera que se encuentra bien y conjuntamente se valora la finalización del proceso terapéutico, se suspende la regularidad de las sesiones y se acuerdan simplemente unas mínimas sesiones de seguimiento (presencial o telefónico) manteniendo siempre el contacto y </w:t>
      </w:r>
      <w:r>
        <w:rPr>
          <w:rFonts w:ascii="Arial" w:eastAsia="Times New Roman" w:hAnsi="Arial" w:cs="Arial"/>
          <w:sz w:val="24"/>
          <w:szCs w:val="24"/>
        </w:rPr>
        <w:lastRenderedPageBreak/>
        <w:t>disponibilidad por si tuviese necesidad de regresar a terapia psicológica, dando así una sensación de seguridad y acompañamiento.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Desde los espacios de formación, sensibilización e incidencia política se genera un modelo de trabajo participativo, grupal, siempre que es posible y adaptado a las circunstancias que durante el año se han vivido. Todo ello con la intención de favorecer la adquisición de contenidos, analizar la realidad, trabajar desde la empatía el momento real de la mujer y favorecer un enfoque crítico que ayude a que se realicen cambios en nuestra sociedad. </w:t>
      </w:r>
    </w:p>
    <w:p>
      <w:pPr>
        <w:spacing w:after="0" w:line="360" w:lineRule="auto"/>
        <w:jc w:val="both"/>
        <w:rPr>
          <w:rFonts w:ascii="Arial" w:eastAsia="Times New Roman" w:hAnsi="Arial" w:cs="Arial"/>
          <w:sz w:val="24"/>
          <w:szCs w:val="24"/>
        </w:rPr>
      </w:pPr>
    </w:p>
    <w:p>
      <w:pPr>
        <w:shd w:val="clear" w:color="auto" w:fill="B2A1C7" w:themeFill="accent4" w:themeFillTint="99"/>
        <w:jc w:val="both"/>
        <w:rPr>
          <w:rFonts w:ascii="Arial" w:eastAsia="Times New Roman" w:hAnsi="Arial" w:cs="Arial"/>
          <w:b/>
          <w:sz w:val="24"/>
          <w:szCs w:val="24"/>
        </w:rPr>
      </w:pPr>
      <w:r>
        <w:rPr>
          <w:rFonts w:ascii="Arial" w:eastAsia="Times New Roman" w:hAnsi="Arial" w:cs="Arial"/>
          <w:b/>
          <w:sz w:val="24"/>
          <w:szCs w:val="24"/>
        </w:rPr>
        <w:t>3.5.- RECURSOS HUMANOS</w:t>
      </w:r>
    </w:p>
    <w:p>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Los recursos humanos contratados y/o en prestación de servicios con los que ha contado el proyecto en el año 2025 han sido los siguientes:</w:t>
      </w:r>
    </w:p>
    <w:tbl>
      <w:tblPr>
        <w:tblpPr w:leftFromText="141" w:rightFromText="141" w:horzAnchor="margin" w:tblpXSpec="center" w:tblpY="-2107"/>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418"/>
        <w:gridCol w:w="2835"/>
        <w:gridCol w:w="993"/>
        <w:gridCol w:w="1275"/>
      </w:tblGrid>
      <w:tr>
        <w:trPr>
          <w:trHeight w:val="244"/>
        </w:trPr>
        <w:tc>
          <w:tcPr>
            <w:tcW w:w="2835" w:type="dxa"/>
            <w:shd w:val="clear" w:color="auto" w:fill="F2F2F2"/>
            <w:vAlign w:val="center"/>
          </w:tcPr>
          <w:p>
            <w:pPr>
              <w:autoSpaceDE w:val="0"/>
              <w:autoSpaceDN w:val="0"/>
              <w:spacing w:after="0" w:line="240" w:lineRule="auto"/>
              <w:jc w:val="center"/>
              <w:rPr>
                <w:rFonts w:eastAsia="Times New Roman" w:cs="Calibri"/>
                <w:b/>
                <w:sz w:val="16"/>
                <w:szCs w:val="16"/>
                <w:lang w:val="es-ES_tradnl" w:eastAsia="es-ES"/>
              </w:rPr>
            </w:pPr>
            <w:r>
              <w:rPr>
                <w:rFonts w:eastAsia="Times New Roman" w:cs="Calibri"/>
                <w:b/>
                <w:sz w:val="16"/>
                <w:szCs w:val="16"/>
                <w:lang w:val="es-ES_tradnl" w:eastAsia="es-ES"/>
              </w:rPr>
              <w:lastRenderedPageBreak/>
              <w:t>Nombre y Apellidos</w:t>
            </w:r>
          </w:p>
        </w:tc>
        <w:tc>
          <w:tcPr>
            <w:tcW w:w="1418" w:type="dxa"/>
            <w:shd w:val="clear" w:color="auto" w:fill="F2F2F2"/>
            <w:vAlign w:val="center"/>
          </w:tcPr>
          <w:p>
            <w:pPr>
              <w:autoSpaceDE w:val="0"/>
              <w:autoSpaceDN w:val="0"/>
              <w:spacing w:after="0" w:line="240" w:lineRule="auto"/>
              <w:jc w:val="center"/>
              <w:rPr>
                <w:rFonts w:eastAsia="Times New Roman" w:cs="Calibri"/>
                <w:b/>
                <w:sz w:val="16"/>
                <w:szCs w:val="16"/>
                <w:lang w:val="es-ES_tradnl" w:eastAsia="es-ES"/>
              </w:rPr>
            </w:pPr>
            <w:r>
              <w:rPr>
                <w:rFonts w:eastAsia="Times New Roman" w:cs="Calibri"/>
                <w:b/>
                <w:sz w:val="16"/>
                <w:szCs w:val="16"/>
                <w:lang w:val="es-ES_tradnl" w:eastAsia="es-ES"/>
              </w:rPr>
              <w:t>Categoría profesional</w:t>
            </w:r>
          </w:p>
        </w:tc>
        <w:tc>
          <w:tcPr>
            <w:tcW w:w="2835" w:type="dxa"/>
            <w:shd w:val="clear" w:color="auto" w:fill="F2F2F2"/>
            <w:vAlign w:val="center"/>
          </w:tcPr>
          <w:p>
            <w:pPr>
              <w:autoSpaceDE w:val="0"/>
              <w:autoSpaceDN w:val="0"/>
              <w:spacing w:after="0" w:line="240" w:lineRule="auto"/>
              <w:jc w:val="center"/>
              <w:rPr>
                <w:rFonts w:eastAsia="Times New Roman" w:cs="Calibri"/>
                <w:b/>
                <w:sz w:val="16"/>
                <w:szCs w:val="16"/>
                <w:lang w:val="es-ES_tradnl" w:eastAsia="es-ES"/>
              </w:rPr>
            </w:pPr>
            <w:r>
              <w:rPr>
                <w:rFonts w:eastAsia="Times New Roman" w:cs="Calibri"/>
                <w:b/>
                <w:sz w:val="16"/>
                <w:szCs w:val="16"/>
                <w:lang w:val="es-ES_tradnl" w:eastAsia="es-ES"/>
              </w:rPr>
              <w:t>Funciones</w:t>
            </w:r>
          </w:p>
        </w:tc>
        <w:tc>
          <w:tcPr>
            <w:tcW w:w="993" w:type="dxa"/>
            <w:shd w:val="clear" w:color="auto" w:fill="F2F2F2"/>
            <w:vAlign w:val="center"/>
          </w:tcPr>
          <w:p>
            <w:pPr>
              <w:autoSpaceDE w:val="0"/>
              <w:autoSpaceDN w:val="0"/>
              <w:spacing w:after="0" w:line="240" w:lineRule="auto"/>
              <w:ind w:left="-108" w:right="-108" w:firstLine="108"/>
              <w:jc w:val="center"/>
              <w:rPr>
                <w:rFonts w:eastAsia="Times New Roman" w:cs="Calibri"/>
                <w:b/>
                <w:sz w:val="16"/>
                <w:szCs w:val="16"/>
                <w:lang w:val="es-ES_tradnl" w:eastAsia="es-ES"/>
              </w:rPr>
            </w:pPr>
            <w:r>
              <w:rPr>
                <w:rFonts w:eastAsia="Times New Roman" w:cs="Calibri"/>
                <w:b/>
                <w:sz w:val="16"/>
                <w:szCs w:val="16"/>
                <w:lang w:val="es-ES_tradnl" w:eastAsia="es-ES"/>
              </w:rPr>
              <w:t>Horas/ semana</w:t>
            </w:r>
          </w:p>
          <w:p>
            <w:pPr>
              <w:autoSpaceDE w:val="0"/>
              <w:autoSpaceDN w:val="0"/>
              <w:spacing w:after="0" w:line="240" w:lineRule="auto"/>
              <w:ind w:left="-108" w:right="-108" w:firstLine="108"/>
              <w:jc w:val="center"/>
              <w:rPr>
                <w:rFonts w:eastAsia="Times New Roman" w:cs="Calibri"/>
                <w:b/>
                <w:sz w:val="16"/>
                <w:szCs w:val="16"/>
                <w:lang w:val="es-ES_tradnl" w:eastAsia="es-ES"/>
              </w:rPr>
            </w:pPr>
            <w:r>
              <w:rPr>
                <w:rFonts w:eastAsia="Times New Roman" w:cs="Calibri"/>
                <w:sz w:val="16"/>
                <w:szCs w:val="16"/>
                <w:lang w:val="es-ES_tradnl" w:eastAsia="es-ES"/>
              </w:rPr>
              <w:t>(dedicadas a este proyecto</w:t>
            </w:r>
            <w:r>
              <w:rPr>
                <w:rFonts w:eastAsia="Times New Roman" w:cs="Calibri"/>
                <w:b/>
                <w:sz w:val="16"/>
                <w:szCs w:val="16"/>
                <w:lang w:val="es-ES_tradnl" w:eastAsia="es-ES"/>
              </w:rPr>
              <w:t>)</w:t>
            </w:r>
          </w:p>
        </w:tc>
        <w:tc>
          <w:tcPr>
            <w:tcW w:w="1275" w:type="dxa"/>
            <w:shd w:val="clear" w:color="auto" w:fill="F2F2F2"/>
            <w:vAlign w:val="center"/>
          </w:tcPr>
          <w:p>
            <w:pPr>
              <w:autoSpaceDE w:val="0"/>
              <w:autoSpaceDN w:val="0"/>
              <w:spacing w:after="0" w:line="240" w:lineRule="auto"/>
              <w:ind w:left="-108" w:right="-250" w:firstLine="108"/>
              <w:jc w:val="center"/>
              <w:rPr>
                <w:rFonts w:eastAsia="Times New Roman" w:cs="Calibri"/>
                <w:b/>
                <w:sz w:val="16"/>
                <w:szCs w:val="16"/>
                <w:lang w:val="es-ES_tradnl" w:eastAsia="es-ES"/>
              </w:rPr>
            </w:pPr>
            <w:r>
              <w:rPr>
                <w:rFonts w:eastAsia="Times New Roman" w:cs="Calibri"/>
                <w:b/>
                <w:sz w:val="16"/>
                <w:szCs w:val="16"/>
                <w:lang w:val="es-ES_tradnl" w:eastAsia="es-ES"/>
              </w:rPr>
              <w:t>Nº  Meses contratación</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Asunción Bartolomé Díez</w:t>
            </w:r>
          </w:p>
          <w:p>
            <w:pPr>
              <w:autoSpaceDE w:val="0"/>
              <w:autoSpaceDN w:val="0"/>
              <w:spacing w:after="0" w:line="240" w:lineRule="auto"/>
              <w:rPr>
                <w:rFonts w:eastAsia="Times New Roman" w:cs="Calibri"/>
                <w:sz w:val="16"/>
                <w:szCs w:val="16"/>
                <w:lang w:eastAsia="es-ES"/>
              </w:rPr>
            </w:pPr>
          </w:p>
        </w:tc>
        <w:tc>
          <w:tcPr>
            <w:tcW w:w="1418"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Directora</w:t>
            </w:r>
          </w:p>
        </w:tc>
        <w:tc>
          <w:tcPr>
            <w:tcW w:w="2835"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Dirección y gestión del proyecto. Coordinadora del programa. Gestión, asesoramiento y dinamización del equipo. Relaciones interinstitucionales y</w:t>
            </w:r>
          </w:p>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Coordinación con las entidades públicas y privadas. Gestión, administración y coordinación de recursos económicos.</w:t>
            </w:r>
          </w:p>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Gestión para el funcionamiento de las instalaciones, obras y recursos materiales.</w:t>
            </w:r>
          </w:p>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Diseño y elaboración de documentación administrativa.</w:t>
            </w:r>
          </w:p>
          <w:p>
            <w:pPr>
              <w:autoSpaceDE w:val="0"/>
              <w:autoSpaceDN w:val="0"/>
              <w:spacing w:after="0" w:line="240" w:lineRule="auto"/>
              <w:jc w:val="both"/>
              <w:rPr>
                <w:rFonts w:eastAsia="Times New Roman" w:cs="Calibri"/>
                <w:bCs/>
                <w:sz w:val="16"/>
                <w:szCs w:val="16"/>
                <w:lang w:eastAsia="es-E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38</w:t>
            </w:r>
          </w:p>
        </w:tc>
        <w:tc>
          <w:tcPr>
            <w:tcW w:w="1275"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12</w:t>
            </w:r>
          </w:p>
          <w:p>
            <w:pPr>
              <w:autoSpaceDE w:val="0"/>
              <w:autoSpaceDN w:val="0"/>
              <w:spacing w:after="0" w:line="240" w:lineRule="auto"/>
              <w:jc w:val="center"/>
              <w:rPr>
                <w:rFonts w:eastAsia="Times New Roman" w:cs="Calibri"/>
                <w:sz w:val="16"/>
                <w:szCs w:val="16"/>
                <w:lang w:eastAsia="es-ES"/>
              </w:rPr>
            </w:pP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Yanira Santana Sosa</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Coordinadora</w:t>
            </w:r>
          </w:p>
        </w:tc>
        <w:tc>
          <w:tcPr>
            <w:tcW w:w="2835" w:type="dxa"/>
          </w:tcPr>
          <w:p>
            <w:pPr>
              <w:autoSpaceDE w:val="0"/>
              <w:autoSpaceDN w:val="0"/>
              <w:spacing w:after="0" w:line="240" w:lineRule="auto"/>
              <w:jc w:val="both"/>
              <w:rPr>
                <w:rFonts w:eastAsia="Times New Roman" w:cs="Calibri"/>
                <w:sz w:val="16"/>
                <w:szCs w:val="16"/>
                <w:lang w:eastAsia="es-ES"/>
              </w:rPr>
            </w:pPr>
            <w:r>
              <w:rPr>
                <w:rFonts w:eastAsia="Times New Roman" w:cs="Calibri"/>
                <w:sz w:val="16"/>
                <w:szCs w:val="16"/>
                <w:lang w:eastAsia="es-ES"/>
              </w:rPr>
              <w:t>Coordinadora del Proyecto. Gestión, asesoramiento y dinamización del equipo. Relaciones interinstitucionales y</w:t>
            </w:r>
          </w:p>
          <w:p>
            <w:pPr>
              <w:autoSpaceDE w:val="0"/>
              <w:autoSpaceDN w:val="0"/>
              <w:spacing w:after="0" w:line="240" w:lineRule="auto"/>
              <w:jc w:val="both"/>
              <w:rPr>
                <w:rFonts w:eastAsia="Times New Roman" w:cs="Calibri"/>
                <w:sz w:val="16"/>
                <w:szCs w:val="16"/>
                <w:lang w:eastAsia="es-ES"/>
              </w:rPr>
            </w:pPr>
            <w:r>
              <w:rPr>
                <w:rFonts w:eastAsia="Times New Roman" w:cs="Calibri"/>
                <w:sz w:val="16"/>
                <w:szCs w:val="16"/>
                <w:lang w:eastAsia="es-ES"/>
              </w:rPr>
              <w:t>Coordinación con las entidades públicas y privadas.</w:t>
            </w:r>
          </w:p>
        </w:tc>
        <w:tc>
          <w:tcPr>
            <w:tcW w:w="993"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38</w:t>
            </w:r>
          </w:p>
        </w:tc>
        <w:tc>
          <w:tcPr>
            <w:tcW w:w="1275"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12</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Ana María Moreno Martín</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Trabajadora social</w:t>
            </w:r>
          </w:p>
        </w:tc>
        <w:tc>
          <w:tcPr>
            <w:tcW w:w="2835" w:type="dxa"/>
          </w:tcPr>
          <w:p>
            <w:pPr>
              <w:autoSpaceDE w:val="0"/>
              <w:autoSpaceDN w:val="0"/>
              <w:spacing w:after="0" w:line="240" w:lineRule="auto"/>
              <w:jc w:val="both"/>
              <w:rPr>
                <w:rFonts w:eastAsia="Times New Roman" w:cs="Calibri"/>
                <w:sz w:val="16"/>
                <w:szCs w:val="16"/>
                <w:lang w:eastAsia="es-ES"/>
              </w:rPr>
            </w:pPr>
            <w:r>
              <w:rPr>
                <w:rFonts w:eastAsia="Times New Roman" w:cs="Calibri"/>
                <w:sz w:val="16"/>
                <w:szCs w:val="16"/>
                <w:lang w:eastAsia="es-ES"/>
              </w:rPr>
              <w:t>Intervención Socioeducativa; Actividades de prevención y sensibilización; Intervención de trabajo de Calle. Actuaciones de coordinación.</w:t>
            </w:r>
          </w:p>
        </w:tc>
        <w:tc>
          <w:tcPr>
            <w:tcW w:w="993"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38</w:t>
            </w:r>
          </w:p>
        </w:tc>
        <w:tc>
          <w:tcPr>
            <w:tcW w:w="1275"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6</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Yenny Martínez Quintero</w:t>
            </w:r>
          </w:p>
          <w:p>
            <w:pPr>
              <w:autoSpaceDE w:val="0"/>
              <w:autoSpaceDN w:val="0"/>
              <w:spacing w:after="0" w:line="240" w:lineRule="auto"/>
              <w:rPr>
                <w:rFonts w:eastAsia="Times New Roman" w:cs="Calibri"/>
                <w:sz w:val="16"/>
                <w:szCs w:val="16"/>
                <w:lang w:eastAsia="es-ES"/>
              </w:rPr>
            </w:pP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Trabajadora social</w:t>
            </w:r>
          </w:p>
        </w:tc>
        <w:tc>
          <w:tcPr>
            <w:tcW w:w="2835" w:type="dxa"/>
          </w:tcPr>
          <w:p>
            <w:pPr>
              <w:autoSpaceDE w:val="0"/>
              <w:autoSpaceDN w:val="0"/>
              <w:spacing w:after="0" w:line="240" w:lineRule="auto"/>
              <w:jc w:val="both"/>
              <w:rPr>
                <w:rFonts w:eastAsia="Times New Roman" w:cs="Calibri"/>
                <w:sz w:val="16"/>
                <w:szCs w:val="16"/>
                <w:lang w:eastAsia="es-ES"/>
              </w:rPr>
            </w:pPr>
            <w:r>
              <w:rPr>
                <w:rFonts w:eastAsia="Times New Roman" w:cs="Calibri"/>
                <w:sz w:val="16"/>
                <w:szCs w:val="16"/>
                <w:lang w:eastAsia="es-ES"/>
              </w:rPr>
              <w:t>Intervención Socioeducativa; Actividades de prevención y sensibilización; Intervención de trabajo de Calle. Actuaciones de coordinación.</w:t>
            </w:r>
          </w:p>
        </w:tc>
        <w:tc>
          <w:tcPr>
            <w:tcW w:w="993"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30 (03/06/2025)</w:t>
            </w:r>
          </w:p>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/38 (</w:t>
            </w:r>
            <w:r>
              <w:rPr>
                <w:rFonts w:eastAsia="Times New Roman" w:cs="Calibri"/>
                <w:sz w:val="16"/>
                <w:szCs w:val="16"/>
                <w:lang w:eastAsia="es-ES"/>
              </w:rPr>
              <w:t>01/08/2025)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7</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Jésica Irena Pestana Alcaraz</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Trabajadora social</w:t>
            </w:r>
          </w:p>
        </w:tc>
        <w:tc>
          <w:tcPr>
            <w:tcW w:w="2835" w:type="dxa"/>
          </w:tcPr>
          <w:p>
            <w:pPr>
              <w:autoSpaceDE w:val="0"/>
              <w:autoSpaceDN w:val="0"/>
              <w:spacing w:after="0" w:line="240" w:lineRule="auto"/>
              <w:jc w:val="both"/>
              <w:rPr>
                <w:rFonts w:ascii="Times New Roman" w:eastAsia="Times New Roman" w:hAnsi="Times New Roman"/>
                <w:sz w:val="16"/>
                <w:szCs w:val="16"/>
                <w:lang w:eastAsia="es-ES"/>
              </w:rPr>
            </w:pPr>
            <w:r>
              <w:rPr>
                <w:rFonts w:eastAsia="Times New Roman" w:cs="Calibri"/>
                <w:sz w:val="16"/>
                <w:szCs w:val="16"/>
                <w:lang w:eastAsia="es-ES"/>
              </w:rPr>
              <w:t>Intervención Socioeducativa; Actividades de prevención y sensibilización; Intervención de trabajo de Calle. Actuaciones de coordinación.</w:t>
            </w:r>
          </w:p>
        </w:tc>
        <w:tc>
          <w:tcPr>
            <w:tcW w:w="993"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38</w:t>
            </w:r>
          </w:p>
        </w:tc>
        <w:tc>
          <w:tcPr>
            <w:tcW w:w="1275"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4</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Carmen Cruz Barceló</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Trabajadora social</w:t>
            </w:r>
          </w:p>
        </w:tc>
        <w:tc>
          <w:tcPr>
            <w:tcW w:w="2835" w:type="dxa"/>
          </w:tcPr>
          <w:p>
            <w:pPr>
              <w:autoSpaceDE w:val="0"/>
              <w:autoSpaceDN w:val="0"/>
              <w:spacing w:after="0" w:line="240" w:lineRule="auto"/>
              <w:jc w:val="both"/>
              <w:rPr>
                <w:rFonts w:ascii="Times New Roman" w:eastAsia="Times New Roman" w:hAnsi="Times New Roman"/>
                <w:sz w:val="16"/>
                <w:szCs w:val="16"/>
                <w:lang w:eastAsia="es-ES"/>
              </w:rPr>
            </w:pPr>
            <w:r>
              <w:rPr>
                <w:rFonts w:eastAsia="Times New Roman" w:cs="Calibri"/>
                <w:sz w:val="16"/>
                <w:szCs w:val="16"/>
                <w:lang w:eastAsia="es-ES"/>
              </w:rPr>
              <w:t>Intervención Socioeducativa; Actividades de prevención y sensibilización; Intervención de trabajo de Calle. Actuaciones de coordinación.</w:t>
            </w:r>
          </w:p>
        </w:tc>
        <w:tc>
          <w:tcPr>
            <w:tcW w:w="993"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38</w:t>
            </w:r>
          </w:p>
        </w:tc>
        <w:tc>
          <w:tcPr>
            <w:tcW w:w="1275"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7</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María del Carmen Flores Rodríguez</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Trabajadora social</w:t>
            </w:r>
          </w:p>
        </w:tc>
        <w:tc>
          <w:tcPr>
            <w:tcW w:w="2835" w:type="dxa"/>
          </w:tcPr>
          <w:p>
            <w:pPr>
              <w:autoSpaceDE w:val="0"/>
              <w:autoSpaceDN w:val="0"/>
              <w:spacing w:after="0" w:line="240" w:lineRule="auto"/>
              <w:jc w:val="both"/>
              <w:rPr>
                <w:rFonts w:ascii="Times New Roman" w:eastAsia="Times New Roman" w:hAnsi="Times New Roman"/>
                <w:sz w:val="16"/>
                <w:szCs w:val="16"/>
                <w:lang w:eastAsia="es-ES"/>
              </w:rPr>
            </w:pPr>
            <w:r>
              <w:rPr>
                <w:rFonts w:eastAsia="Times New Roman" w:cs="Calibri"/>
                <w:sz w:val="16"/>
                <w:szCs w:val="16"/>
                <w:lang w:eastAsia="es-ES"/>
              </w:rPr>
              <w:t>Intervención Socioeducativa; Actividades de prevención y sensibilización; Intervención de trabajo de Calle. Actuaciones de coordinación.</w:t>
            </w:r>
          </w:p>
        </w:tc>
        <w:tc>
          <w:tcPr>
            <w:tcW w:w="993"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38</w:t>
            </w:r>
          </w:p>
        </w:tc>
        <w:tc>
          <w:tcPr>
            <w:tcW w:w="1275"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7</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Laura Isabel Morán Jiménez</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 xml:space="preserve">Psicóloga </w:t>
            </w:r>
          </w:p>
        </w:tc>
        <w:tc>
          <w:tcPr>
            <w:tcW w:w="2835"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Atención e intervención Psicológica; Actividades de prevención y sensibilización; Intervención de trabajo de Calle. Actuaciones de coordinación.</w:t>
            </w:r>
          </w:p>
        </w:tc>
        <w:tc>
          <w:tcPr>
            <w:tcW w:w="993"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2</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Erika Spagnolo</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 xml:space="preserve">Psicóloga </w:t>
            </w:r>
          </w:p>
        </w:tc>
        <w:tc>
          <w:tcPr>
            <w:tcW w:w="2835"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Atención e intervención Psicológica; Actividades de prevención y sensibilización; Intervención de trabajo de Calle. Actuaciones de coordinación.</w:t>
            </w:r>
          </w:p>
        </w:tc>
        <w:tc>
          <w:tcPr>
            <w:tcW w:w="993"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 xml:space="preserve">9 </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Mª Dolores Rodríguez Rosales</w:t>
            </w: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Abogada</w:t>
            </w:r>
          </w:p>
        </w:tc>
        <w:tc>
          <w:tcPr>
            <w:tcW w:w="2835"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Atención e intervención jurídica; Actividades de prevención y sensibilización; Actuaciones de coordinación.</w:t>
            </w:r>
          </w:p>
        </w:tc>
        <w:tc>
          <w:tcPr>
            <w:tcW w:w="993"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12</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Águeda Alemán Sánchez</w:t>
            </w:r>
          </w:p>
          <w:p>
            <w:pPr>
              <w:autoSpaceDE w:val="0"/>
              <w:autoSpaceDN w:val="0"/>
              <w:spacing w:after="0" w:line="240" w:lineRule="auto"/>
              <w:rPr>
                <w:rFonts w:eastAsia="Times New Roman" w:cs="Calibri"/>
                <w:sz w:val="16"/>
                <w:szCs w:val="16"/>
                <w:lang w:eastAsia="es-ES"/>
              </w:rPr>
            </w:pPr>
          </w:p>
        </w:tc>
        <w:tc>
          <w:tcPr>
            <w:tcW w:w="1418"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Trabajadora social</w:t>
            </w:r>
          </w:p>
        </w:tc>
        <w:tc>
          <w:tcPr>
            <w:tcW w:w="2835" w:type="dxa"/>
          </w:tcPr>
          <w:p>
            <w:pPr>
              <w:autoSpaceDE w:val="0"/>
              <w:autoSpaceDN w:val="0"/>
              <w:spacing w:after="0" w:line="240" w:lineRule="auto"/>
              <w:jc w:val="both"/>
              <w:rPr>
                <w:rFonts w:eastAsia="Times New Roman" w:cs="Calibri"/>
                <w:sz w:val="16"/>
                <w:szCs w:val="16"/>
                <w:lang w:eastAsia="es-ES"/>
              </w:rPr>
            </w:pPr>
            <w:r>
              <w:rPr>
                <w:rFonts w:eastAsia="Times New Roman" w:cs="Calibri"/>
                <w:sz w:val="16"/>
                <w:szCs w:val="16"/>
                <w:lang w:eastAsia="es-ES"/>
              </w:rPr>
              <w:t>Intervención Socioeducativa y laboral; Actividades de prevención y sensibilización; Intervención de trabajo de Calle. Actuaciones de coordinación.</w:t>
            </w:r>
          </w:p>
        </w:tc>
        <w:tc>
          <w:tcPr>
            <w:tcW w:w="993" w:type="dxa"/>
          </w:tcPr>
          <w:p>
            <w:pPr>
              <w:autoSpaceDE w:val="0"/>
              <w:autoSpaceDN w:val="0"/>
              <w:spacing w:after="0" w:line="240" w:lineRule="auto"/>
              <w:jc w:val="center"/>
              <w:rPr>
                <w:rFonts w:eastAsia="Times New Roman" w:cs="Calibri"/>
                <w:sz w:val="16"/>
                <w:szCs w:val="16"/>
                <w:lang w:eastAsia="es-ES"/>
              </w:rPr>
            </w:pPr>
            <w:r>
              <w:rPr>
                <w:rFonts w:eastAsia="Times New Roman" w:cs="Calibri"/>
                <w:sz w:val="16"/>
                <w:szCs w:val="16"/>
                <w:lang w:eastAsia="es-ES"/>
              </w:rPr>
              <w:t>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1</w:t>
            </w:r>
          </w:p>
        </w:tc>
      </w:tr>
      <w:tr>
        <w:trPr>
          <w:trHeight w:val="340"/>
        </w:trPr>
        <w:tc>
          <w:tcPr>
            <w:tcW w:w="2835" w:type="dxa"/>
          </w:tcPr>
          <w:p>
            <w:pPr>
              <w:autoSpaceDE w:val="0"/>
              <w:autoSpaceDN w:val="0"/>
              <w:spacing w:after="0" w:line="240" w:lineRule="auto"/>
              <w:rPr>
                <w:rFonts w:eastAsia="Times New Roman" w:cs="Calibri"/>
                <w:sz w:val="16"/>
                <w:szCs w:val="16"/>
                <w:lang w:eastAsia="es-ES"/>
              </w:rPr>
            </w:pPr>
            <w:r>
              <w:rPr>
                <w:rFonts w:eastAsia="Times New Roman" w:cs="Calibri"/>
                <w:sz w:val="16"/>
                <w:szCs w:val="16"/>
                <w:lang w:eastAsia="es-ES"/>
              </w:rPr>
              <w:t>Patricia Déniz Medina</w:t>
            </w:r>
          </w:p>
        </w:tc>
        <w:tc>
          <w:tcPr>
            <w:tcW w:w="1418"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Contable</w:t>
            </w:r>
          </w:p>
        </w:tc>
        <w:tc>
          <w:tcPr>
            <w:tcW w:w="2835"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both"/>
              <w:rPr>
                <w:rFonts w:eastAsia="Times New Roman" w:cs="Calibri"/>
                <w:bCs/>
                <w:sz w:val="16"/>
                <w:szCs w:val="16"/>
                <w:lang w:eastAsia="es-ES"/>
              </w:rPr>
            </w:pPr>
            <w:r>
              <w:rPr>
                <w:rFonts w:eastAsia="Times New Roman" w:cs="Calibri"/>
                <w:bCs/>
                <w:sz w:val="16"/>
                <w:szCs w:val="16"/>
                <w:lang w:eastAsia="es-ES"/>
              </w:rPr>
              <w:t>Gestión contable del proyecto</w:t>
            </w:r>
          </w:p>
        </w:tc>
        <w:tc>
          <w:tcPr>
            <w:tcW w:w="993" w:type="dxa"/>
            <w:tcBorders>
              <w:top w:val="single" w:sz="4" w:space="0" w:color="000000"/>
              <w:left w:val="single" w:sz="4" w:space="0" w:color="000000"/>
              <w:bottom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pPr>
              <w:autoSpaceDE w:val="0"/>
              <w:autoSpaceDN w:val="0"/>
              <w:spacing w:after="0" w:line="240" w:lineRule="auto"/>
              <w:jc w:val="center"/>
              <w:rPr>
                <w:rFonts w:eastAsia="Times New Roman" w:cs="Calibri"/>
                <w:bCs/>
                <w:sz w:val="16"/>
                <w:szCs w:val="16"/>
                <w:lang w:eastAsia="es-ES"/>
              </w:rPr>
            </w:pPr>
            <w:r>
              <w:rPr>
                <w:rFonts w:eastAsia="Times New Roman" w:cs="Calibri"/>
                <w:bCs/>
                <w:sz w:val="16"/>
                <w:szCs w:val="16"/>
                <w:lang w:eastAsia="es-ES"/>
              </w:rPr>
              <w:t>9</w:t>
            </w:r>
          </w:p>
        </w:tc>
      </w:tr>
    </w:tbl>
    <w:p>
      <w:pPr>
        <w:jc w:val="both"/>
        <w:rPr>
          <w:rFonts w:ascii="Arial" w:eastAsia="Times New Roman" w:hAnsi="Arial" w:cs="Arial"/>
          <w:sz w:val="24"/>
          <w:szCs w:val="24"/>
        </w:rPr>
      </w:pPr>
    </w:p>
    <w:p>
      <w:pPr>
        <w:jc w:val="both"/>
        <w:rPr>
          <w:rFonts w:ascii="Arial" w:eastAsia="Times New Roman" w:hAnsi="Arial" w:cs="Arial"/>
          <w:sz w:val="24"/>
          <w:szCs w:val="24"/>
        </w:rPr>
      </w:pPr>
    </w:p>
    <w:p>
      <w:pPr>
        <w:jc w:val="both"/>
        <w:rPr>
          <w:rFonts w:ascii="Arial" w:eastAsia="Times New Roman" w:hAnsi="Arial" w:cs="Arial"/>
          <w:sz w:val="24"/>
          <w:szCs w:val="24"/>
        </w:rPr>
      </w:pPr>
    </w:p>
    <w:p>
      <w:pPr>
        <w:jc w:val="both"/>
        <w:rPr>
          <w:rFonts w:ascii="Arial" w:eastAsia="Times New Roman" w:hAnsi="Arial" w:cs="Arial"/>
          <w:sz w:val="24"/>
          <w:szCs w:val="24"/>
        </w:rPr>
      </w:pPr>
    </w:p>
    <w:p>
      <w:pPr>
        <w:jc w:val="both"/>
        <w:rPr>
          <w:rFonts w:ascii="Arial" w:eastAsia="Times New Roman" w:hAnsi="Arial" w:cs="Arial"/>
          <w:sz w:val="24"/>
          <w:szCs w:val="24"/>
        </w:rPr>
      </w:pPr>
    </w:p>
    <w:p>
      <w:pPr>
        <w:rPr>
          <w:rFonts w:ascii="Arial" w:eastAsia="Times New Roman" w:hAnsi="Arial" w:cs="Arial"/>
          <w:sz w:val="24"/>
          <w:szCs w:val="24"/>
        </w:rPr>
      </w:pPr>
      <w:r>
        <w:rPr>
          <w:rFonts w:ascii="Arial" w:eastAsia="Times New Roman" w:hAnsi="Arial" w:cs="Arial"/>
          <w:sz w:val="24"/>
          <w:szCs w:val="24"/>
        </w:rPr>
        <w:lastRenderedPageBreak/>
        <w:t>Voluntariado y colaboradores/as que han participado en la ejecución del Proyecto:</w:t>
      </w:r>
    </w:p>
    <w:tbl>
      <w:tblPr>
        <w:tblStyle w:val="Tablaconcuadrcula113"/>
        <w:tblW w:w="11052" w:type="dxa"/>
        <w:jc w:val="center"/>
        <w:tblLook w:val="04A0" w:firstRow="1" w:lastRow="0" w:firstColumn="1" w:lastColumn="0" w:noHBand="0" w:noVBand="1"/>
      </w:tblPr>
      <w:tblGrid>
        <w:gridCol w:w="2694"/>
        <w:gridCol w:w="4108"/>
        <w:gridCol w:w="4250"/>
      </w:tblGrid>
      <w:tr>
        <w:trPr>
          <w:jc w:val="center"/>
        </w:trPr>
        <w:tc>
          <w:tcPr>
            <w:tcW w:w="2694" w:type="dxa"/>
            <w:shd w:val="clear" w:color="auto" w:fill="D9D9D9"/>
          </w:tcPr>
          <w:p>
            <w:pPr>
              <w:jc w:val="center"/>
              <w:rPr>
                <w:rFonts w:cs="Calibri"/>
                <w:b/>
                <w:sz w:val="16"/>
                <w:szCs w:val="16"/>
              </w:rPr>
            </w:pPr>
            <w:r>
              <w:rPr>
                <w:rFonts w:cs="Calibri"/>
                <w:b/>
                <w:sz w:val="16"/>
                <w:szCs w:val="16"/>
              </w:rPr>
              <w:t>NOMBRE</w:t>
            </w:r>
          </w:p>
        </w:tc>
        <w:tc>
          <w:tcPr>
            <w:tcW w:w="4108" w:type="dxa"/>
            <w:shd w:val="clear" w:color="auto" w:fill="D9D9D9"/>
          </w:tcPr>
          <w:p>
            <w:pPr>
              <w:jc w:val="center"/>
              <w:rPr>
                <w:rFonts w:cs="Calibri"/>
                <w:b/>
                <w:sz w:val="16"/>
                <w:szCs w:val="16"/>
              </w:rPr>
            </w:pPr>
            <w:r>
              <w:rPr>
                <w:rFonts w:cs="Calibri"/>
                <w:b/>
                <w:sz w:val="16"/>
                <w:szCs w:val="16"/>
              </w:rPr>
              <w:t>TITULACIÓN/PROFESIÓN</w:t>
            </w:r>
          </w:p>
        </w:tc>
        <w:tc>
          <w:tcPr>
            <w:tcW w:w="4250" w:type="dxa"/>
            <w:shd w:val="clear" w:color="auto" w:fill="D9D9D9"/>
          </w:tcPr>
          <w:p>
            <w:pPr>
              <w:jc w:val="center"/>
              <w:rPr>
                <w:rFonts w:cs="Calibri"/>
                <w:b/>
                <w:sz w:val="16"/>
                <w:szCs w:val="16"/>
              </w:rPr>
            </w:pPr>
            <w:r>
              <w:rPr>
                <w:rFonts w:cs="Calibri"/>
                <w:b/>
                <w:sz w:val="16"/>
                <w:szCs w:val="16"/>
              </w:rPr>
              <w:t>FUNCIONES</w:t>
            </w:r>
          </w:p>
        </w:tc>
      </w:tr>
      <w:tr>
        <w:trPr>
          <w:jc w:val="center"/>
        </w:trPr>
        <w:tc>
          <w:tcPr>
            <w:tcW w:w="2694" w:type="dxa"/>
          </w:tcPr>
          <w:p>
            <w:pPr>
              <w:jc w:val="both"/>
              <w:rPr>
                <w:rFonts w:cs="Calibri"/>
                <w:sz w:val="16"/>
                <w:szCs w:val="16"/>
              </w:rPr>
            </w:pPr>
            <w:r>
              <w:rPr>
                <w:rFonts w:cs="Calibri"/>
                <w:sz w:val="16"/>
                <w:szCs w:val="16"/>
              </w:rPr>
              <w:t>Cristina Bordes de Santa Ana</w:t>
            </w:r>
          </w:p>
        </w:tc>
        <w:tc>
          <w:tcPr>
            <w:tcW w:w="4108" w:type="dxa"/>
          </w:tcPr>
          <w:p>
            <w:pPr>
              <w:jc w:val="both"/>
              <w:rPr>
                <w:rFonts w:cs="Calibri"/>
                <w:sz w:val="16"/>
                <w:szCs w:val="16"/>
              </w:rPr>
            </w:pPr>
            <w:r>
              <w:rPr>
                <w:rFonts w:cs="Calibri"/>
                <w:sz w:val="16"/>
                <w:szCs w:val="16"/>
              </w:rPr>
              <w:t>Licenciada en Geografía e Historia</w:t>
            </w:r>
          </w:p>
        </w:tc>
        <w:tc>
          <w:tcPr>
            <w:tcW w:w="4250" w:type="dxa"/>
          </w:tcPr>
          <w:p>
            <w:pPr>
              <w:jc w:val="both"/>
              <w:rPr>
                <w:rFonts w:cs="Calibri"/>
                <w:sz w:val="16"/>
                <w:szCs w:val="16"/>
              </w:rPr>
            </w:pPr>
            <w:r>
              <w:rPr>
                <w:rFonts w:cs="Calibri"/>
                <w:sz w:val="16"/>
                <w:szCs w:val="16"/>
              </w:rPr>
              <w:t>Talleres educativos</w:t>
            </w:r>
          </w:p>
        </w:tc>
      </w:tr>
      <w:tr>
        <w:trPr>
          <w:jc w:val="center"/>
        </w:trPr>
        <w:tc>
          <w:tcPr>
            <w:tcW w:w="2694" w:type="dxa"/>
          </w:tcPr>
          <w:p>
            <w:pPr>
              <w:jc w:val="both"/>
              <w:rPr>
                <w:rFonts w:cs="Calibri"/>
                <w:sz w:val="16"/>
                <w:szCs w:val="16"/>
              </w:rPr>
            </w:pPr>
            <w:r>
              <w:rPr>
                <w:rFonts w:cs="Calibri"/>
                <w:sz w:val="16"/>
                <w:szCs w:val="16"/>
              </w:rPr>
              <w:t>Mª Dolores Correa Suárez</w:t>
            </w:r>
          </w:p>
        </w:tc>
        <w:tc>
          <w:tcPr>
            <w:tcW w:w="4108" w:type="dxa"/>
          </w:tcPr>
          <w:p>
            <w:pPr>
              <w:jc w:val="both"/>
              <w:rPr>
                <w:rFonts w:cs="Calibri"/>
                <w:sz w:val="16"/>
                <w:szCs w:val="16"/>
              </w:rPr>
            </w:pPr>
            <w:r>
              <w:rPr>
                <w:rFonts w:cs="Calibri"/>
                <w:sz w:val="16"/>
                <w:szCs w:val="16"/>
              </w:rPr>
              <w:t>Licenciada en Geografía e Historia</w:t>
            </w:r>
          </w:p>
        </w:tc>
        <w:tc>
          <w:tcPr>
            <w:tcW w:w="4250" w:type="dxa"/>
          </w:tcPr>
          <w:p>
            <w:pPr>
              <w:jc w:val="both"/>
              <w:rPr>
                <w:rFonts w:cs="Calibri"/>
                <w:sz w:val="16"/>
                <w:szCs w:val="16"/>
              </w:rPr>
            </w:pPr>
            <w:r>
              <w:rPr>
                <w:rFonts w:cs="Calibri"/>
                <w:sz w:val="16"/>
                <w:szCs w:val="16"/>
              </w:rPr>
              <w:t>Acompañamiento y clase</w:t>
            </w:r>
          </w:p>
        </w:tc>
      </w:tr>
      <w:tr>
        <w:trPr>
          <w:jc w:val="center"/>
        </w:trPr>
        <w:tc>
          <w:tcPr>
            <w:tcW w:w="2694" w:type="dxa"/>
          </w:tcPr>
          <w:p>
            <w:pPr>
              <w:jc w:val="both"/>
              <w:rPr>
                <w:rFonts w:cs="Calibri"/>
                <w:sz w:val="16"/>
                <w:szCs w:val="16"/>
              </w:rPr>
            </w:pPr>
            <w:r>
              <w:rPr>
                <w:rFonts w:cs="Calibri"/>
                <w:sz w:val="16"/>
                <w:szCs w:val="16"/>
              </w:rPr>
              <w:t>Carlos Caballero Olcina</w:t>
            </w:r>
          </w:p>
        </w:tc>
        <w:tc>
          <w:tcPr>
            <w:tcW w:w="4108" w:type="dxa"/>
          </w:tcPr>
          <w:p>
            <w:pPr>
              <w:jc w:val="both"/>
              <w:rPr>
                <w:rFonts w:cs="Calibri"/>
                <w:sz w:val="16"/>
                <w:szCs w:val="16"/>
              </w:rPr>
            </w:pPr>
            <w:r>
              <w:rPr>
                <w:rFonts w:cs="Calibri"/>
                <w:sz w:val="16"/>
                <w:szCs w:val="16"/>
              </w:rPr>
              <w:t>Economista</w:t>
            </w:r>
          </w:p>
        </w:tc>
        <w:tc>
          <w:tcPr>
            <w:tcW w:w="4250" w:type="dxa"/>
          </w:tcPr>
          <w:p>
            <w:pPr>
              <w:jc w:val="both"/>
              <w:rPr>
                <w:rFonts w:cs="Calibri"/>
                <w:sz w:val="16"/>
                <w:szCs w:val="16"/>
              </w:rPr>
            </w:pPr>
            <w:r>
              <w:rPr>
                <w:rFonts w:cs="Calibri"/>
                <w:sz w:val="16"/>
                <w:szCs w:val="16"/>
              </w:rPr>
              <w:t>Apoyo contable y talleres</w:t>
            </w:r>
          </w:p>
        </w:tc>
      </w:tr>
      <w:tr>
        <w:trPr>
          <w:jc w:val="center"/>
        </w:trPr>
        <w:tc>
          <w:tcPr>
            <w:tcW w:w="2694" w:type="dxa"/>
          </w:tcPr>
          <w:p>
            <w:pPr>
              <w:jc w:val="both"/>
              <w:rPr>
                <w:rFonts w:cs="Calibri"/>
                <w:sz w:val="16"/>
                <w:szCs w:val="16"/>
              </w:rPr>
            </w:pPr>
            <w:r>
              <w:rPr>
                <w:rFonts w:cs="Calibri"/>
                <w:sz w:val="16"/>
                <w:szCs w:val="16"/>
              </w:rPr>
              <w:t>Noelia Medina Falcón</w:t>
            </w:r>
          </w:p>
        </w:tc>
        <w:tc>
          <w:tcPr>
            <w:tcW w:w="4108" w:type="dxa"/>
          </w:tcPr>
          <w:p>
            <w:pPr>
              <w:jc w:val="both"/>
              <w:rPr>
                <w:rFonts w:cs="Calibri"/>
                <w:sz w:val="16"/>
                <w:szCs w:val="16"/>
              </w:rPr>
            </w:pPr>
            <w:r>
              <w:rPr>
                <w:rFonts w:cs="Calibri"/>
                <w:sz w:val="16"/>
                <w:szCs w:val="16"/>
              </w:rPr>
              <w:t>Enfermera</w:t>
            </w:r>
          </w:p>
        </w:tc>
        <w:tc>
          <w:tcPr>
            <w:tcW w:w="4250" w:type="dxa"/>
          </w:tcPr>
          <w:p>
            <w:pPr>
              <w:jc w:val="both"/>
              <w:rPr>
                <w:rFonts w:cs="Calibri"/>
                <w:sz w:val="16"/>
                <w:szCs w:val="16"/>
              </w:rPr>
            </w:pPr>
            <w:r>
              <w:rPr>
                <w:rFonts w:cs="Calibri"/>
                <w:sz w:val="16"/>
                <w:szCs w:val="16"/>
              </w:rPr>
              <w:t>Talleres sanitarios  y acompañamientos</w:t>
            </w:r>
          </w:p>
        </w:tc>
      </w:tr>
      <w:tr>
        <w:trPr>
          <w:jc w:val="center"/>
        </w:trPr>
        <w:tc>
          <w:tcPr>
            <w:tcW w:w="2694" w:type="dxa"/>
          </w:tcPr>
          <w:p>
            <w:pPr>
              <w:jc w:val="both"/>
              <w:rPr>
                <w:rFonts w:cs="Calibri"/>
                <w:sz w:val="16"/>
                <w:szCs w:val="16"/>
              </w:rPr>
            </w:pPr>
            <w:r>
              <w:rPr>
                <w:rFonts w:cs="Calibri"/>
                <w:sz w:val="16"/>
                <w:szCs w:val="16"/>
              </w:rPr>
              <w:t>Rafael Vega Vega</w:t>
            </w:r>
          </w:p>
        </w:tc>
        <w:tc>
          <w:tcPr>
            <w:tcW w:w="4108" w:type="dxa"/>
          </w:tcPr>
          <w:p>
            <w:pPr>
              <w:jc w:val="both"/>
              <w:rPr>
                <w:rFonts w:cs="Calibri"/>
                <w:sz w:val="16"/>
                <w:szCs w:val="16"/>
              </w:rPr>
            </w:pPr>
            <w:r>
              <w:rPr>
                <w:rFonts w:cs="Calibri"/>
                <w:sz w:val="16"/>
                <w:szCs w:val="16"/>
              </w:rPr>
              <w:t>Licenciado en Medicina</w:t>
            </w:r>
          </w:p>
        </w:tc>
        <w:tc>
          <w:tcPr>
            <w:tcW w:w="4250" w:type="dxa"/>
          </w:tcPr>
          <w:p>
            <w:pPr>
              <w:jc w:val="both"/>
              <w:rPr>
                <w:rFonts w:cs="Calibri"/>
                <w:sz w:val="16"/>
                <w:szCs w:val="16"/>
              </w:rPr>
            </w:pPr>
            <w:r>
              <w:rPr>
                <w:rFonts w:cs="Calibri"/>
                <w:sz w:val="16"/>
                <w:szCs w:val="16"/>
              </w:rPr>
              <w:t>Impartición de talleres y asesoramiento sanitario</w:t>
            </w:r>
          </w:p>
        </w:tc>
      </w:tr>
      <w:tr>
        <w:trPr>
          <w:jc w:val="center"/>
        </w:trPr>
        <w:tc>
          <w:tcPr>
            <w:tcW w:w="2694" w:type="dxa"/>
          </w:tcPr>
          <w:p>
            <w:pPr>
              <w:jc w:val="both"/>
              <w:rPr>
                <w:rFonts w:cs="Calibri"/>
                <w:sz w:val="16"/>
                <w:szCs w:val="16"/>
              </w:rPr>
            </w:pPr>
            <w:r>
              <w:rPr>
                <w:rFonts w:cs="Calibri"/>
                <w:sz w:val="16"/>
                <w:szCs w:val="16"/>
              </w:rPr>
              <w:t>Rita Vega Moreno</w:t>
            </w:r>
          </w:p>
        </w:tc>
        <w:tc>
          <w:tcPr>
            <w:tcW w:w="4108" w:type="dxa"/>
          </w:tcPr>
          <w:p>
            <w:pPr>
              <w:jc w:val="both"/>
              <w:rPr>
                <w:rFonts w:cs="Calibri"/>
                <w:sz w:val="16"/>
                <w:szCs w:val="16"/>
              </w:rPr>
            </w:pPr>
            <w:r>
              <w:rPr>
                <w:rFonts w:cs="Calibri"/>
                <w:sz w:val="16"/>
                <w:szCs w:val="16"/>
              </w:rPr>
              <w:t>Diplomada en Trabajo Social</w:t>
            </w:r>
          </w:p>
        </w:tc>
        <w:tc>
          <w:tcPr>
            <w:tcW w:w="4250" w:type="dxa"/>
          </w:tcPr>
          <w:p>
            <w:pPr>
              <w:jc w:val="both"/>
              <w:rPr>
                <w:rFonts w:cs="Calibri"/>
                <w:sz w:val="16"/>
                <w:szCs w:val="16"/>
              </w:rPr>
            </w:pPr>
            <w:r>
              <w:rPr>
                <w:rFonts w:cs="Calibri"/>
                <w:sz w:val="16"/>
                <w:szCs w:val="16"/>
              </w:rPr>
              <w:t>Impartición de talleres formativos</w:t>
            </w:r>
          </w:p>
        </w:tc>
      </w:tr>
      <w:tr>
        <w:trPr>
          <w:jc w:val="center"/>
        </w:trPr>
        <w:tc>
          <w:tcPr>
            <w:tcW w:w="2694" w:type="dxa"/>
          </w:tcPr>
          <w:p>
            <w:pPr>
              <w:jc w:val="both"/>
              <w:rPr>
                <w:rFonts w:cs="Calibri"/>
                <w:sz w:val="16"/>
                <w:szCs w:val="16"/>
              </w:rPr>
            </w:pPr>
            <w:r>
              <w:rPr>
                <w:rFonts w:cs="Calibri"/>
                <w:sz w:val="16"/>
                <w:szCs w:val="16"/>
              </w:rPr>
              <w:t>Dora María Acosta Martín</w:t>
            </w:r>
          </w:p>
        </w:tc>
        <w:tc>
          <w:tcPr>
            <w:tcW w:w="4108" w:type="dxa"/>
          </w:tcPr>
          <w:p>
            <w:pPr>
              <w:jc w:val="both"/>
              <w:rPr>
                <w:rFonts w:cs="Calibri"/>
                <w:sz w:val="16"/>
                <w:szCs w:val="16"/>
              </w:rPr>
            </w:pPr>
            <w:r>
              <w:rPr>
                <w:rFonts w:cs="Calibri"/>
                <w:sz w:val="16"/>
                <w:szCs w:val="16"/>
              </w:rPr>
              <w:t>Licenciada en ciencias de la comunicación y Técnico de Igualdad</w:t>
            </w:r>
          </w:p>
        </w:tc>
        <w:tc>
          <w:tcPr>
            <w:tcW w:w="4250" w:type="dxa"/>
          </w:tcPr>
          <w:p>
            <w:pPr>
              <w:jc w:val="both"/>
              <w:rPr>
                <w:rFonts w:cs="Calibri"/>
                <w:sz w:val="16"/>
                <w:szCs w:val="16"/>
              </w:rPr>
            </w:pPr>
            <w:r>
              <w:rPr>
                <w:rFonts w:cs="Calibri"/>
                <w:sz w:val="16"/>
                <w:szCs w:val="16"/>
              </w:rPr>
              <w:t>Apoyo en oficinas y acompañamientos</w:t>
            </w:r>
          </w:p>
        </w:tc>
      </w:tr>
      <w:tr>
        <w:trPr>
          <w:jc w:val="center"/>
        </w:trPr>
        <w:tc>
          <w:tcPr>
            <w:tcW w:w="2694" w:type="dxa"/>
          </w:tcPr>
          <w:p>
            <w:pPr>
              <w:jc w:val="both"/>
              <w:rPr>
                <w:rFonts w:cs="Calibri"/>
                <w:sz w:val="16"/>
                <w:szCs w:val="16"/>
              </w:rPr>
            </w:pPr>
            <w:r>
              <w:rPr>
                <w:rFonts w:cs="Calibri"/>
                <w:sz w:val="16"/>
                <w:szCs w:val="16"/>
              </w:rPr>
              <w:t>Cristina Toca Santana</w:t>
            </w:r>
          </w:p>
        </w:tc>
        <w:tc>
          <w:tcPr>
            <w:tcW w:w="4108" w:type="dxa"/>
          </w:tcPr>
          <w:p>
            <w:pPr>
              <w:jc w:val="both"/>
              <w:rPr>
                <w:rFonts w:cs="Calibri"/>
                <w:sz w:val="16"/>
                <w:szCs w:val="16"/>
              </w:rPr>
            </w:pPr>
            <w:r>
              <w:rPr>
                <w:rFonts w:cs="Calibri"/>
                <w:sz w:val="16"/>
                <w:szCs w:val="16"/>
              </w:rPr>
              <w:t>Diplomada en Trabajo Social</w:t>
            </w:r>
          </w:p>
        </w:tc>
        <w:tc>
          <w:tcPr>
            <w:tcW w:w="4250" w:type="dxa"/>
          </w:tcPr>
          <w:p>
            <w:pPr>
              <w:jc w:val="both"/>
              <w:rPr>
                <w:rFonts w:cs="Calibri"/>
                <w:sz w:val="16"/>
                <w:szCs w:val="16"/>
              </w:rPr>
            </w:pPr>
            <w:r>
              <w:rPr>
                <w:rFonts w:cs="Calibri"/>
                <w:sz w:val="16"/>
                <w:szCs w:val="16"/>
              </w:rPr>
              <w:t>Trabajo de calle y acompañamientos</w:t>
            </w:r>
          </w:p>
        </w:tc>
      </w:tr>
      <w:tr>
        <w:trPr>
          <w:jc w:val="center"/>
        </w:trPr>
        <w:tc>
          <w:tcPr>
            <w:tcW w:w="2694" w:type="dxa"/>
          </w:tcPr>
          <w:p>
            <w:pPr>
              <w:jc w:val="both"/>
              <w:rPr>
                <w:rFonts w:cs="Calibri"/>
                <w:sz w:val="16"/>
                <w:szCs w:val="16"/>
              </w:rPr>
            </w:pPr>
            <w:r>
              <w:rPr>
                <w:rFonts w:cs="Calibri"/>
                <w:sz w:val="16"/>
                <w:szCs w:val="16"/>
              </w:rPr>
              <w:t>Tamara Kreutzer</w:t>
            </w:r>
          </w:p>
        </w:tc>
        <w:tc>
          <w:tcPr>
            <w:tcW w:w="4108" w:type="dxa"/>
          </w:tcPr>
          <w:p>
            <w:pPr>
              <w:jc w:val="both"/>
              <w:rPr>
                <w:rFonts w:cs="Calibri"/>
                <w:sz w:val="16"/>
                <w:szCs w:val="16"/>
              </w:rPr>
            </w:pPr>
            <w:r>
              <w:rPr>
                <w:rFonts w:cs="Calibri"/>
                <w:sz w:val="16"/>
                <w:szCs w:val="16"/>
              </w:rPr>
              <w:t>Medicina (ginecóloga)</w:t>
            </w:r>
          </w:p>
        </w:tc>
        <w:tc>
          <w:tcPr>
            <w:tcW w:w="4250" w:type="dxa"/>
          </w:tcPr>
          <w:p>
            <w:pPr>
              <w:jc w:val="both"/>
              <w:rPr>
                <w:rFonts w:cs="Calibri"/>
                <w:sz w:val="16"/>
                <w:szCs w:val="16"/>
              </w:rPr>
            </w:pPr>
            <w:r>
              <w:rPr>
                <w:rFonts w:cs="Calibri"/>
                <w:sz w:val="16"/>
                <w:szCs w:val="16"/>
              </w:rPr>
              <w:t>Talleres de educación para la salud y atención ginecológica.</w:t>
            </w:r>
          </w:p>
        </w:tc>
      </w:tr>
      <w:tr>
        <w:trPr>
          <w:jc w:val="center"/>
        </w:trPr>
        <w:tc>
          <w:tcPr>
            <w:tcW w:w="2694" w:type="dxa"/>
          </w:tcPr>
          <w:p>
            <w:pPr>
              <w:jc w:val="both"/>
              <w:rPr>
                <w:rFonts w:cs="Calibri"/>
                <w:sz w:val="16"/>
                <w:szCs w:val="16"/>
              </w:rPr>
            </w:pPr>
            <w:r>
              <w:rPr>
                <w:rFonts w:cs="Calibri"/>
                <w:sz w:val="16"/>
                <w:szCs w:val="16"/>
              </w:rPr>
              <w:t>Esther Santiago García</w:t>
            </w:r>
          </w:p>
        </w:tc>
        <w:tc>
          <w:tcPr>
            <w:tcW w:w="4108" w:type="dxa"/>
          </w:tcPr>
          <w:p>
            <w:pPr>
              <w:rPr>
                <w:rFonts w:cs="Calibri"/>
                <w:sz w:val="16"/>
                <w:szCs w:val="16"/>
              </w:rPr>
            </w:pPr>
            <w:r>
              <w:rPr>
                <w:rFonts w:cs="Calibri"/>
                <w:sz w:val="16"/>
                <w:szCs w:val="16"/>
              </w:rPr>
              <w:t>Educadora Social</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jc w:val="both"/>
              <w:rPr>
                <w:rFonts w:cs="Calibri"/>
                <w:sz w:val="16"/>
                <w:szCs w:val="16"/>
              </w:rPr>
            </w:pPr>
            <w:r>
              <w:rPr>
                <w:rFonts w:cs="Calibri"/>
                <w:sz w:val="16"/>
                <w:szCs w:val="16"/>
              </w:rPr>
              <w:t>Isabel Santana Santana</w:t>
            </w:r>
          </w:p>
        </w:tc>
        <w:tc>
          <w:tcPr>
            <w:tcW w:w="4108" w:type="dxa"/>
          </w:tcPr>
          <w:p>
            <w:pPr>
              <w:rPr>
                <w:rFonts w:cs="Calibri"/>
                <w:sz w:val="16"/>
                <w:szCs w:val="16"/>
              </w:rPr>
            </w:pPr>
            <w:r>
              <w:rPr>
                <w:rFonts w:cs="Calibri"/>
                <w:sz w:val="16"/>
                <w:szCs w:val="16"/>
              </w:rPr>
              <w:t>Bachiller</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jc w:val="both"/>
              <w:rPr>
                <w:rFonts w:cs="Calibri"/>
                <w:sz w:val="16"/>
                <w:szCs w:val="16"/>
              </w:rPr>
            </w:pPr>
            <w:r>
              <w:rPr>
                <w:rFonts w:cs="Calibri"/>
                <w:sz w:val="16"/>
                <w:szCs w:val="16"/>
              </w:rPr>
              <w:t>Sandra Aller Bartolomé</w:t>
            </w:r>
          </w:p>
        </w:tc>
        <w:tc>
          <w:tcPr>
            <w:tcW w:w="4108" w:type="dxa"/>
          </w:tcPr>
          <w:p>
            <w:pPr>
              <w:rPr>
                <w:rFonts w:cs="Calibri"/>
                <w:sz w:val="16"/>
                <w:szCs w:val="16"/>
              </w:rPr>
            </w:pPr>
            <w:r>
              <w:rPr>
                <w:rFonts w:cs="Calibri"/>
                <w:sz w:val="16"/>
                <w:szCs w:val="16"/>
              </w:rPr>
              <w:t>ADE y Derecho</w:t>
            </w:r>
          </w:p>
        </w:tc>
        <w:tc>
          <w:tcPr>
            <w:tcW w:w="4250" w:type="dxa"/>
          </w:tcPr>
          <w:p>
            <w:pPr>
              <w:jc w:val="both"/>
              <w:rPr>
                <w:rFonts w:cs="Calibri"/>
                <w:sz w:val="16"/>
                <w:szCs w:val="16"/>
              </w:rPr>
            </w:pPr>
            <w:r>
              <w:rPr>
                <w:rFonts w:cs="Calibri"/>
                <w:sz w:val="16"/>
                <w:szCs w:val="16"/>
              </w:rPr>
              <w:t>Apoyo contable y administrativo</w:t>
            </w:r>
          </w:p>
        </w:tc>
      </w:tr>
      <w:tr>
        <w:trPr>
          <w:jc w:val="center"/>
        </w:trPr>
        <w:tc>
          <w:tcPr>
            <w:tcW w:w="2694" w:type="dxa"/>
          </w:tcPr>
          <w:p>
            <w:pPr>
              <w:rPr>
                <w:rFonts w:cs="Calibri"/>
                <w:sz w:val="16"/>
                <w:szCs w:val="16"/>
              </w:rPr>
            </w:pPr>
            <w:r>
              <w:rPr>
                <w:rFonts w:cs="Calibri"/>
                <w:sz w:val="16"/>
                <w:szCs w:val="16"/>
              </w:rPr>
              <w:t>Julia Gómez Vélez</w:t>
            </w:r>
          </w:p>
        </w:tc>
        <w:tc>
          <w:tcPr>
            <w:tcW w:w="4108" w:type="dxa"/>
          </w:tcPr>
          <w:p>
            <w:pPr>
              <w:jc w:val="both"/>
              <w:rPr>
                <w:rFonts w:cs="Calibri"/>
                <w:sz w:val="16"/>
                <w:szCs w:val="16"/>
              </w:rPr>
            </w:pPr>
            <w:r>
              <w:rPr>
                <w:rFonts w:cs="Calibri"/>
                <w:sz w:val="16"/>
                <w:szCs w:val="16"/>
              </w:rPr>
              <w:t>Grado de Integración Social</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rPr>
                <w:rFonts w:cs="Calibri"/>
                <w:sz w:val="16"/>
                <w:szCs w:val="16"/>
              </w:rPr>
            </w:pPr>
            <w:r>
              <w:rPr>
                <w:rFonts w:cs="Calibri"/>
                <w:sz w:val="16"/>
                <w:szCs w:val="16"/>
              </w:rPr>
              <w:t>Ana Perera Bordes</w:t>
            </w:r>
          </w:p>
        </w:tc>
        <w:tc>
          <w:tcPr>
            <w:tcW w:w="4108" w:type="dxa"/>
          </w:tcPr>
          <w:p>
            <w:pPr>
              <w:rPr>
                <w:rFonts w:cs="Calibri"/>
                <w:sz w:val="16"/>
                <w:szCs w:val="16"/>
              </w:rPr>
            </w:pPr>
            <w:r>
              <w:rPr>
                <w:rFonts w:cs="Calibri"/>
                <w:sz w:val="16"/>
                <w:szCs w:val="16"/>
              </w:rPr>
              <w:t>Farmacéutica</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rPr>
                <w:rFonts w:cs="Calibri"/>
                <w:sz w:val="16"/>
                <w:szCs w:val="16"/>
              </w:rPr>
            </w:pPr>
            <w:r>
              <w:rPr>
                <w:rFonts w:cs="Calibri"/>
                <w:sz w:val="16"/>
                <w:szCs w:val="16"/>
              </w:rPr>
              <w:t>Andrés Saavedra Bordes</w:t>
            </w:r>
          </w:p>
        </w:tc>
        <w:tc>
          <w:tcPr>
            <w:tcW w:w="4108" w:type="dxa"/>
          </w:tcPr>
          <w:p>
            <w:pPr>
              <w:rPr>
                <w:rFonts w:cs="Calibri"/>
                <w:sz w:val="16"/>
                <w:szCs w:val="16"/>
              </w:rPr>
            </w:pPr>
            <w:r>
              <w:rPr>
                <w:rFonts w:cs="Calibri"/>
                <w:sz w:val="16"/>
                <w:szCs w:val="16"/>
              </w:rPr>
              <w:t>Bachiller</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rPr>
                <w:rFonts w:cs="Calibri"/>
                <w:sz w:val="16"/>
                <w:szCs w:val="16"/>
              </w:rPr>
            </w:pPr>
            <w:r>
              <w:rPr>
                <w:rFonts w:cs="Calibri"/>
                <w:sz w:val="16"/>
                <w:szCs w:val="16"/>
              </w:rPr>
              <w:t>Carla Zabaleta Kaehler</w:t>
            </w:r>
          </w:p>
        </w:tc>
        <w:tc>
          <w:tcPr>
            <w:tcW w:w="4108" w:type="dxa"/>
          </w:tcPr>
          <w:p>
            <w:pPr>
              <w:jc w:val="both"/>
              <w:rPr>
                <w:rFonts w:cs="Calibri"/>
                <w:sz w:val="16"/>
                <w:szCs w:val="16"/>
              </w:rPr>
            </w:pPr>
            <w:r>
              <w:rPr>
                <w:rFonts w:cs="Calibri"/>
                <w:sz w:val="16"/>
                <w:szCs w:val="16"/>
              </w:rPr>
              <w:t>Licenciada en Derecho</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jc w:val="both"/>
              <w:rPr>
                <w:rFonts w:cs="Calibri"/>
                <w:sz w:val="16"/>
                <w:szCs w:val="16"/>
              </w:rPr>
            </w:pPr>
            <w:r>
              <w:rPr>
                <w:rFonts w:cs="Calibri"/>
                <w:sz w:val="16"/>
                <w:szCs w:val="16"/>
              </w:rPr>
              <w:t>Isabel Torres Ordoñez</w:t>
            </w:r>
          </w:p>
        </w:tc>
        <w:tc>
          <w:tcPr>
            <w:tcW w:w="4108" w:type="dxa"/>
          </w:tcPr>
          <w:p>
            <w:pPr>
              <w:jc w:val="both"/>
              <w:rPr>
                <w:rFonts w:cs="Calibri"/>
                <w:sz w:val="16"/>
                <w:szCs w:val="16"/>
              </w:rPr>
            </w:pPr>
            <w:r>
              <w:rPr>
                <w:rFonts w:cs="Calibri"/>
                <w:sz w:val="16"/>
                <w:szCs w:val="16"/>
              </w:rPr>
              <w:t>Profesora</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jc w:val="both"/>
              <w:rPr>
                <w:rFonts w:cs="Calibri"/>
                <w:sz w:val="16"/>
                <w:szCs w:val="16"/>
              </w:rPr>
            </w:pPr>
            <w:r>
              <w:rPr>
                <w:rFonts w:cs="Calibri"/>
                <w:sz w:val="16"/>
                <w:szCs w:val="16"/>
              </w:rPr>
              <w:t>María Jezabel del Toro Alayón</w:t>
            </w:r>
          </w:p>
        </w:tc>
        <w:tc>
          <w:tcPr>
            <w:tcW w:w="4108" w:type="dxa"/>
          </w:tcPr>
          <w:p>
            <w:pPr>
              <w:jc w:val="both"/>
              <w:rPr>
                <w:rFonts w:cs="Calibri"/>
                <w:sz w:val="16"/>
                <w:szCs w:val="16"/>
              </w:rPr>
            </w:pPr>
            <w:r>
              <w:rPr>
                <w:rFonts w:cs="Calibri"/>
                <w:sz w:val="16"/>
                <w:szCs w:val="16"/>
              </w:rPr>
              <w:t>Profesora/Abogada</w:t>
            </w:r>
          </w:p>
        </w:tc>
        <w:tc>
          <w:tcPr>
            <w:tcW w:w="4250" w:type="dxa"/>
          </w:tcPr>
          <w:p>
            <w:pPr>
              <w:rPr>
                <w:rFonts w:cs="Calibri"/>
                <w:sz w:val="16"/>
                <w:szCs w:val="16"/>
              </w:rPr>
            </w:pPr>
            <w:r>
              <w:rPr>
                <w:rFonts w:cs="Calibri"/>
                <w:sz w:val="16"/>
                <w:szCs w:val="16"/>
              </w:rPr>
              <w:t>Apoyo jurídico</w:t>
            </w:r>
          </w:p>
        </w:tc>
      </w:tr>
      <w:tr>
        <w:trPr>
          <w:jc w:val="center"/>
        </w:trPr>
        <w:tc>
          <w:tcPr>
            <w:tcW w:w="2694" w:type="dxa"/>
          </w:tcPr>
          <w:p>
            <w:pPr>
              <w:jc w:val="both"/>
              <w:rPr>
                <w:rFonts w:cs="Calibri"/>
                <w:sz w:val="16"/>
                <w:szCs w:val="16"/>
              </w:rPr>
            </w:pPr>
            <w:r>
              <w:rPr>
                <w:rFonts w:cs="Calibri"/>
                <w:sz w:val="16"/>
                <w:szCs w:val="16"/>
              </w:rPr>
              <w:t>Inmaculada Morales Guerra</w:t>
            </w:r>
          </w:p>
        </w:tc>
        <w:tc>
          <w:tcPr>
            <w:tcW w:w="4108" w:type="dxa"/>
          </w:tcPr>
          <w:p>
            <w:pPr>
              <w:jc w:val="both"/>
              <w:rPr>
                <w:rFonts w:cs="Calibri"/>
                <w:sz w:val="16"/>
                <w:szCs w:val="16"/>
              </w:rPr>
            </w:pPr>
            <w:r>
              <w:rPr>
                <w:rFonts w:cs="Calibri"/>
                <w:sz w:val="16"/>
                <w:szCs w:val="16"/>
              </w:rPr>
              <w:t>Abogada</w:t>
            </w:r>
          </w:p>
        </w:tc>
        <w:tc>
          <w:tcPr>
            <w:tcW w:w="4250" w:type="dxa"/>
          </w:tcPr>
          <w:p>
            <w:pPr>
              <w:rPr>
                <w:rFonts w:cs="Calibri"/>
                <w:sz w:val="16"/>
                <w:szCs w:val="16"/>
              </w:rPr>
            </w:pPr>
            <w:r>
              <w:rPr>
                <w:rFonts w:cs="Calibri"/>
                <w:sz w:val="16"/>
                <w:szCs w:val="16"/>
              </w:rPr>
              <w:t>Impartición de talleres (Competencias clave)</w:t>
            </w:r>
          </w:p>
        </w:tc>
      </w:tr>
      <w:tr>
        <w:trPr>
          <w:jc w:val="center"/>
        </w:trPr>
        <w:tc>
          <w:tcPr>
            <w:tcW w:w="2694" w:type="dxa"/>
          </w:tcPr>
          <w:p>
            <w:pPr>
              <w:jc w:val="both"/>
              <w:rPr>
                <w:rFonts w:cs="Calibri"/>
                <w:sz w:val="16"/>
                <w:szCs w:val="16"/>
              </w:rPr>
            </w:pPr>
            <w:r>
              <w:rPr>
                <w:rFonts w:cs="Calibri"/>
                <w:sz w:val="16"/>
                <w:szCs w:val="16"/>
              </w:rPr>
              <w:t>Mohamedou Shangaza Trazce</w:t>
            </w:r>
          </w:p>
        </w:tc>
        <w:tc>
          <w:tcPr>
            <w:tcW w:w="4108" w:type="dxa"/>
          </w:tcPr>
          <w:p>
            <w:pPr>
              <w:jc w:val="both"/>
              <w:rPr>
                <w:rFonts w:cs="Calibri"/>
                <w:sz w:val="16"/>
                <w:szCs w:val="16"/>
              </w:rPr>
            </w:pPr>
            <w:r>
              <w:rPr>
                <w:rFonts w:cs="Calibri"/>
                <w:sz w:val="16"/>
                <w:szCs w:val="16"/>
              </w:rPr>
              <w:t>Educador Social</w:t>
            </w:r>
          </w:p>
        </w:tc>
        <w:tc>
          <w:tcPr>
            <w:tcW w:w="4250" w:type="dxa"/>
          </w:tcPr>
          <w:p>
            <w:pPr>
              <w:rPr>
                <w:rFonts w:cs="Calibri"/>
                <w:sz w:val="16"/>
                <w:szCs w:val="16"/>
              </w:rPr>
            </w:pPr>
            <w:r>
              <w:rPr>
                <w:rFonts w:cs="Calibri"/>
                <w:sz w:val="16"/>
                <w:szCs w:val="16"/>
              </w:rPr>
              <w:t>Clases de español</w:t>
            </w:r>
          </w:p>
        </w:tc>
      </w:tr>
      <w:tr>
        <w:trPr>
          <w:jc w:val="center"/>
        </w:trPr>
        <w:tc>
          <w:tcPr>
            <w:tcW w:w="2694" w:type="dxa"/>
          </w:tcPr>
          <w:p>
            <w:pPr>
              <w:jc w:val="both"/>
              <w:rPr>
                <w:rFonts w:cs="Calibri"/>
                <w:sz w:val="16"/>
                <w:szCs w:val="16"/>
              </w:rPr>
            </w:pPr>
            <w:r>
              <w:rPr>
                <w:rFonts w:cs="Calibri"/>
                <w:sz w:val="16"/>
                <w:szCs w:val="16"/>
              </w:rPr>
              <w:t>Pino Morales Pérez</w:t>
            </w:r>
          </w:p>
        </w:tc>
        <w:tc>
          <w:tcPr>
            <w:tcW w:w="4108" w:type="dxa"/>
          </w:tcPr>
          <w:p>
            <w:pPr>
              <w:jc w:val="both"/>
              <w:rPr>
                <w:rFonts w:cs="Calibri"/>
                <w:sz w:val="16"/>
                <w:szCs w:val="16"/>
              </w:rPr>
            </w:pPr>
            <w:r>
              <w:rPr>
                <w:rFonts w:cs="Calibri"/>
                <w:sz w:val="16"/>
                <w:szCs w:val="16"/>
              </w:rPr>
              <w:t>Profesora</w:t>
            </w:r>
          </w:p>
        </w:tc>
        <w:tc>
          <w:tcPr>
            <w:tcW w:w="4250" w:type="dxa"/>
          </w:tcPr>
          <w:p>
            <w:pPr>
              <w:rPr>
                <w:rFonts w:cs="Calibri"/>
                <w:sz w:val="16"/>
                <w:szCs w:val="16"/>
              </w:rPr>
            </w:pPr>
            <w:r>
              <w:rPr>
                <w:rFonts w:cs="Calibri"/>
                <w:sz w:val="16"/>
                <w:szCs w:val="16"/>
              </w:rPr>
              <w:t>Talleres de autocuidado</w:t>
            </w:r>
          </w:p>
        </w:tc>
      </w:tr>
      <w:tr>
        <w:trPr>
          <w:jc w:val="center"/>
        </w:trPr>
        <w:tc>
          <w:tcPr>
            <w:tcW w:w="2694" w:type="dxa"/>
          </w:tcPr>
          <w:p>
            <w:pPr>
              <w:jc w:val="both"/>
              <w:rPr>
                <w:rFonts w:cs="Calibri"/>
                <w:sz w:val="16"/>
                <w:szCs w:val="16"/>
              </w:rPr>
            </w:pPr>
            <w:r>
              <w:rPr>
                <w:rFonts w:cs="Calibri"/>
                <w:sz w:val="16"/>
                <w:szCs w:val="16"/>
              </w:rPr>
              <w:t>Rosario Vizcaíno Ortega</w:t>
            </w:r>
          </w:p>
        </w:tc>
        <w:tc>
          <w:tcPr>
            <w:tcW w:w="4108" w:type="dxa"/>
          </w:tcPr>
          <w:p>
            <w:pPr>
              <w:jc w:val="both"/>
              <w:rPr>
                <w:rFonts w:cs="Calibri"/>
                <w:sz w:val="16"/>
                <w:szCs w:val="16"/>
              </w:rPr>
            </w:pPr>
            <w:r>
              <w:rPr>
                <w:rFonts w:cs="Calibri"/>
                <w:sz w:val="16"/>
                <w:szCs w:val="16"/>
              </w:rPr>
              <w:t>Educadora Social</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jc w:val="both"/>
              <w:rPr>
                <w:rFonts w:cs="Calibri"/>
                <w:sz w:val="16"/>
                <w:szCs w:val="16"/>
              </w:rPr>
            </w:pPr>
            <w:r>
              <w:rPr>
                <w:rFonts w:cs="Calibri"/>
                <w:sz w:val="16"/>
                <w:szCs w:val="16"/>
              </w:rPr>
              <w:t>Inés Sabrina Cabrera Sosa</w:t>
            </w:r>
          </w:p>
        </w:tc>
        <w:tc>
          <w:tcPr>
            <w:tcW w:w="4108" w:type="dxa"/>
          </w:tcPr>
          <w:p>
            <w:pPr>
              <w:jc w:val="both"/>
              <w:rPr>
                <w:rFonts w:cs="Calibri"/>
                <w:sz w:val="16"/>
                <w:szCs w:val="16"/>
              </w:rPr>
            </w:pPr>
            <w:r>
              <w:rPr>
                <w:rFonts w:cs="Calibri"/>
                <w:sz w:val="16"/>
                <w:szCs w:val="16"/>
              </w:rPr>
              <w:t>Pensionista</w:t>
            </w:r>
          </w:p>
        </w:tc>
        <w:tc>
          <w:tcPr>
            <w:tcW w:w="4250" w:type="dxa"/>
          </w:tcPr>
          <w:p>
            <w:pPr>
              <w:rPr>
                <w:rFonts w:cs="Calibri"/>
                <w:sz w:val="16"/>
                <w:szCs w:val="16"/>
              </w:rPr>
            </w:pPr>
            <w:r>
              <w:rPr>
                <w:rFonts w:cs="Calibri"/>
                <w:sz w:val="16"/>
                <w:szCs w:val="16"/>
              </w:rPr>
              <w:t>Apoyo educativo</w:t>
            </w:r>
          </w:p>
        </w:tc>
      </w:tr>
      <w:tr>
        <w:trPr>
          <w:jc w:val="center"/>
        </w:trPr>
        <w:tc>
          <w:tcPr>
            <w:tcW w:w="2694" w:type="dxa"/>
          </w:tcPr>
          <w:p>
            <w:pPr>
              <w:jc w:val="both"/>
              <w:rPr>
                <w:rFonts w:cs="Calibri"/>
                <w:sz w:val="16"/>
                <w:szCs w:val="16"/>
              </w:rPr>
            </w:pPr>
            <w:r>
              <w:rPr>
                <w:rFonts w:cs="Calibri"/>
                <w:sz w:val="16"/>
                <w:szCs w:val="16"/>
              </w:rPr>
              <w:t>María del Carmen Sánchez Marrero</w:t>
            </w:r>
          </w:p>
        </w:tc>
        <w:tc>
          <w:tcPr>
            <w:tcW w:w="4108" w:type="dxa"/>
          </w:tcPr>
          <w:p>
            <w:pPr>
              <w:jc w:val="both"/>
              <w:rPr>
                <w:rFonts w:cs="Calibri"/>
                <w:sz w:val="16"/>
                <w:szCs w:val="16"/>
              </w:rPr>
            </w:pPr>
            <w:r>
              <w:rPr>
                <w:rFonts w:cs="Calibri"/>
                <w:sz w:val="16"/>
                <w:szCs w:val="16"/>
              </w:rPr>
              <w:t>Auxiliar de intérprete</w:t>
            </w:r>
          </w:p>
        </w:tc>
        <w:tc>
          <w:tcPr>
            <w:tcW w:w="4250" w:type="dxa"/>
          </w:tcPr>
          <w:p>
            <w:pPr>
              <w:rPr>
                <w:rFonts w:cs="Calibri"/>
                <w:sz w:val="16"/>
                <w:szCs w:val="16"/>
              </w:rPr>
            </w:pPr>
            <w:r>
              <w:rPr>
                <w:rFonts w:cs="Calibri"/>
                <w:sz w:val="16"/>
                <w:szCs w:val="16"/>
              </w:rPr>
              <w:t>Tareas de mantenimiento</w:t>
            </w:r>
          </w:p>
        </w:tc>
      </w:tr>
      <w:tr>
        <w:trPr>
          <w:jc w:val="center"/>
        </w:trPr>
        <w:tc>
          <w:tcPr>
            <w:tcW w:w="2694" w:type="dxa"/>
          </w:tcPr>
          <w:p>
            <w:pPr>
              <w:jc w:val="both"/>
              <w:rPr>
                <w:rFonts w:cs="Calibri"/>
                <w:sz w:val="16"/>
                <w:szCs w:val="16"/>
              </w:rPr>
            </w:pPr>
            <w:r>
              <w:rPr>
                <w:rFonts w:cs="Calibri"/>
                <w:sz w:val="16"/>
                <w:szCs w:val="16"/>
              </w:rPr>
              <w:t>Mª Concepción Quintana Hernández</w:t>
            </w:r>
          </w:p>
        </w:tc>
        <w:tc>
          <w:tcPr>
            <w:tcW w:w="4108" w:type="dxa"/>
          </w:tcPr>
          <w:p>
            <w:pPr>
              <w:jc w:val="both"/>
              <w:rPr>
                <w:rFonts w:cs="Calibri"/>
                <w:sz w:val="16"/>
                <w:szCs w:val="16"/>
              </w:rPr>
            </w:pPr>
            <w:r>
              <w:rPr>
                <w:rFonts w:cs="Calibri"/>
                <w:sz w:val="16"/>
                <w:szCs w:val="16"/>
              </w:rPr>
              <w:t>Administrativa-dependienta</w:t>
            </w:r>
          </w:p>
        </w:tc>
        <w:tc>
          <w:tcPr>
            <w:tcW w:w="4250" w:type="dxa"/>
          </w:tcPr>
          <w:p>
            <w:pPr>
              <w:rPr>
                <w:rFonts w:cs="Calibri"/>
                <w:sz w:val="16"/>
                <w:szCs w:val="16"/>
              </w:rPr>
            </w:pPr>
            <w:r>
              <w:rPr>
                <w:rFonts w:cs="Calibri"/>
                <w:sz w:val="16"/>
                <w:szCs w:val="16"/>
              </w:rPr>
              <w:t>Taller de croché</w:t>
            </w:r>
          </w:p>
        </w:tc>
      </w:tr>
      <w:tr>
        <w:trPr>
          <w:jc w:val="center"/>
        </w:trPr>
        <w:tc>
          <w:tcPr>
            <w:tcW w:w="2694" w:type="dxa"/>
          </w:tcPr>
          <w:p>
            <w:pPr>
              <w:jc w:val="both"/>
              <w:rPr>
                <w:rFonts w:cs="Calibri"/>
                <w:sz w:val="16"/>
                <w:szCs w:val="16"/>
              </w:rPr>
            </w:pPr>
            <w:r>
              <w:rPr>
                <w:rFonts w:cs="Calibri"/>
                <w:sz w:val="16"/>
                <w:szCs w:val="16"/>
              </w:rPr>
              <w:t>Sergio Soto Medina</w:t>
            </w:r>
          </w:p>
        </w:tc>
        <w:tc>
          <w:tcPr>
            <w:tcW w:w="4108" w:type="dxa"/>
          </w:tcPr>
          <w:p>
            <w:pPr>
              <w:jc w:val="both"/>
              <w:rPr>
                <w:rFonts w:cs="Calibri"/>
                <w:sz w:val="16"/>
                <w:szCs w:val="16"/>
              </w:rPr>
            </w:pPr>
            <w:r>
              <w:rPr>
                <w:rFonts w:cs="Calibri"/>
                <w:sz w:val="16"/>
                <w:szCs w:val="16"/>
              </w:rPr>
              <w:t>Psicólogo</w:t>
            </w:r>
          </w:p>
        </w:tc>
        <w:tc>
          <w:tcPr>
            <w:tcW w:w="4250" w:type="dxa"/>
          </w:tcPr>
          <w:p>
            <w:pPr>
              <w:rPr>
                <w:rFonts w:cs="Calibri"/>
                <w:sz w:val="16"/>
                <w:szCs w:val="16"/>
              </w:rPr>
            </w:pPr>
            <w:r>
              <w:rPr>
                <w:rFonts w:cs="Calibri"/>
                <w:sz w:val="16"/>
                <w:szCs w:val="16"/>
              </w:rPr>
              <w:t>Atención psicológica</w:t>
            </w:r>
          </w:p>
        </w:tc>
      </w:tr>
      <w:tr>
        <w:trPr>
          <w:jc w:val="center"/>
        </w:trPr>
        <w:tc>
          <w:tcPr>
            <w:tcW w:w="2694" w:type="dxa"/>
          </w:tcPr>
          <w:p>
            <w:pPr>
              <w:jc w:val="both"/>
              <w:rPr>
                <w:rFonts w:cs="Calibri"/>
                <w:sz w:val="16"/>
                <w:szCs w:val="16"/>
              </w:rPr>
            </w:pPr>
            <w:r>
              <w:rPr>
                <w:rFonts w:cs="Calibri"/>
                <w:sz w:val="16"/>
                <w:szCs w:val="16"/>
              </w:rPr>
              <w:lastRenderedPageBreak/>
              <w:t>Fátima Plata Santana</w:t>
            </w:r>
          </w:p>
        </w:tc>
        <w:tc>
          <w:tcPr>
            <w:tcW w:w="4108" w:type="dxa"/>
          </w:tcPr>
          <w:p>
            <w:pPr>
              <w:jc w:val="both"/>
              <w:rPr>
                <w:rFonts w:cs="Calibri"/>
                <w:sz w:val="16"/>
                <w:szCs w:val="16"/>
              </w:rPr>
            </w:pPr>
            <w:r>
              <w:rPr>
                <w:rFonts w:cs="Calibri"/>
                <w:sz w:val="16"/>
                <w:szCs w:val="16"/>
              </w:rPr>
              <w:t>Periodista</w:t>
            </w:r>
          </w:p>
        </w:tc>
        <w:tc>
          <w:tcPr>
            <w:tcW w:w="4250" w:type="dxa"/>
          </w:tcPr>
          <w:p>
            <w:pPr>
              <w:rPr>
                <w:rFonts w:cs="Calibri"/>
                <w:sz w:val="16"/>
                <w:szCs w:val="16"/>
              </w:rPr>
            </w:pPr>
            <w:r>
              <w:rPr>
                <w:rFonts w:cs="Calibri"/>
                <w:sz w:val="16"/>
                <w:szCs w:val="16"/>
              </w:rPr>
              <w:t>Talleres educativos</w:t>
            </w:r>
          </w:p>
        </w:tc>
      </w:tr>
      <w:tr>
        <w:trPr>
          <w:jc w:val="center"/>
        </w:trPr>
        <w:tc>
          <w:tcPr>
            <w:tcW w:w="2694" w:type="dxa"/>
          </w:tcPr>
          <w:p>
            <w:pPr>
              <w:spacing w:after="0"/>
              <w:jc w:val="both"/>
              <w:rPr>
                <w:rFonts w:cs="Calibri"/>
                <w:sz w:val="16"/>
                <w:szCs w:val="16"/>
              </w:rPr>
            </w:pPr>
            <w:r>
              <w:rPr>
                <w:rFonts w:cs="Calibri"/>
                <w:sz w:val="16"/>
                <w:szCs w:val="16"/>
              </w:rPr>
              <w:t>Blanca Ciaurriz Iturri</w:t>
            </w:r>
          </w:p>
          <w:p>
            <w:pPr>
              <w:spacing w:after="0"/>
              <w:jc w:val="both"/>
              <w:rPr>
                <w:rFonts w:cs="Calibri"/>
                <w:sz w:val="16"/>
                <w:szCs w:val="16"/>
              </w:rPr>
            </w:pPr>
            <w:r>
              <w:rPr>
                <w:rFonts w:cs="Calibri"/>
                <w:sz w:val="16"/>
                <w:szCs w:val="16"/>
              </w:rPr>
              <w:t>(Miembro de la entidad)</w:t>
            </w:r>
          </w:p>
        </w:tc>
        <w:tc>
          <w:tcPr>
            <w:tcW w:w="4108" w:type="dxa"/>
          </w:tcPr>
          <w:p>
            <w:pPr>
              <w:spacing w:after="0"/>
              <w:jc w:val="both"/>
              <w:rPr>
                <w:rFonts w:cs="Calibri"/>
                <w:sz w:val="16"/>
                <w:szCs w:val="16"/>
              </w:rPr>
            </w:pPr>
            <w:r>
              <w:rPr>
                <w:rFonts w:cs="Calibri"/>
                <w:sz w:val="16"/>
                <w:szCs w:val="16"/>
              </w:rPr>
              <w:t>Bachiller</w:t>
            </w:r>
          </w:p>
        </w:tc>
        <w:tc>
          <w:tcPr>
            <w:tcW w:w="4250" w:type="dxa"/>
          </w:tcPr>
          <w:p>
            <w:pPr>
              <w:spacing w:after="0"/>
              <w:jc w:val="both"/>
              <w:rPr>
                <w:rFonts w:cs="Calibri"/>
                <w:sz w:val="16"/>
                <w:szCs w:val="16"/>
              </w:rPr>
            </w:pPr>
            <w:r>
              <w:rPr>
                <w:rFonts w:cs="Calibri"/>
                <w:sz w:val="16"/>
                <w:szCs w:val="16"/>
              </w:rPr>
              <w:t>Tareas educativas, acompañamientos y apoyo en oficinas</w:t>
            </w:r>
          </w:p>
        </w:tc>
      </w:tr>
      <w:tr>
        <w:trPr>
          <w:jc w:val="center"/>
        </w:trPr>
        <w:tc>
          <w:tcPr>
            <w:tcW w:w="2694" w:type="dxa"/>
          </w:tcPr>
          <w:p>
            <w:pPr>
              <w:spacing w:after="0"/>
              <w:jc w:val="both"/>
              <w:rPr>
                <w:rFonts w:cs="Calibri"/>
                <w:sz w:val="16"/>
                <w:szCs w:val="16"/>
              </w:rPr>
            </w:pPr>
            <w:r>
              <w:rPr>
                <w:rFonts w:cs="Calibri"/>
                <w:sz w:val="16"/>
                <w:szCs w:val="16"/>
              </w:rPr>
              <w:t>Encarna Gorostiza Portilla</w:t>
            </w:r>
          </w:p>
          <w:p>
            <w:pPr>
              <w:spacing w:after="0"/>
              <w:jc w:val="both"/>
              <w:rPr>
                <w:rFonts w:cs="Calibri"/>
                <w:sz w:val="16"/>
                <w:szCs w:val="16"/>
              </w:rPr>
            </w:pPr>
            <w:r>
              <w:rPr>
                <w:rFonts w:cs="Calibri"/>
                <w:sz w:val="16"/>
                <w:szCs w:val="16"/>
              </w:rPr>
              <w:t>(Miembro de la entidad)</w:t>
            </w:r>
          </w:p>
        </w:tc>
        <w:tc>
          <w:tcPr>
            <w:tcW w:w="4108" w:type="dxa"/>
          </w:tcPr>
          <w:p>
            <w:pPr>
              <w:spacing w:after="0"/>
              <w:jc w:val="both"/>
              <w:rPr>
                <w:rFonts w:cs="Calibri"/>
                <w:sz w:val="16"/>
                <w:szCs w:val="16"/>
              </w:rPr>
            </w:pPr>
            <w:r>
              <w:rPr>
                <w:rFonts w:cs="Calibri"/>
                <w:sz w:val="16"/>
                <w:szCs w:val="16"/>
              </w:rPr>
              <w:t>Diplomada en Educación Social</w:t>
            </w:r>
          </w:p>
        </w:tc>
        <w:tc>
          <w:tcPr>
            <w:tcW w:w="4250" w:type="dxa"/>
          </w:tcPr>
          <w:p>
            <w:pPr>
              <w:spacing w:after="0"/>
              <w:jc w:val="both"/>
              <w:rPr>
                <w:rFonts w:cs="Calibri"/>
                <w:sz w:val="16"/>
                <w:szCs w:val="16"/>
              </w:rPr>
            </w:pPr>
            <w:r>
              <w:rPr>
                <w:rFonts w:cs="Calibri"/>
                <w:sz w:val="16"/>
                <w:szCs w:val="16"/>
              </w:rPr>
              <w:t>Tareas educativas, acompañamientos y trabajo de calle</w:t>
            </w:r>
          </w:p>
        </w:tc>
      </w:tr>
      <w:tr>
        <w:trPr>
          <w:jc w:val="center"/>
        </w:trPr>
        <w:tc>
          <w:tcPr>
            <w:tcW w:w="2694" w:type="dxa"/>
          </w:tcPr>
          <w:p>
            <w:pPr>
              <w:spacing w:after="0"/>
              <w:jc w:val="both"/>
              <w:rPr>
                <w:rFonts w:cs="Calibri"/>
                <w:sz w:val="16"/>
                <w:szCs w:val="16"/>
              </w:rPr>
            </w:pPr>
            <w:r>
              <w:rPr>
                <w:rFonts w:cs="Calibri"/>
                <w:sz w:val="16"/>
                <w:szCs w:val="16"/>
              </w:rPr>
              <w:t>María Asunción Rodríguez Teres</w:t>
            </w:r>
          </w:p>
          <w:p>
            <w:pPr>
              <w:spacing w:after="0"/>
              <w:jc w:val="both"/>
              <w:rPr>
                <w:rFonts w:cs="Calibri"/>
                <w:sz w:val="16"/>
                <w:szCs w:val="16"/>
              </w:rPr>
            </w:pPr>
            <w:r>
              <w:rPr>
                <w:rFonts w:cs="Calibri"/>
                <w:sz w:val="16"/>
                <w:szCs w:val="16"/>
              </w:rPr>
              <w:t>(Miembro de la entidad)</w:t>
            </w:r>
          </w:p>
        </w:tc>
        <w:tc>
          <w:tcPr>
            <w:tcW w:w="4108" w:type="dxa"/>
          </w:tcPr>
          <w:p>
            <w:pPr>
              <w:spacing w:after="0"/>
              <w:jc w:val="both"/>
              <w:rPr>
                <w:rFonts w:cs="Calibri"/>
                <w:sz w:val="16"/>
                <w:szCs w:val="16"/>
              </w:rPr>
            </w:pPr>
            <w:r>
              <w:rPr>
                <w:rFonts w:cs="Calibri"/>
                <w:sz w:val="16"/>
                <w:szCs w:val="16"/>
              </w:rPr>
              <w:t>Profesora</w:t>
            </w:r>
          </w:p>
        </w:tc>
        <w:tc>
          <w:tcPr>
            <w:tcW w:w="4250" w:type="dxa"/>
          </w:tcPr>
          <w:p>
            <w:pPr>
              <w:spacing w:after="0"/>
              <w:jc w:val="both"/>
              <w:rPr>
                <w:rFonts w:cs="Calibri"/>
                <w:sz w:val="16"/>
                <w:szCs w:val="16"/>
              </w:rPr>
            </w:pPr>
            <w:r>
              <w:rPr>
                <w:rFonts w:cs="Calibri"/>
                <w:sz w:val="16"/>
                <w:szCs w:val="16"/>
              </w:rPr>
              <w:t>Tareas educativas, acompañamientos y apoyo en oficinas</w:t>
            </w:r>
          </w:p>
        </w:tc>
      </w:tr>
      <w:tr>
        <w:trPr>
          <w:jc w:val="center"/>
        </w:trPr>
        <w:tc>
          <w:tcPr>
            <w:tcW w:w="2694" w:type="dxa"/>
          </w:tcPr>
          <w:p>
            <w:pPr>
              <w:spacing w:after="0"/>
              <w:jc w:val="both"/>
              <w:rPr>
                <w:rFonts w:cs="Calibri"/>
                <w:sz w:val="16"/>
                <w:szCs w:val="16"/>
              </w:rPr>
            </w:pPr>
            <w:r>
              <w:rPr>
                <w:rFonts w:cs="Calibri"/>
                <w:sz w:val="16"/>
                <w:szCs w:val="16"/>
              </w:rPr>
              <w:t>Teresa Burguete Zapata</w:t>
            </w:r>
          </w:p>
          <w:p>
            <w:pPr>
              <w:spacing w:after="0"/>
              <w:jc w:val="both"/>
              <w:rPr>
                <w:rFonts w:cs="Calibri"/>
                <w:sz w:val="16"/>
                <w:szCs w:val="16"/>
              </w:rPr>
            </w:pPr>
            <w:r>
              <w:rPr>
                <w:rFonts w:cs="Calibri"/>
                <w:sz w:val="16"/>
                <w:szCs w:val="16"/>
              </w:rPr>
              <w:t>(Miembro de la entidad)</w:t>
            </w:r>
          </w:p>
        </w:tc>
        <w:tc>
          <w:tcPr>
            <w:tcW w:w="4108" w:type="dxa"/>
          </w:tcPr>
          <w:p>
            <w:pPr>
              <w:spacing w:after="0"/>
              <w:jc w:val="both"/>
              <w:rPr>
                <w:rFonts w:cs="Calibri"/>
                <w:sz w:val="16"/>
                <w:szCs w:val="16"/>
              </w:rPr>
            </w:pPr>
            <w:r>
              <w:rPr>
                <w:rFonts w:cs="Calibri"/>
                <w:sz w:val="16"/>
                <w:szCs w:val="16"/>
              </w:rPr>
              <w:t>Grado de Integración Social</w:t>
            </w:r>
          </w:p>
        </w:tc>
        <w:tc>
          <w:tcPr>
            <w:tcW w:w="4250" w:type="dxa"/>
          </w:tcPr>
          <w:p>
            <w:pPr>
              <w:spacing w:after="0"/>
              <w:jc w:val="both"/>
              <w:rPr>
                <w:rFonts w:cs="Calibri"/>
                <w:sz w:val="16"/>
                <w:szCs w:val="16"/>
              </w:rPr>
            </w:pPr>
            <w:r>
              <w:rPr>
                <w:rFonts w:cs="Calibri"/>
                <w:sz w:val="16"/>
                <w:szCs w:val="16"/>
              </w:rPr>
              <w:t>Tareas educativas, acompañamientos y apoyo en oficinas</w:t>
            </w:r>
          </w:p>
        </w:tc>
      </w:tr>
    </w:tbl>
    <w:p>
      <w:pPr>
        <w:jc w:val="both"/>
        <w:rPr>
          <w:rFonts w:ascii="Arial" w:eastAsia="Times New Roman" w:hAnsi="Arial" w:cs="Arial"/>
          <w:sz w:val="24"/>
          <w:szCs w:val="24"/>
        </w:rPr>
      </w:pPr>
    </w:p>
    <w:p>
      <w:pPr>
        <w:shd w:val="clear" w:color="auto" w:fill="B2A1C7" w:themeFill="accent4" w:themeFillTint="99"/>
        <w:spacing w:line="360" w:lineRule="auto"/>
        <w:contextualSpacing/>
        <w:jc w:val="both"/>
        <w:rPr>
          <w:rFonts w:ascii="Arial" w:eastAsia="Times New Roman" w:hAnsi="Arial" w:cs="Arial"/>
          <w:b/>
          <w:sz w:val="24"/>
          <w:szCs w:val="24"/>
        </w:rPr>
      </w:pPr>
      <w:r>
        <w:rPr>
          <w:rFonts w:ascii="Arial" w:eastAsia="Times New Roman" w:hAnsi="Arial" w:cs="Arial"/>
          <w:b/>
          <w:sz w:val="24"/>
          <w:szCs w:val="24"/>
        </w:rPr>
        <w:t xml:space="preserve">3.6.- RECURSOS MATERIALES </w:t>
      </w:r>
    </w:p>
    <w:p>
      <w:pPr>
        <w:spacing w:after="0" w:line="360" w:lineRule="auto"/>
        <w:suppressOverlap/>
        <w:jc w:val="both"/>
        <w:rPr>
          <w:rFonts w:ascii="Arial" w:eastAsia="Times New Roman" w:hAnsi="Arial" w:cs="Arial"/>
          <w:sz w:val="24"/>
          <w:szCs w:val="24"/>
        </w:rPr>
      </w:pPr>
    </w:p>
    <w:p>
      <w:pPr>
        <w:spacing w:after="0" w:line="360" w:lineRule="auto"/>
        <w:suppressOverlap/>
        <w:jc w:val="both"/>
        <w:rPr>
          <w:rFonts w:ascii="Arial" w:eastAsia="Times New Roman" w:hAnsi="Arial" w:cs="Arial"/>
          <w:sz w:val="24"/>
          <w:szCs w:val="24"/>
        </w:rPr>
      </w:pPr>
      <w:r>
        <w:rPr>
          <w:rFonts w:ascii="Arial" w:eastAsia="Times New Roman" w:hAnsi="Arial" w:cs="Arial"/>
          <w:sz w:val="24"/>
          <w:szCs w:val="24"/>
        </w:rPr>
        <w:t>Para el desarrollo del proyecto se ha contado con un piso en régimen de alquiler, distribuido de la siguiente manera:</w:t>
      </w:r>
    </w:p>
    <w:p>
      <w:pPr>
        <w:spacing w:after="0" w:line="360" w:lineRule="auto"/>
        <w:suppressOverlap/>
        <w:jc w:val="both"/>
        <w:rPr>
          <w:rFonts w:ascii="Arial" w:eastAsia="Times New Roman" w:hAnsi="Arial" w:cs="Arial"/>
          <w:sz w:val="24"/>
          <w:szCs w:val="24"/>
        </w:rPr>
      </w:pPr>
    </w:p>
    <w:p>
      <w:pPr>
        <w:spacing w:after="0" w:line="360" w:lineRule="auto"/>
        <w:suppressOverlap/>
        <w:jc w:val="both"/>
        <w:rPr>
          <w:rFonts w:ascii="Arial" w:eastAsia="Times New Roman" w:hAnsi="Arial" w:cs="Arial"/>
          <w:sz w:val="24"/>
          <w:szCs w:val="24"/>
        </w:rPr>
      </w:pPr>
      <w:r>
        <w:rPr>
          <w:rFonts w:ascii="Arial" w:eastAsia="Times New Roman" w:hAnsi="Arial" w:cs="Arial"/>
          <w:sz w:val="24"/>
          <w:szCs w:val="24"/>
        </w:rPr>
        <w:t>Una sala de espera, seis despachos, dos salas polivalentes, una cocina, sala de juegos para menores y tres baños.</w:t>
      </w:r>
    </w:p>
    <w:p>
      <w:pPr>
        <w:spacing w:after="0" w:line="360" w:lineRule="auto"/>
        <w:suppressOverlap/>
        <w:jc w:val="both"/>
        <w:rPr>
          <w:rFonts w:ascii="Arial" w:eastAsia="Times New Roman" w:hAnsi="Arial" w:cs="Arial"/>
          <w:sz w:val="24"/>
          <w:szCs w:val="24"/>
        </w:rPr>
      </w:pPr>
    </w:p>
    <w:p>
      <w:pPr>
        <w:spacing w:after="0" w:line="360" w:lineRule="auto"/>
        <w:suppressOverlap/>
        <w:jc w:val="both"/>
        <w:rPr>
          <w:rFonts w:ascii="Arial" w:eastAsia="Times New Roman" w:hAnsi="Arial" w:cs="Arial"/>
          <w:color w:val="000000"/>
          <w:sz w:val="24"/>
          <w:szCs w:val="24"/>
          <w:lang w:eastAsia="es-ES"/>
        </w:rPr>
      </w:pPr>
      <w:r>
        <w:rPr>
          <w:rFonts w:ascii="Arial" w:eastAsia="Times New Roman" w:hAnsi="Arial" w:cs="Arial"/>
          <w:sz w:val="24"/>
          <w:szCs w:val="24"/>
          <w:u w:val="single"/>
        </w:rPr>
        <w:t>Equipamiento</w:t>
      </w:r>
      <w:r>
        <w:rPr>
          <w:rFonts w:ascii="Arial" w:eastAsia="Times New Roman" w:hAnsi="Arial" w:cs="Arial"/>
          <w:sz w:val="24"/>
          <w:szCs w:val="24"/>
        </w:rPr>
        <w:t>: nueve mesas de despacho, tres archivadores, nueve sillas de despacho, doce sillas de confidente, cinco armarios de despacho, cinco armarios empotrados, un sofá de tres plazas, cuatro mesas auxiliares, cuarenta sillas plegables, tres mesas grandes plegables, dos pizarras, c</w:t>
      </w:r>
      <w:r>
        <w:rPr>
          <w:rFonts w:ascii="Arial" w:eastAsia="Times New Roman" w:hAnsi="Arial" w:cs="Arial"/>
          <w:color w:val="000000"/>
          <w:sz w:val="24"/>
          <w:szCs w:val="24"/>
          <w:lang w:eastAsia="es-ES"/>
        </w:rPr>
        <w:t>uadros de anuncios, mobiliario infantil (1 mesa, 4 sillas, 1 estantería)</w:t>
      </w:r>
      <w:r>
        <w:rPr>
          <w:rFonts w:ascii="Arial" w:eastAsia="Times New Roman" w:hAnsi="Arial" w:cs="Arial"/>
          <w:sz w:val="24"/>
          <w:szCs w:val="24"/>
        </w:rPr>
        <w:t xml:space="preserve">, </w:t>
      </w:r>
      <w:r>
        <w:rPr>
          <w:rFonts w:ascii="Arial" w:eastAsia="Times New Roman" w:hAnsi="Arial" w:cs="Arial"/>
          <w:color w:val="000000"/>
          <w:sz w:val="24"/>
          <w:szCs w:val="24"/>
          <w:lang w:eastAsia="es-ES"/>
        </w:rPr>
        <w:t>siete ordenadores</w:t>
      </w:r>
      <w:r>
        <w:rPr>
          <w:rFonts w:ascii="Arial" w:eastAsia="Times New Roman" w:hAnsi="Arial" w:cs="Arial"/>
          <w:sz w:val="24"/>
          <w:szCs w:val="24"/>
        </w:rPr>
        <w:t xml:space="preserve">, </w:t>
      </w:r>
      <w:r>
        <w:rPr>
          <w:rFonts w:ascii="Arial" w:eastAsia="Times New Roman" w:hAnsi="Arial" w:cs="Arial"/>
          <w:color w:val="000000"/>
          <w:sz w:val="24"/>
          <w:szCs w:val="24"/>
          <w:lang w:eastAsia="es-ES"/>
        </w:rPr>
        <w:t>siete portátiles</w:t>
      </w:r>
      <w:r>
        <w:rPr>
          <w:rFonts w:ascii="Arial" w:eastAsia="Times New Roman" w:hAnsi="Arial" w:cs="Arial"/>
          <w:sz w:val="24"/>
          <w:szCs w:val="24"/>
        </w:rPr>
        <w:t>, u</w:t>
      </w:r>
      <w:r>
        <w:rPr>
          <w:rFonts w:ascii="Arial" w:eastAsia="Times New Roman" w:hAnsi="Arial" w:cs="Arial"/>
          <w:color w:val="000000"/>
          <w:sz w:val="24"/>
          <w:szCs w:val="24"/>
          <w:lang w:eastAsia="es-ES"/>
        </w:rPr>
        <w:t>na fotocopiadora- impresora-escáner</w:t>
      </w:r>
      <w:r>
        <w:rPr>
          <w:rFonts w:ascii="Arial" w:eastAsia="Times New Roman" w:hAnsi="Arial" w:cs="Arial"/>
          <w:sz w:val="24"/>
          <w:szCs w:val="24"/>
        </w:rPr>
        <w:t xml:space="preserve">, </w:t>
      </w:r>
      <w:r>
        <w:rPr>
          <w:rFonts w:ascii="Arial" w:eastAsia="Times New Roman" w:hAnsi="Arial" w:cs="Arial"/>
          <w:color w:val="000000"/>
          <w:sz w:val="24"/>
          <w:szCs w:val="24"/>
          <w:lang w:eastAsia="es-ES"/>
        </w:rPr>
        <w:t>siete teléfonos móviles, dos proyectores.</w:t>
      </w:r>
      <w:r>
        <w:rPr>
          <w:rFonts w:ascii="Arial" w:eastAsia="Times New Roman" w:hAnsi="Arial" w:cs="Arial"/>
          <w:sz w:val="24"/>
          <w:szCs w:val="24"/>
        </w:rPr>
        <w:t>, u</w:t>
      </w:r>
      <w:r>
        <w:rPr>
          <w:rFonts w:ascii="Arial" w:eastAsia="Times New Roman" w:hAnsi="Arial" w:cs="Arial"/>
          <w:color w:val="000000"/>
          <w:sz w:val="24"/>
          <w:szCs w:val="24"/>
          <w:lang w:eastAsia="es-ES"/>
        </w:rPr>
        <w:t>na grabadora, una nevera-office, un microondas , una mesa de office.</w:t>
      </w:r>
    </w:p>
    <w:p>
      <w:pPr>
        <w:spacing w:after="0" w:line="360" w:lineRule="auto"/>
        <w:suppressOverlap/>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u w:val="single"/>
        </w:rPr>
        <w:t>Materiales de trabajo de calle</w:t>
      </w:r>
      <w:r>
        <w:rPr>
          <w:rFonts w:ascii="Arial" w:eastAsia="Times New Roman" w:hAnsi="Arial" w:cs="Arial"/>
          <w:sz w:val="24"/>
          <w:szCs w:val="24"/>
        </w:rPr>
        <w:t>: folletos informativos, material preventivo en contagios de ITS, neceser, tarjetas institucionales de contacto, teléfono móvil, kit de higiene.</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Además, se cuenta con un vehículo para los desplazamientos de trabajo de calle u otras gestiones necesarias en la ejecución del proyecto, así como línea de teléfono de emergencia en funcionamiento 24 horas.</w:t>
      </w:r>
    </w:p>
    <w:p>
      <w:pPr>
        <w:spacing w:line="360" w:lineRule="auto"/>
        <w:jc w:val="both"/>
        <w:rPr>
          <w:rFonts w:asciiTheme="minorHAnsi" w:hAnsiTheme="minorHAnsi" w:cs="Arial"/>
          <w:bCs/>
        </w:rPr>
      </w:pPr>
    </w:p>
    <w:p>
      <w:pPr>
        <w:spacing w:line="360" w:lineRule="auto"/>
        <w:jc w:val="both"/>
        <w:rPr>
          <w:rFonts w:ascii="Arial" w:hAnsi="Arial" w:cs="Arial"/>
          <w:bCs/>
          <w:sz w:val="24"/>
          <w:szCs w:val="24"/>
        </w:rPr>
      </w:pPr>
    </w:p>
    <w:p>
      <w:pPr>
        <w:shd w:val="clear" w:color="auto" w:fill="365F91" w:themeFill="accent1" w:themeFillShade="BF"/>
        <w:jc w:val="center"/>
        <w:outlineLvl w:val="0"/>
        <w:rPr>
          <w:rFonts w:ascii="Arial" w:hAnsi="Arial" w:cs="Arial"/>
          <w:b/>
          <w:color w:val="FFFFFF" w:themeColor="background1"/>
          <w:sz w:val="24"/>
          <w:szCs w:val="24"/>
        </w:rPr>
      </w:pPr>
      <w:r>
        <w:rPr>
          <w:rFonts w:ascii="Arial" w:hAnsi="Arial" w:cs="Arial"/>
          <w:b/>
          <w:color w:val="FFFFFF" w:themeColor="background1"/>
          <w:sz w:val="24"/>
          <w:szCs w:val="24"/>
        </w:rPr>
        <w:lastRenderedPageBreak/>
        <w:t xml:space="preserve"> AREA SOCIAL</w:t>
      </w:r>
    </w:p>
    <w:p>
      <w:pPr>
        <w:spacing w:line="240" w:lineRule="auto"/>
        <w:jc w:val="both"/>
        <w:rPr>
          <w:rFonts w:ascii="Arial" w:eastAsia="Times New Roman" w:hAnsi="Arial" w:cs="Arial"/>
          <w:b/>
          <w:sz w:val="24"/>
          <w:szCs w:val="24"/>
        </w:rPr>
      </w:pPr>
    </w:p>
    <w:p>
      <w:pPr>
        <w:shd w:val="clear" w:color="auto" w:fill="B2A1C7" w:themeFill="accent4" w:themeFillTint="99"/>
        <w:spacing w:line="360" w:lineRule="auto"/>
        <w:jc w:val="both"/>
        <w:outlineLvl w:val="0"/>
        <w:rPr>
          <w:rFonts w:ascii="Arial" w:eastAsia="Times New Roman" w:hAnsi="Arial" w:cs="Arial"/>
          <w:b/>
          <w:sz w:val="24"/>
          <w:szCs w:val="24"/>
        </w:rPr>
      </w:pPr>
      <w:r>
        <w:rPr>
          <w:rFonts w:ascii="Arial" w:eastAsia="Times New Roman" w:hAnsi="Arial" w:cs="Arial"/>
          <w:b/>
          <w:sz w:val="24"/>
          <w:szCs w:val="24"/>
        </w:rPr>
        <w:t>A.- OBJETIVO GENERAL:</w:t>
      </w:r>
    </w:p>
    <w:p>
      <w:pPr>
        <w:spacing w:line="360" w:lineRule="auto"/>
        <w:jc w:val="both"/>
        <w:rPr>
          <w:rFonts w:ascii="Arial" w:eastAsia="Times New Roman" w:hAnsi="Arial" w:cs="Arial"/>
          <w:sz w:val="24"/>
          <w:szCs w:val="24"/>
        </w:rPr>
      </w:pPr>
      <w:r>
        <w:rPr>
          <w:rFonts w:ascii="Arial" w:eastAsia="Times New Roman" w:hAnsi="Arial" w:cs="Arial"/>
          <w:sz w:val="24"/>
          <w:szCs w:val="24"/>
        </w:rPr>
        <w:t>Apoyar la autonomía personal, la promoción y la recuperación de las mujeres que sufren violencia de género, así como la de los y las menores expuestos y expuestas a la violencia.</w:t>
      </w:r>
    </w:p>
    <w:p>
      <w:pPr>
        <w:shd w:val="clear" w:color="auto" w:fill="B2A1C7" w:themeFill="accent4" w:themeFillTint="99"/>
        <w:spacing w:line="360" w:lineRule="auto"/>
        <w:jc w:val="both"/>
        <w:outlineLvl w:val="0"/>
        <w:rPr>
          <w:rFonts w:ascii="Arial" w:eastAsia="Times New Roman" w:hAnsi="Arial" w:cs="Arial"/>
          <w:b/>
          <w:sz w:val="24"/>
          <w:szCs w:val="24"/>
        </w:rPr>
      </w:pPr>
      <w:r>
        <w:rPr>
          <w:rFonts w:ascii="Arial" w:eastAsia="Times New Roman" w:hAnsi="Arial" w:cs="Arial"/>
          <w:b/>
          <w:sz w:val="24"/>
          <w:szCs w:val="24"/>
        </w:rPr>
        <w:t>B.- ACTIVIDADES REALIZADAS:</w:t>
      </w:r>
    </w:p>
    <w:p>
      <w:pPr>
        <w:spacing w:line="360" w:lineRule="auto"/>
        <w:jc w:val="both"/>
        <w:rPr>
          <w:rFonts w:ascii="Arial" w:eastAsia="Times New Roman" w:hAnsi="Arial" w:cs="Arial"/>
          <w:sz w:val="24"/>
          <w:szCs w:val="24"/>
        </w:rPr>
      </w:pPr>
      <w:r>
        <w:rPr>
          <w:rFonts w:ascii="Arial" w:eastAsia="Times New Roman" w:hAnsi="Arial" w:cs="Arial"/>
          <w:sz w:val="24"/>
          <w:szCs w:val="24"/>
        </w:rPr>
        <w:t>A continuación, se exponen las actividades y/o acciones llevadas a cabo en el 2025 en relación a los objetivos del proyecto.</w:t>
      </w:r>
    </w:p>
    <w:p>
      <w:pPr>
        <w:spacing w:line="360" w:lineRule="auto"/>
        <w:jc w:val="both"/>
        <w:rPr>
          <w:rFonts w:ascii="Arial" w:eastAsia="Times New Roman" w:hAnsi="Arial" w:cs="Arial"/>
          <w:sz w:val="24"/>
          <w:szCs w:val="24"/>
        </w:rPr>
      </w:pPr>
      <w:r>
        <w:rPr>
          <w:rFonts w:ascii="Arial" w:eastAsia="Times New Roman" w:hAnsi="Arial" w:cs="Arial"/>
          <w:sz w:val="24"/>
          <w:szCs w:val="24"/>
        </w:rPr>
        <w:t>Intervenir de forma integral, con las mujeres y menores en riesgo o víctimas de violencia de género, especialmente por prostitución y/o trata con fines de explotación sexual que lo soliciten.</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El Área Social es la puerta de entrada a la atención en sede de las mujeres, siendo ésta la que establece la primera entrevista y recoge las demandas de cada mujer, orientando posteriormente con cada profesional del equipo en función de los temas a abordar.</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 </w:t>
      </w:r>
    </w:p>
    <w:p>
      <w:pPr>
        <w:spacing w:after="0" w:line="360" w:lineRule="auto"/>
        <w:jc w:val="both"/>
        <w:rPr>
          <w:rFonts w:ascii="Arial" w:hAnsi="Arial" w:cs="Arial"/>
          <w:sz w:val="24"/>
          <w:szCs w:val="24"/>
        </w:rPr>
      </w:pPr>
      <w:r>
        <w:rPr>
          <w:rFonts w:ascii="Arial" w:eastAsia="Times New Roman" w:hAnsi="Arial" w:cs="Arial"/>
          <w:sz w:val="24"/>
          <w:szCs w:val="24"/>
        </w:rPr>
        <w:t xml:space="preserve">A lo largo del año 2025, </w:t>
      </w:r>
      <w:r>
        <w:rPr>
          <w:rFonts w:ascii="Arial" w:hAnsi="Arial" w:cs="Arial"/>
          <w:b/>
          <w:sz w:val="24"/>
          <w:szCs w:val="24"/>
        </w:rPr>
        <w:t>ciento treinta y cuatro (134)</w:t>
      </w:r>
      <w:r>
        <w:rPr>
          <w:rFonts w:ascii="Arial" w:hAnsi="Arial" w:cs="Arial"/>
          <w:sz w:val="24"/>
          <w:szCs w:val="24"/>
        </w:rPr>
        <w:t xml:space="preserve"> mujeres han sido atendidas desde el ámbito social. Siendo de éstas 88 mujeres con hijos/as, de forma indirecta se ha favorecido a su entorno familiar más próximo, aproximadamente a 166 menores.</w:t>
      </w:r>
    </w:p>
    <w:p>
      <w:pPr>
        <w:spacing w:after="0" w:line="360" w:lineRule="auto"/>
        <w:jc w:val="both"/>
        <w:rPr>
          <w:rFonts w:ascii="Arial"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La demanda inicial que han realizado se ha centrado en la escucha, el facilitar espacios de desahogo y conversación, seguido del asesoramiento para activar ayudas, el apoyo terapéutico y/o jurídico, la realización de algunas gestiones y trámites, la activación para la búsqueda de empleo y/o formación, la solicitud online de citas, entre otras. Entre las gestiones y trámites realizados citar los empadronamientos, tramitaciones de documentos identificativos y tarjetas sanitarias, trámites de ayudas económicas, acreditaciones de situaciones de vulnerabilidad, gestiones en Servicio Canario de Empleo (demanda de empleo, inscripción en cursos…), tarjetas de transporte, etc.  Es </w:t>
      </w:r>
      <w:r>
        <w:rPr>
          <w:rFonts w:ascii="Arial" w:eastAsia="Times New Roman" w:hAnsi="Arial" w:cs="Arial"/>
          <w:sz w:val="24"/>
          <w:szCs w:val="24"/>
        </w:rPr>
        <w:lastRenderedPageBreak/>
        <w:t>preciso destacar los acompañamientos a múltiples gestiones, juzgados, hospitales, centros de salud, entre otros, y especialmente, reflejar las atenciones a través de teléfono, (por llamada o por mensaje) que se realizaron. Estas últimas, si bien no son entrevistas, se establecieron como forma de dar respuestas a consultas, establecer pautas y procedimientos, reconducir situaciones personales… Un número que no es posible concretar este año, pero que en la valoración de actividad se considera muy elevado y repercute en la tarea y en los tiempos del equipo. Un año más, se ha mantenido una continua comunicación telefónica, adaptada a las capacidades y recursos de las mujeres, que demandaron ser escuchadas y acompañadas, como forma de mantener vínculos y reforzar la realización de acuerdos y procesos de trabajo personal. Procesos de muy diversa duración, pero con objetivos claros.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Por otro lado, las mujeres restantes, acuden solo de forma puntual, a tramitar o solicitar asesoramiento concreto y algunas en varios momentos del año.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Las acciones llevadas a cabo durante el acompañamiento individualizado realizado han estado dirigidas a favorecer el acceso a derechos sociales, valorando necesidades y demandas, remitiendo a las profesionales del equipo para atención desde las diferentes áreas, acompañando en la toma de decisiones, realizando gestiones en recursos, orientando en formas y procedimientos en ámbitos social, sanitario, laboral, formativos y terapéuticos.</w:t>
      </w:r>
    </w:p>
    <w:p>
      <w:pPr>
        <w:spacing w:after="0" w:line="360" w:lineRule="auto"/>
        <w:jc w:val="both"/>
        <w:rPr>
          <w:rFonts w:ascii="Arial" w:eastAsia="Times New Roman" w:hAnsi="Arial" w:cs="Arial"/>
          <w:sz w:val="24"/>
          <w:szCs w:val="24"/>
        </w:rPr>
      </w:pPr>
    </w:p>
    <w:p>
      <w:pPr>
        <w:spacing w:after="0"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A estas acciones es necesario añadir las realizadas en torno a la coordinación con los recursos comunitarios, con el fin de favorecer el acceso a los derechos: empadronamientos en Casa Municipal de la Mujer del Ayuntamiento de Las Palmas de Gran Canaria; trámites para garantizar atención sanitaria (centros de salud, farmacia, atención especializada…) ; trámites y seguimiento de ayudas económicas (SEPE, Seguridad Social, servicios sociales municipales, bancos de alimentos…); acceso a formación (Adsis, Fundación Ecca, Escuelas de adultos, SCE…); acceso a vivienda (Concejalía de Vivienda del Ayuntamiento de Las Palmas de Gran Canaria y Consejería de Vivienda de Gobierno de Canarias, apoyo en búsqueda de alquileres, gestiones y </w:t>
      </w:r>
      <w:r>
        <w:rPr>
          <w:rFonts w:ascii="Arial" w:eastAsia="Times New Roman" w:hAnsi="Arial" w:cs="Arial"/>
          <w:sz w:val="24"/>
          <w:szCs w:val="24"/>
        </w:rPr>
        <w:lastRenderedPageBreak/>
        <w:t>tramitación de alquileres alternativos,…); atención a entidades que derivaron a mujeres a nuestros servicios; coordinación con recursos jurídicos para tramites de documentos y acceso a servicios; elaboración de informes, visitas-acompañamiento en alojamiento alternativo facilitado por el Programa…</w:t>
      </w:r>
    </w:p>
    <w:p>
      <w:pPr>
        <w:spacing w:after="0" w:line="360" w:lineRule="auto"/>
        <w:contextualSpacing/>
        <w:jc w:val="both"/>
        <w:rPr>
          <w:rFonts w:ascii="Arial" w:eastAsia="Times New Roman" w:hAnsi="Arial" w:cs="Arial"/>
          <w:sz w:val="24"/>
          <w:szCs w:val="24"/>
        </w:rPr>
      </w:pPr>
    </w:p>
    <w:p>
      <w:pPr>
        <w:spacing w:line="360" w:lineRule="auto"/>
        <w:jc w:val="both"/>
        <w:rPr>
          <w:rFonts w:ascii="Arial" w:eastAsia="Times New Roman" w:hAnsi="Arial" w:cs="Arial"/>
          <w:b/>
          <w:i/>
          <w:sz w:val="24"/>
          <w:szCs w:val="24"/>
        </w:rPr>
      </w:pPr>
      <w:r>
        <w:rPr>
          <w:rFonts w:ascii="Arial" w:eastAsia="Times New Roman" w:hAnsi="Arial" w:cs="Arial"/>
          <w:b/>
          <w:i/>
          <w:sz w:val="24"/>
          <w:szCs w:val="24"/>
        </w:rPr>
        <w:t>Realizar talleres grupales, entre las mujeres atendidas en el proyecto, que incidan en la recuperación y/o prevención de la violencia de género para la promoción de la autonomía y empoderamiento personal.</w:t>
      </w:r>
    </w:p>
    <w:p>
      <w:pPr>
        <w:spacing w:after="0" w:line="360" w:lineRule="auto"/>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Durante el año 2025, se han desarrollado diversos proyectos orientados a favorecer la integración social de las mujeres a través de acciones formativas, talleres y sesiones centradas en la mejora de la empleabilidad, el conocimiento del sistema formativo español y otros contenidos de interés. Estas actuaciones inciden de manera directa en los procesos de recuperación y/o prevención de la violencia de género, al promover la autonomía personal, el empoderamiento y la toma de decisiones informadas.</w:t>
      </w:r>
    </w:p>
    <w:p>
      <w:pPr>
        <w:spacing w:after="0" w:line="360" w:lineRule="auto"/>
        <w:jc w:val="both"/>
        <w:rPr>
          <w:rFonts w:ascii="Arial" w:eastAsia="Times New Roman" w:hAnsi="Arial" w:cs="Arial"/>
          <w:bCs/>
          <w:sz w:val="24"/>
          <w:szCs w:val="24"/>
          <w:lang w:val="es-ES_tradnl" w:eastAsia="es-ES"/>
        </w:rPr>
      </w:pPr>
    </w:p>
    <w:p>
      <w:pPr>
        <w:spacing w:after="0" w:line="360" w:lineRule="auto"/>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Las mujeres del proyecto participaron en cuatro acciones formativas de impacto directo en la recuperación y/o prevención de la violencia de género, centradas en el fortalecimiento de la autoestima, el autocuidado y los procesos de cambio personal. Estas acciones fueron: «Efecto de las imposiciones socioculturales sobre la mujer: salud y autoestima», «Autoestima y proceso de cambio», taller de yoga y slow life y «Me cuido. El cambio puede comenzar en mí».</w:t>
      </w:r>
    </w:p>
    <w:p>
      <w:pPr>
        <w:autoSpaceDE w:val="0"/>
        <w:autoSpaceDN w:val="0"/>
        <w:adjustRightInd w:val="0"/>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Asimismo, con el apoyo del voluntariado, se han desarrollado a lo largo de 2025 diversos talleres, sesiones y actividades, como han sido los siguientes: </w:t>
      </w:r>
    </w:p>
    <w:p>
      <w:pPr>
        <w:autoSpaceDE w:val="0"/>
        <w:autoSpaceDN w:val="0"/>
        <w:adjustRightInd w:val="0"/>
        <w:spacing w:after="0" w:line="360" w:lineRule="auto"/>
        <w:jc w:val="both"/>
        <w:rPr>
          <w:rFonts w:ascii="Arial" w:eastAsia="Times New Roman" w:hAnsi="Arial" w:cs="Arial"/>
          <w:color w:val="000000"/>
          <w:sz w:val="24"/>
          <w:szCs w:val="24"/>
        </w:rPr>
      </w:pPr>
    </w:p>
    <w:p>
      <w:pPr>
        <w:autoSpaceDE w:val="0"/>
        <w:autoSpaceDN w:val="0"/>
        <w:adjustRightInd w:val="0"/>
        <w:spacing w:after="0" w:line="360" w:lineRule="auto"/>
        <w:ind w:left="567"/>
        <w:jc w:val="both"/>
        <w:rPr>
          <w:rFonts w:ascii="Arial" w:eastAsia="Times New Roman" w:hAnsi="Arial" w:cs="Arial"/>
          <w:color w:val="000000"/>
          <w:sz w:val="24"/>
          <w:szCs w:val="24"/>
        </w:rPr>
      </w:pPr>
      <w:r>
        <w:rPr>
          <w:rFonts w:ascii="Arial" w:eastAsia="Times New Roman" w:hAnsi="Arial" w:cs="Arial"/>
          <w:color w:val="000000"/>
          <w:sz w:val="24"/>
          <w:szCs w:val="24"/>
        </w:rPr>
        <w:t>-Taller de autocuidado, con una participación aproximada de 4 mujeres del proyecto.</w:t>
      </w:r>
    </w:p>
    <w:p>
      <w:pPr>
        <w:autoSpaceDE w:val="0"/>
        <w:autoSpaceDN w:val="0"/>
        <w:adjustRightInd w:val="0"/>
        <w:spacing w:after="0" w:line="360" w:lineRule="auto"/>
        <w:ind w:left="567"/>
        <w:jc w:val="both"/>
        <w:rPr>
          <w:rFonts w:ascii="Arial" w:eastAsia="Times New Roman" w:hAnsi="Arial" w:cs="Arial"/>
          <w:color w:val="000000"/>
          <w:sz w:val="24"/>
          <w:szCs w:val="24"/>
        </w:rPr>
      </w:pPr>
      <w:r>
        <w:rPr>
          <w:rFonts w:ascii="Arial" w:eastAsia="Times New Roman" w:hAnsi="Arial" w:cs="Arial"/>
          <w:color w:val="000000"/>
          <w:sz w:val="24"/>
          <w:szCs w:val="24"/>
        </w:rPr>
        <w:t>- Taller de preparación para la obtención de Competencias Clave del nivel 2 y 3 (lengua castellana, matemáticas e inglés), en el que han participado 7 mujeres.</w:t>
      </w:r>
    </w:p>
    <w:p>
      <w:pPr>
        <w:autoSpaceDE w:val="0"/>
        <w:autoSpaceDN w:val="0"/>
        <w:adjustRightInd w:val="0"/>
        <w:spacing w:after="0" w:line="360" w:lineRule="auto"/>
        <w:ind w:left="567"/>
        <w:jc w:val="both"/>
        <w:rPr>
          <w:rFonts w:ascii="Arial" w:eastAsia="Times New Roman" w:hAnsi="Arial" w:cs="Arial"/>
          <w:color w:val="000000"/>
          <w:sz w:val="24"/>
          <w:szCs w:val="24"/>
        </w:rPr>
      </w:pPr>
      <w:r>
        <w:rPr>
          <w:rFonts w:ascii="Arial" w:eastAsia="Times New Roman" w:hAnsi="Arial" w:cs="Arial"/>
          <w:color w:val="000000"/>
          <w:sz w:val="24"/>
          <w:szCs w:val="24"/>
        </w:rPr>
        <w:t>- Clases de español con la participación de 2 mujeres del proyecto.</w:t>
      </w:r>
    </w:p>
    <w:p>
      <w:pPr>
        <w:autoSpaceDE w:val="0"/>
        <w:autoSpaceDN w:val="0"/>
        <w:adjustRightInd w:val="0"/>
        <w:spacing w:after="0" w:line="360" w:lineRule="auto"/>
        <w:ind w:left="567"/>
        <w:jc w:val="both"/>
        <w:rPr>
          <w:rFonts w:ascii="Arial" w:eastAsia="Times New Roman" w:hAnsi="Arial" w:cs="Arial"/>
          <w:color w:val="000000"/>
          <w:sz w:val="24"/>
          <w:szCs w:val="24"/>
        </w:rPr>
      </w:pPr>
      <w:r>
        <w:rPr>
          <w:rFonts w:ascii="Arial" w:eastAsia="Times New Roman" w:hAnsi="Arial" w:cs="Arial"/>
          <w:color w:val="000000"/>
          <w:sz w:val="24"/>
          <w:szCs w:val="24"/>
        </w:rPr>
        <w:t>- Taller de costura/croché, con una participación de 4 mujeres.</w:t>
      </w:r>
    </w:p>
    <w:p>
      <w:pPr>
        <w:autoSpaceDE w:val="0"/>
        <w:autoSpaceDN w:val="0"/>
        <w:adjustRightInd w:val="0"/>
        <w:spacing w:after="0" w:line="360" w:lineRule="auto"/>
        <w:jc w:val="both"/>
        <w:rPr>
          <w:rFonts w:ascii="Arial" w:eastAsia="Times New Roman" w:hAnsi="Arial" w:cs="Arial"/>
          <w:color w:val="000000"/>
          <w:sz w:val="24"/>
          <w:szCs w:val="24"/>
        </w:rPr>
      </w:pPr>
    </w:p>
    <w:p>
      <w:pPr>
        <w:autoSpaceDE w:val="0"/>
        <w:autoSpaceDN w:val="0"/>
        <w:adjustRightInd w:val="0"/>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Estos talleres se han mantenido de forma continuada durante el año 2025, registrándose una participación favorable y una valoración muy positiva por parte de las mujeres, quienes destacan el impacto en el desarrollo de habilidades personales, sociales y de autonomía.</w:t>
      </w:r>
    </w:p>
    <w:p>
      <w:pPr>
        <w:autoSpaceDE w:val="0"/>
        <w:autoSpaceDN w:val="0"/>
        <w:adjustRightInd w:val="0"/>
        <w:spacing w:after="0" w:line="360" w:lineRule="auto"/>
        <w:jc w:val="both"/>
        <w:rPr>
          <w:rFonts w:ascii="Arial" w:eastAsia="Times New Roman" w:hAnsi="Arial" w:cs="Arial"/>
          <w:color w:val="000000"/>
          <w:sz w:val="24"/>
          <w:szCs w:val="24"/>
        </w:rPr>
      </w:pPr>
    </w:p>
    <w:p>
      <w:pPr>
        <w:spacing w:after="0" w:line="360" w:lineRule="auto"/>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Cabe destacar que, durante el año 2025, que 11 mujeres participantes del Programa Oblatas Daniela Participa se incorporaron al proyecto del área formativo-laboral «Transitando hacia la inserción», reforzando su itinerario de capacitación y acompañamiento hacia la inserción sociolaboral.</w:t>
      </w:r>
    </w:p>
    <w:p>
      <w:pPr>
        <w:spacing w:after="0" w:line="360" w:lineRule="auto"/>
        <w:jc w:val="both"/>
        <w:rPr>
          <w:rFonts w:ascii="Arial" w:eastAsia="Times New Roman" w:hAnsi="Arial" w:cs="Arial"/>
          <w:bCs/>
          <w:sz w:val="24"/>
          <w:szCs w:val="24"/>
          <w:lang w:val="es-ES_tradnl" w:eastAsia="es-ES"/>
        </w:rPr>
      </w:pPr>
    </w:p>
    <w:p>
      <w:pPr>
        <w:spacing w:after="0" w:line="360" w:lineRule="auto"/>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Además, cinco mujeres participantes del Programa Oblatas Daniela Participa se incorporaron al Proyecto de Formación y Empleo que desarrolla la entidad en convenio con el Servicio Canario de Empleo. A través de esta iniciativa, estas cinco mujeres, junto a otras participantes procedentes del recurso alojativo de la entidad, han podido obtener el certificado de profesionalidad de “Auxiliar de restaurante y bares”, entre otras acciones formativas orientadas a mejorar su empleabilidad, autonomía y empoderamiento personal.</w:t>
      </w:r>
    </w:p>
    <w:p>
      <w:pPr>
        <w:spacing w:after="0" w:line="360" w:lineRule="auto"/>
        <w:jc w:val="both"/>
        <w:rPr>
          <w:rFonts w:ascii="Arial" w:eastAsia="Times New Roman" w:hAnsi="Arial" w:cs="Arial"/>
          <w:bCs/>
          <w:sz w:val="24"/>
          <w:szCs w:val="24"/>
          <w:lang w:val="es-ES_tradnl" w:eastAsia="es-ES"/>
        </w:rPr>
      </w:pPr>
    </w:p>
    <w:p>
      <w:pPr>
        <w:autoSpaceDE w:val="0"/>
        <w:autoSpaceDN w:val="0"/>
        <w:adjustRightInd w:val="0"/>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En base a esta experiencia y al feedback recibido, durante 2026 se continuará implementando y reforzando estos talleres, así como incorporando nuevas propuestas formativas, en beneficio tanto de las mujeres ya vinculadas al proyecto, como de aquellas que se incorporen progresivamente.</w:t>
      </w:r>
    </w:p>
    <w:p>
      <w:pPr>
        <w:contextualSpacing/>
        <w:rPr>
          <w:rFonts w:ascii="Arial" w:eastAsia="Times New Roman" w:hAnsi="Arial" w:cs="Arial"/>
          <w:b/>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p>
      <w:pPr>
        <w:shd w:val="clear" w:color="auto" w:fill="365F91" w:themeFill="accent1" w:themeFillShade="BF"/>
        <w:jc w:val="center"/>
        <w:outlineLvl w:val="0"/>
        <w:rPr>
          <w:rFonts w:ascii="Arial" w:hAnsi="Arial" w:cs="Arial"/>
          <w:b/>
          <w:color w:val="FFFFFF" w:themeColor="background1"/>
          <w:sz w:val="24"/>
          <w:szCs w:val="24"/>
        </w:rPr>
      </w:pPr>
      <w:r>
        <w:rPr>
          <w:rFonts w:ascii="Arial" w:hAnsi="Arial" w:cs="Arial"/>
          <w:b/>
          <w:color w:val="FFFFFF" w:themeColor="background1"/>
          <w:sz w:val="24"/>
          <w:szCs w:val="24"/>
        </w:rPr>
        <w:lastRenderedPageBreak/>
        <w:t>AREA TRABAJO DE CALLE</w:t>
      </w:r>
    </w:p>
    <w:p>
      <w:pPr>
        <w:spacing w:after="0" w:line="240" w:lineRule="auto"/>
        <w:jc w:val="both"/>
        <w:rPr>
          <w:rFonts w:ascii="Arial" w:eastAsia="Times New Roman" w:hAnsi="Arial" w:cs="Arial"/>
          <w:b/>
          <w:color w:val="000000" w:themeColor="text1"/>
          <w:sz w:val="24"/>
          <w:szCs w:val="24"/>
        </w:rPr>
      </w:pPr>
    </w:p>
    <w:p>
      <w:pPr>
        <w:shd w:val="clear" w:color="auto" w:fill="B2A1C7" w:themeFill="accent4" w:themeFillTint="99"/>
        <w:spacing w:after="0" w:line="360" w:lineRule="auto"/>
        <w:jc w:val="both"/>
        <w:outlineLvl w:val="0"/>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A.- OBJETIVO GENERAL DEL ÁREA:</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Intervenir con mujeres, desde el dispositivo de acercamiento, en medios abiertos y cerrados en contextos de prostitución (calle, pisos, clubs, centros de estética/masaje).</w:t>
      </w:r>
    </w:p>
    <w:p>
      <w:pPr>
        <w:spacing w:after="0" w:line="360" w:lineRule="auto"/>
        <w:jc w:val="both"/>
        <w:rPr>
          <w:rFonts w:ascii="Arial" w:eastAsia="Times New Roman" w:hAnsi="Arial" w:cs="Arial"/>
          <w:color w:val="000000" w:themeColor="text1"/>
          <w:sz w:val="24"/>
          <w:szCs w:val="24"/>
        </w:rPr>
      </w:pPr>
    </w:p>
    <w:p>
      <w:pPr>
        <w:shd w:val="clear" w:color="auto" w:fill="B2A1C7" w:themeFill="accent4" w:themeFillTint="99"/>
        <w:spacing w:after="0" w:line="360" w:lineRule="auto"/>
        <w:jc w:val="both"/>
        <w:outlineLvl w:val="0"/>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B.- OBJETIVOS ESPECÍFICOS:</w:t>
      </w:r>
    </w:p>
    <w:p>
      <w:pPr>
        <w:spacing w:after="0" w:line="360" w:lineRule="auto"/>
        <w:jc w:val="both"/>
        <w:rPr>
          <w:rFonts w:ascii="Arial" w:eastAsia="Times New Roman" w:hAnsi="Arial" w:cs="Arial"/>
          <w:color w:val="000000" w:themeColor="text1"/>
          <w:sz w:val="24"/>
          <w:szCs w:val="24"/>
        </w:rPr>
      </w:pPr>
    </w:p>
    <w:p>
      <w:pPr>
        <w:pStyle w:val="Prrafodelista"/>
        <w:numPr>
          <w:ilvl w:val="0"/>
          <w:numId w:val="82"/>
        </w:num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Contactar con mujeres en contextos de prostitución y establecer relaciones de confianza. Generar vínculo a través de las visitas semanales con el objetivo último de crear redes.</w:t>
      </w:r>
    </w:p>
    <w:p>
      <w:pPr>
        <w:pStyle w:val="Prrafodelista"/>
        <w:numPr>
          <w:ilvl w:val="0"/>
          <w:numId w:val="82"/>
        </w:num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Dar a conocer el Programa y sus servicios, servir de enlace entre los recursos de la propia institución u otras instituciones y las necesidades de las mujeres contactadas. </w:t>
      </w:r>
    </w:p>
    <w:p>
      <w:pPr>
        <w:pStyle w:val="Prrafodelista"/>
        <w:numPr>
          <w:ilvl w:val="0"/>
          <w:numId w:val="82"/>
        </w:num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Informar y asesorar sobre el acceso a recursos.</w:t>
      </w:r>
    </w:p>
    <w:p>
      <w:pPr>
        <w:pStyle w:val="Prrafodelista"/>
        <w:numPr>
          <w:ilvl w:val="0"/>
          <w:numId w:val="82"/>
        </w:num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Recabar datos sobre la realidad de los contextos de prostitución, poniendo especial atención a cómo son los entornos, condiciones, formas de proceder; así como detectar indicadores de VTSH; analizar cómo los contextos van evolucionando y modificándose en función de las circunstancias socioeconómicas, etc.</w:t>
      </w:r>
    </w:p>
    <w:p>
      <w:pPr>
        <w:spacing w:after="0" w:line="360" w:lineRule="auto"/>
        <w:jc w:val="both"/>
        <w:rPr>
          <w:rFonts w:ascii="Arial" w:eastAsia="Times New Roman" w:hAnsi="Arial" w:cs="Arial"/>
          <w:color w:val="000000" w:themeColor="text1"/>
          <w:sz w:val="24"/>
          <w:szCs w:val="24"/>
        </w:rPr>
      </w:pPr>
    </w:p>
    <w:p>
      <w:pPr>
        <w:shd w:val="clear" w:color="auto" w:fill="B2A1C7" w:themeFill="accent4" w:themeFillTint="99"/>
        <w:spacing w:after="0" w:line="360" w:lineRule="auto"/>
        <w:jc w:val="both"/>
        <w:outlineLvl w:val="0"/>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C.- DESCRIPCIÓN DE LA POBLACIÓN ATENDIDA:</w:t>
      </w:r>
    </w:p>
    <w:p>
      <w:pPr>
        <w:spacing w:after="0" w:line="360" w:lineRule="auto"/>
        <w:jc w:val="both"/>
        <w:rPr>
          <w:rFonts w:ascii="Arial" w:eastAsia="Times New Roman" w:hAnsi="Arial" w:cs="Arial"/>
          <w:color w:val="000000" w:themeColor="text1"/>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Antes de comenzar el análisis de los datos, es necesario aclarar los criterios utilizados para la clasificación de las mujeres atendidas. Cuando se hace referencia a mujeres </w:t>
      </w:r>
      <w:r>
        <w:rPr>
          <w:rFonts w:ascii="Arial" w:hAnsi="Arial" w:cs="Arial"/>
          <w:i/>
          <w:sz w:val="24"/>
          <w:szCs w:val="24"/>
        </w:rPr>
        <w:t>ubicadas</w:t>
      </w:r>
      <w:r>
        <w:rPr>
          <w:rFonts w:ascii="Arial" w:hAnsi="Arial" w:cs="Arial"/>
          <w:sz w:val="24"/>
          <w:szCs w:val="24"/>
        </w:rPr>
        <w:t>, se trata de aquellas cuya presencia en una zona ha sido confirmada a través de la observación directa, la información facilitada por compañeras u otros indicios, pero con las que no se ha establecido un contacto ni una conversación directa. En algunos de estos casos, se les ha podido facilitar material preventivo junto con la tarjeta de contacto del programa, sin que ello implique un intercambio personal.</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Por el contrario, se consideran mujeres </w:t>
      </w:r>
      <w:r>
        <w:rPr>
          <w:rFonts w:ascii="Arial" w:hAnsi="Arial" w:cs="Arial"/>
          <w:i/>
          <w:sz w:val="24"/>
          <w:szCs w:val="24"/>
        </w:rPr>
        <w:t>contactadas</w:t>
      </w:r>
      <w:r>
        <w:rPr>
          <w:rFonts w:ascii="Arial" w:hAnsi="Arial" w:cs="Arial"/>
          <w:sz w:val="24"/>
          <w:szCs w:val="24"/>
        </w:rPr>
        <w:t xml:space="preserve"> aquellas con las que se ha mantenido una conversación directa. En estos casos, cada mujer se contabiliza una única vez como contactada, independientemente de que se realicen posteriores visitas o acompañamientos. Paralelamente, se registra el número de seguimientos, entendidos como visitas posteriores realizadas a mujeres previamente contactadas a lo largo del año.</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Atendiendo a esta clasificación, el análisis y la intervención se centran prioritariamente en las mujeres contactadas, al ser el grupo sobre el que se dispone de una información más precisa, contrastada y ajustada a la realidad, en comparación con las mujeres únicamente ubicadas, cuyos datos son necesariamente más limitados y aproximados.</w:t>
      </w: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relación con el acercamiento a los espacios de prostitución, durante el año 2025 se contactó con un total de </w:t>
      </w:r>
      <w:r>
        <w:rPr>
          <w:rFonts w:ascii="Arial" w:hAnsi="Arial" w:cs="Arial"/>
          <w:b/>
          <w:sz w:val="24"/>
          <w:szCs w:val="24"/>
        </w:rPr>
        <w:t>258 mujeres</w:t>
      </w:r>
      <w:r>
        <w:rPr>
          <w:rFonts w:ascii="Arial" w:hAnsi="Arial" w:cs="Arial"/>
          <w:sz w:val="24"/>
          <w:szCs w:val="24"/>
        </w:rPr>
        <w:t xml:space="preserve">, mientras que el número de mujeres ubicadas fue de </w:t>
      </w:r>
      <w:r>
        <w:rPr>
          <w:rFonts w:ascii="Arial" w:hAnsi="Arial" w:cs="Arial"/>
          <w:b/>
          <w:sz w:val="24"/>
          <w:szCs w:val="24"/>
        </w:rPr>
        <w:t>104</w:t>
      </w:r>
      <w:r>
        <w:rPr>
          <w:rFonts w:ascii="Arial" w:hAnsi="Arial" w:cs="Arial"/>
          <w:sz w:val="24"/>
          <w:szCs w:val="24"/>
        </w:rPr>
        <w:t>. Estos datos reflejan un incremento significativo en el número de mujeres contactadas en comparación con años anteriores, ya que en 2024 se registraron 195 mujeres contactadas y 166 ubicadas, y en 2023, 204 mujeres contactadas y 145 ubicadas.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Este aumento se explica por la intensificación del trabajo de calle desarrollada a lo largo de 2025, periodo en el que se incrementó de manera notable el número de salidas a medios abiertos y cerrados, pasando de 14 salidas en 2024 a 39 salidas en 2025. De estas intervenciones, 30 se realizaron en la isla de Gran Canaria y 8 en Fuerteventura y 1 a La Palma, lo que ha permitido ampliar el alcance territorial del Programa y reforzar el contacto directo y continuado con las mujeres.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De las salidas de trabajo de campo realizadas en la isla de Gran Canaria, la mayor parte se han concentrado en el municipio de Las Palmas de Gran Canaria, donde se han llevado a cabo 17 salidas, principalmente en los barrios de Guanarteme, Siete Palmas, La Minilla, Schamann, Alcaravaneras y Puerto–La Isleta. Asimismo, se han realizado 5 salidas en el municipio de Telde, 3 salidas en la zona norte de la isla, 2 </w:t>
      </w:r>
      <w:r>
        <w:rPr>
          <w:rFonts w:ascii="Arial" w:hAnsi="Arial" w:cs="Arial"/>
          <w:sz w:val="24"/>
          <w:szCs w:val="24"/>
        </w:rPr>
        <w:lastRenderedPageBreak/>
        <w:t>salidas en Vecindario, 1 salida en la zona sur (Playa del Inglés y Maspalomas) y 1 salida en Mogán (Arguineguín), lo que refleja una intervención territorial amplia y diversificada, adaptada a la distribución de los espacios detectados de ejercicio de la prostitución.</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lang w:eastAsia="es-ES"/>
        </w:rPr>
        <w:drawing>
          <wp:inline distT="0" distB="0" distL="0" distR="0">
            <wp:extent cx="5561728" cy="3514725"/>
            <wp:effectExtent l="0" t="0" r="127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82991" cy="3528162"/>
                    </a:xfrm>
                    <a:prstGeom prst="rect">
                      <a:avLst/>
                    </a:prstGeom>
                    <a:noFill/>
                  </pic:spPr>
                </pic:pic>
              </a:graphicData>
            </a:graphic>
          </wp:inline>
        </w:drawing>
      </w:r>
    </w:p>
    <w:p>
      <w:pPr>
        <w:autoSpaceDE w:val="0"/>
        <w:autoSpaceDN w:val="0"/>
        <w:adjustRightInd w:val="0"/>
        <w:spacing w:after="0" w:line="240" w:lineRule="auto"/>
        <w:jc w:val="both"/>
        <w:rPr>
          <w:rFonts w:ascii="Arial" w:hAnsi="Arial" w:cs="Arial"/>
          <w:sz w:val="24"/>
          <w:szCs w:val="24"/>
        </w:rPr>
      </w:pPr>
    </w:p>
    <w:p>
      <w:pPr>
        <w:autoSpaceDE w:val="0"/>
        <w:autoSpaceDN w:val="0"/>
        <w:adjustRightInd w:val="0"/>
        <w:spacing w:after="0" w:line="24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De las 8 salidas realizadas en la isla de Fuerteventura, cabe destacar que estas se han desarrollado principalmente en los municipios de Puerto del Rosario, La Oliva y Tuineje.</w:t>
      </w: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Por último, la salida realizada en la isla de La Palma tuvo lugar en las zonas de Santa Cruz de La Palma y Los Llanos de Aridane.</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En cuanto a los distintos espacios en los que se desarrollan las intervenciones, se clasifican en las siguientes categorías: pisos, clubes y calle. En comparación con el año 2024, se han identificado nuevos espacios en medios cerrados vinculados a contextos de prostitución, destacando especialmente el incremento del uso de viviendas vacacionales (tipo Airbnb) que operan bajo la apariencia de centros de estética o masaje en su interior.</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 xml:space="preserve">En relación con las zonas de intervención identificadas en la isla de Gran Canaria, y en coherencia con lo expuesto anteriormente, durante el año se han localizado un total de </w:t>
      </w:r>
      <w:r>
        <w:rPr>
          <w:rFonts w:ascii="Arial" w:hAnsi="Arial" w:cs="Arial"/>
          <w:b/>
          <w:sz w:val="24"/>
          <w:szCs w:val="24"/>
        </w:rPr>
        <w:t>75 direcciones</w:t>
      </w:r>
      <w:r>
        <w:rPr>
          <w:rFonts w:ascii="Arial" w:hAnsi="Arial" w:cs="Arial"/>
          <w:sz w:val="24"/>
          <w:szCs w:val="24"/>
        </w:rPr>
        <w:t xml:space="preserve"> en el municipio de Las Palmas de Gran Canaria, lo que confirma que este territorio ha constituido el principal núcleo de intervención.</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Del total de direcciones identificadas, 7 corresponden a pubs, 2 a una zona de ejercicio en calle y las 66 restantes a pisos, evidenciando una clara predominancia de la prostitución en espacios privados, especialmente en modalidad de pisos.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73600" behindDoc="0" locked="0" layoutInCell="1" allowOverlap="1">
            <wp:simplePos x="0" y="0"/>
            <wp:positionH relativeFrom="margin">
              <wp:posOffset>45720</wp:posOffset>
            </wp:positionH>
            <wp:positionV relativeFrom="paragraph">
              <wp:posOffset>89535</wp:posOffset>
            </wp:positionV>
            <wp:extent cx="5412740" cy="2838450"/>
            <wp:effectExtent l="0" t="0" r="0" b="0"/>
            <wp:wrapSquare wrapText="bothSides"/>
            <wp:docPr id="25" name="Imagen 25" descr="D:\Mis Documentos\Usuario2827\Downloads\grafica_tipos_espacios_lpg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Mis Documentos\Usuario2827\Downloads\grafica_tipos_espacios_lpgc.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12740" cy="2838450"/>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relación con las zonas de intervención identificadas en la isla de Fuerteventura, durante el año se han localizado un total de </w:t>
      </w:r>
      <w:r>
        <w:rPr>
          <w:rFonts w:ascii="Arial" w:hAnsi="Arial" w:cs="Arial"/>
          <w:b/>
          <w:sz w:val="24"/>
          <w:szCs w:val="24"/>
        </w:rPr>
        <w:t>26 direcciones</w:t>
      </w:r>
      <w:r>
        <w:rPr>
          <w:rFonts w:ascii="Arial" w:hAnsi="Arial" w:cs="Arial"/>
          <w:sz w:val="24"/>
          <w:szCs w:val="24"/>
        </w:rPr>
        <w:t>. Del total de espacios identificados, 3 corresponden a pubs y 23 a pisos, lo que evidencia una clara predominancia de la prostitución en espacios privados, especialmente en modalidad de pisos, sin haberse detectado ejercicio en espacios de calle.</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center"/>
        <w:rPr>
          <w:rFonts w:ascii="Arial" w:hAnsi="Arial" w:cs="Arial"/>
          <w:sz w:val="24"/>
          <w:szCs w:val="24"/>
        </w:rPr>
      </w:pPr>
      <w:r>
        <w:rPr>
          <w:rFonts w:ascii="Arial" w:hAnsi="Arial" w:cs="Arial"/>
          <w:noProof/>
          <w:sz w:val="24"/>
          <w:szCs w:val="24"/>
          <w:lang w:eastAsia="es-ES"/>
        </w:rPr>
        <w:lastRenderedPageBreak/>
        <w:drawing>
          <wp:inline distT="0" distB="0" distL="0" distR="0">
            <wp:extent cx="5580726" cy="2628900"/>
            <wp:effectExtent l="0" t="0" r="127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93357" cy="2634850"/>
                    </a:xfrm>
                    <a:prstGeom prst="rect">
                      <a:avLst/>
                    </a:prstGeom>
                    <a:noFill/>
                  </pic:spPr>
                </pic:pic>
              </a:graphicData>
            </a:graphic>
          </wp:inline>
        </w:drawing>
      </w: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Por último, en relación con la tipología de los espacios de prostitución identificados en la isla de La Palma, se han detectado un total de </w:t>
      </w:r>
      <w:r>
        <w:rPr>
          <w:rFonts w:ascii="Arial" w:hAnsi="Arial" w:cs="Arial"/>
          <w:b/>
          <w:sz w:val="24"/>
          <w:szCs w:val="24"/>
        </w:rPr>
        <w:t>5 direcciones</w:t>
      </w:r>
      <w:r>
        <w:rPr>
          <w:rFonts w:ascii="Arial" w:hAnsi="Arial" w:cs="Arial"/>
          <w:sz w:val="24"/>
          <w:szCs w:val="24"/>
        </w:rPr>
        <w:t xml:space="preserve"> diferenciadas, de las cuales 3 corresponden a espacios de ejercicio en calle, localizados principalmente en zonas de plataneras, 1 a un piso y 1 a un pub.</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En relación con las mujeres contactadas en los distintos espacios de prostitución, es importante señalar que, durante el desarrollo del trabajo de campo, no siempre ha sido posible establecer un vínculo suficiente que permitiera recabar información sobre la nacionalidad de todas las mujeres contactadas.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No obstante, a partir de aquellos encuentros en los que sí se ha podido generar dicho vínculo y recoger la información de manera directa, se han obtenido los siguientes datos: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En la isla de Gran Canaria, del total de mujeres contactadas en espacios de tipología pub (70 mujeres), 54 eran de nacionalidad colombiana, 14 venezolana y 2 de origen colombo-venezolano.</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cuanto a las mujeres detectadas en pisos, se han identificado 63 mujeres de origen colombiano, 17 venezolanas, 8 españolas, 5 brasileñas, 4 paraguayas, 3 procedentes </w:t>
      </w:r>
      <w:r>
        <w:rPr>
          <w:rFonts w:ascii="Arial" w:hAnsi="Arial" w:cs="Arial"/>
          <w:sz w:val="24"/>
          <w:szCs w:val="24"/>
        </w:rPr>
        <w:lastRenderedPageBreak/>
        <w:t>de países del este, 3 de origen asiático, 1 argentina y 1 ecuatoriana, lo que refleja una elevada diversidad de procedencias en este tipo de espacios.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Por último, en los espacios de ejercicio en calle, las 4 mujeres contactadas refirieron ser de origen colombiano.</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es-ES"/>
        </w:rPr>
        <w:drawing>
          <wp:inline distT="0" distB="0" distL="0" distR="0">
            <wp:extent cx="6010171" cy="3228975"/>
            <wp:effectExtent l="0" t="0" r="0" b="0"/>
            <wp:docPr id="28" name="Imagen 28" descr="D:\Mis Documentos\Usuario2827\Downloads\grafica_nacionalidades_espacios_prostituc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Mis Documentos\Usuario2827\Downloads\grafica_nacionalidades_espacios_prostitucion.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22539" cy="3235620"/>
                    </a:xfrm>
                    <a:prstGeom prst="rect">
                      <a:avLst/>
                    </a:prstGeom>
                    <a:noFill/>
                    <a:ln>
                      <a:noFill/>
                    </a:ln>
                  </pic:spPr>
                </pic:pic>
              </a:graphicData>
            </a:graphic>
          </wp:inline>
        </w:drawing>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Estos datos ponen de manifiesto la predominancia de mujeres de origen latinoamericano, especialmente colombiano, en todos los espacios de prostitución detectados, así como una mayor diversidad de nacionalidades en los espacios privados, particularmente en pisos.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En la isla de Fuerteventura, el total de mujeres contactadas en los distintos espacios de prostitución asciende a 85. De ellas, 61 han sido contactadas en pisos, correspondiendo 53 a mujeres de nacionalidad colombiana, 3 venezolana, 2 brasileña, 2 española y 1 paraguaya.</w:t>
      </w: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Por otro lado, en los espacios de tipología pub se ha contactado con un total de 24 mujeres, de las cuales 21 son de nacionalidad colombiana, 1 canaria, 1 brasileña y 1 procedente de países del este.</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Tal y como se ha indicado anteriormente, en la isla de Fuerteventura no se han detectado hasta la fecha espacios de ejercicio en calle, lo que refuerza la predominancia de la prostitución en espacios cerrados y privados.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Por último, en relación con las mujeres contactadas en la isla de La Palma, se ha podido identificar que, en espacios de tipología club, se ha contactado con 1 mujer de nacionalidad colombiana, mientras que en espacios de ejercicio en calle se ha identificado a 15 mujeres de nacionalidad colombiana y 1 de nacionalidad española.</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En cuanto al perfil detectado, sigue predominando la mujer de nacionalidad colombiana, mayoritariamente en situación administrativa irregular. Cabe destacar que, en las aproximaciones realizadas en Fuerteventura, se ha observado una mayor reticencia inicial por parte de las mujeres a aceptar material profiláctico, mostrando desconfianza hacia la intervención. Este hecho pone de manifiesto la escasa presencia de entidades que desarrollan trabajo de calle en los espacios de prostitución de la isla, lo que refuerza la importancia de mantener y consolidar este tipo de intervención.</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El análisis comparativo del trabajo de calle desarrollado durante 2025 en las islas, permite identificar tanto elementos comunes como diferencias significativas en los contextos de intervención.</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En Gran Canaria el trabajo de calle se encuentra más consolidado, con una mayor concentración de salidas y direcciones localizadas, especialmente en Las Palmas de Gran Canaria, y una presencia progresiva en otros municipios, lo que facilita el contacto directo, la generación de vínculo y la obtención de información más precisa.</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En Fuerteventura, aunque el número de salidas ha sido menor y se concentran principalmente en Puerto del Rosario, se detecta una mayor reticencia inicial por parte de las mujeres, especialmente en la aceptación de material profiláctico, vinculada a la escasa presencia de trabajo de calle en la isla, lo que refuerza la necesidad de mantener la intervención de forma continuada.</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Respecto a la procedencia de las mujeres contactadas, los datos reflejan una mayoría de mujeres de origen latinoamericano, especialmente de nacionalidad colombiana, en todos los tipos de espacios y en las distintas islas. No obstante, en los pisos se observa una mayor diversidad de nacionalidades, lo que evidencia dinámicas más complejas en este tipo de entornos.</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Finalmente, el trabajo de calle pone de manifiesto la dificultad para establecer vínculo en determinados contextos, lo que limita en ocasiones la recogida de información completa. Aun así, los datos obtenidos permiten realizar un análisis territorial y social sólido, que orienta la planificación de las intervenciones, refuerza la detección de situaciones de vulnerabilidad y contribuye a una atención más ajustada a las realidades cambiantes del territorio.</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De cara al año 2026, el programa se plantea como línea prioritaria mantener y ampliar el trabajo de calle, incrementando la presencia territorial y el número de contactos en los distintos espacios de prostitución, tanto en medios abiertos como cerrados. El objetivo es llegar a un mayor número de mujeres, fortalecer los procesos de vinculación y garantizar el acceso a derechos básicos (sanitarios, sociales, jurídicos y de protección) para aquellas mujeres que llegan a España en busca de un futuro mejor, contribuyendo a la reducción de situaciones de vulnerabilidad, exclusión y violencia.</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shd w:val="clear" w:color="auto" w:fill="B2A1C7" w:themeFill="accent4" w:themeFillTint="99"/>
        <w:spacing w:after="0" w:line="360" w:lineRule="auto"/>
        <w:jc w:val="both"/>
        <w:outlineLvl w:val="0"/>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D.- METODOLOGÍA DE INTERVENCIÓN</w:t>
      </w:r>
    </w:p>
    <w:p>
      <w:pPr>
        <w:spacing w:after="0" w:line="360" w:lineRule="auto"/>
        <w:jc w:val="both"/>
        <w:rPr>
          <w:rFonts w:ascii="Arial" w:eastAsia="Times New Roman" w:hAnsi="Arial" w:cs="Arial"/>
          <w:b/>
          <w:color w:val="000000" w:themeColor="text1"/>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La metodología que se lleva a cabo en las salidas se divide en cuatro fases: gestiones previas a la salida, la intervención directa, la recogida de información y contactos posteriores. Dentro de las gestiones previas, se selecciona la zona donde se realizará el trabajo de calle. En base a eso, se realiza una búsqueda en las diferentes páginas de anuncios de prostitución, se elabora una tabla donde se registra el nombre, edad y contacto telefónico. Tras esto, se realiza una llamada telefónica donde se explica brevemente qué es el Programa Oblatas Daniela y se ofrecen los materiales preventivos, y se propone un encuentro presencial para realizar la entrega y hablar un rato. En caso de que la mujer esté interesada en que se realice la visita, se establece una hora, se solicita la dirección en la que se encuentra, y se pregunta cuántas mujeres habrá en el local. Si a la mujer no le genera confianza que se visite el local, se propone un espacio público para hacer dicha intervención. Una vez se llega a lugar de la cita, se vuelve a contactar telefónicamente y en caso de que las mujeres sigan teniendo la disponibilidad se accede al lugar acordado. </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la segunda fase, la intervención directa, se comunica más en profundidad qué es el Programa Oblatas Daniela, los servicios que se ofrecen, la ubicación de las oficinas y se explica lo que hay dentro del neceser nuevamente. Se comenta la condición de gratuidad, voluntariedad y confidencialidad, presentando un espacio seguro y accesible por si en algún momento ellas o sus conocidas lo precisan. Tras esto, se entabla una conversación dirigida a saber cómo están, cómo se cuidan, su situación económica o/o administrativa y se deja que la conversación continúe en la medida en que la mujer se muestre interesada. En los casos en lo que no se puede resolver las dudas que se planteen, se acuerda volver a contactar con ellas para comunicarle la información obtenida de las gestiones que se realicen. Es importante durante este proceso, el cuidado de la persona, la identificación de posibles agentes de control, no interrumpir su actividad ni interferir con los clientes. </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En la tercera fase, se establece un registro de todos los datos que la mujer haya ofrecido e impresiones observadas: nombre, edad, país de origen, situación administrativa, demandas realizadas y si se detecta alguna situación que llame especialmente la atención en base a los indicadores de violencia o explotación.</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El contacto posterior, última fase de la intervención, son las gestiones o informaciones que se hacen los días siguientes a la visita, a demanda de la mujer. Entendiendo que muchas mujeres que conocemos en los contextos de prostitución no llegarán a acudir a las oficinas a recibir atención social, por imposibilidad de salir u otros motivos personales, se accede a resolver cuestiones sencillas que demandan, telefónicamente o a través de </w:t>
      </w:r>
      <w:r>
        <w:rPr>
          <w:rFonts w:ascii="Arial" w:hAnsi="Arial" w:cs="Arial"/>
          <w:i/>
          <w:sz w:val="24"/>
          <w:szCs w:val="24"/>
        </w:rPr>
        <w:t>WhatsApp</w:t>
      </w:r>
      <w:r>
        <w:rPr>
          <w:rFonts w:ascii="Arial" w:hAnsi="Arial" w:cs="Arial"/>
          <w:sz w:val="24"/>
          <w:szCs w:val="24"/>
        </w:rPr>
        <w:t>. Normalmente estas demandas son principalmente en relación a empadronamiento, tarjeta sanitaria, cursos formativos, información sobre extranjería, lugares en los que conseguir material preventivo en sitios donde realizarán plaza próximamente, etc. Después de realizar las averiguaciones y/o trámites respectivos, se les proporciona la información necesaria, o en su caso, se realiza la derivación a la entidad que pueda ayudarles con su demanda. En ocasiones, no se resuelven cuestiones concretas, pero se mantiene contacto con ellas, se muestra interés por temas que hayan compartido, o se les pregunta si consiguieron resolver su necesidad. Se consideran estas gestiones posteriores como pequeñas intervenciones sociales, si bien no se contabilizan como atenciones sociales de Daniela Participa, por no acudir la mujer a la oficina, a pesar de ser un gran número (aproximadamente 3-4 gestiones tras cada salida) y suponer una inversión de tiempo. Se cree que estos contactos posteriores, a pesar de ser tareas invisibilizadas, ayudan a establecer vínculo con la mujer, convertir en referentes para la resolución de cuestiones que les van surgiendo, e ir ganando su confianza; para cuando se presente el momento, y la mujer supere esa fase pre-contemplativa o quiera iniciar un proceso, exista ya una relación de ayuda preestablecida.</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rPr>
          <w:rFonts w:ascii="Arial" w:hAnsi="Arial" w:cs="Arial"/>
          <w:bCs/>
          <w:sz w:val="24"/>
          <w:szCs w:val="24"/>
        </w:rPr>
      </w:pPr>
      <w:r>
        <w:rPr>
          <w:rFonts w:ascii="Arial" w:hAnsi="Arial" w:cs="Arial"/>
          <w:bCs/>
          <w:sz w:val="24"/>
          <w:szCs w:val="24"/>
        </w:rPr>
        <w:lastRenderedPageBreak/>
        <w:t>Material empleado en la intervención:</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Quince preservativos comunes.</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Nueve preservativos reforzados.</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Tres preservativos XL.</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Diez sobres monodosis de lubricante a base de agua.</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Tarjeta de contacto del programa donde aparece dirección, contacto, servicios ofrecidos, etc.</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Tríptico autoeditado “Guía de autocuidados y salud sexual”.</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Tríptico “Rotura de condón” elaborado por la Secretaría del Plan Nacional sobre el Sida.</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Esponjitas menstruales (opcional, sólo si la mujer lo utiliza habitualmente).</w:t>
      </w:r>
    </w:p>
    <w:p>
      <w:pPr>
        <w:pStyle w:val="Prrafodelista"/>
        <w:numPr>
          <w:ilvl w:val="0"/>
          <w:numId w:val="32"/>
        </w:numPr>
        <w:autoSpaceDE w:val="0"/>
        <w:autoSpaceDN w:val="0"/>
        <w:adjustRightInd w:val="0"/>
        <w:spacing w:after="0" w:line="360" w:lineRule="auto"/>
        <w:ind w:left="567"/>
        <w:rPr>
          <w:rFonts w:ascii="Arial" w:hAnsi="Arial" w:cs="Arial"/>
          <w:sz w:val="24"/>
          <w:szCs w:val="24"/>
        </w:rPr>
      </w:pPr>
      <w:r>
        <w:rPr>
          <w:rFonts w:ascii="Arial" w:hAnsi="Arial" w:cs="Arial"/>
          <w:sz w:val="24"/>
          <w:szCs w:val="24"/>
        </w:rPr>
        <w:t>Preservativos femeninos (opcional, sólo si la mujer lo utiliza habitualmente).</w:t>
      </w:r>
    </w:p>
    <w:p>
      <w:pPr>
        <w:spacing w:after="0" w:line="360" w:lineRule="auto"/>
        <w:jc w:val="both"/>
        <w:rPr>
          <w:rFonts w:ascii="Arial" w:eastAsia="Times New Roman" w:hAnsi="Arial" w:cs="Arial"/>
          <w:color w:val="000000" w:themeColor="text1"/>
          <w:sz w:val="24"/>
          <w:szCs w:val="24"/>
        </w:rPr>
      </w:pPr>
    </w:p>
    <w:p>
      <w:pPr>
        <w:shd w:val="clear" w:color="auto" w:fill="B2A1C7" w:themeFill="accent4" w:themeFillTint="99"/>
        <w:spacing w:after="0" w:line="360" w:lineRule="auto"/>
        <w:jc w:val="both"/>
        <w:outlineLvl w:val="0"/>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E.-ACTIVIDADES DERIVADAS DE LA INTERVENCIÓN</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A partir de la intervención en calle surgen distintas tareas y funciones, tal como: información, coordinación, acompañamiento, seguimiento, derivación, gestión de recursos, formación del voluntariado que compaña, sensibilización de profesionales de otros recursos, etc. Además de la intervención social realizada en Daniela Participa, cabe destacar la importancia del trabajo coordinado y en red de todos los recursos sociales y comunitarios, siendo el acceso a las mujeres a éstos de vital importancia para fortalecer la intervención no sólo a nivel individual, sino garantizando la dimensión comunitaria y acercando a la mujer al mayor número de derechos y apoyos posibles en pos de su acceso a todos los derechos que les correspondan. </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En relación a las funciones de coordinación con otras instituciones, cabe destacar que continúa el trabajo en red con las otras organizaciones que atienden a mujeres en contextos de prostitución y víctimas de trata de seres humanos, como son Médicos del Mundo, Fundación Cruz Blanca, Gamá y Centro Lugo, con los que se mantienen reuniones periódicas de coordinación para organizar el trabajo de calle, evitar duplicar la intervención, intercambiar impresiones y buscar soluciones a problemas </w:t>
      </w:r>
      <w:r>
        <w:rPr>
          <w:rFonts w:ascii="Arial" w:hAnsi="Arial" w:cs="Arial"/>
          <w:sz w:val="24"/>
          <w:szCs w:val="24"/>
        </w:rPr>
        <w:lastRenderedPageBreak/>
        <w:t>compartidos. Se acuerda también en esta red de trabajo, incluir a la entidad In Género, APLEC, Amar Dragoste, que también se establece en la isla en 2025 y comienza a realizar intervenciones en trabajo de calle. Se continúa trabajando en coordinación con el Centro de Salud de Maspalomas, de El Puerto y Canalejas, donde a través de las trabajadoras sociales, se facilita que las mujeres puedan activar una tarjeta sanitaria provisional y tener una supervisión ginecológica y de otros problemas de salud, facilitando así el acceso al Sistema de Salud.</w:t>
      </w:r>
    </w:p>
    <w:p>
      <w:pPr>
        <w:autoSpaceDE w:val="0"/>
        <w:autoSpaceDN w:val="0"/>
        <w:adjustRightInd w:val="0"/>
        <w:spacing w:after="0" w:line="360" w:lineRule="auto"/>
        <w:jc w:val="both"/>
        <w:rPr>
          <w:rFonts w:ascii="Arial" w:hAnsi="Arial" w:cs="Arial"/>
          <w:sz w:val="24"/>
          <w:szCs w:val="24"/>
        </w:rPr>
      </w:pPr>
    </w:p>
    <w:p>
      <w:pPr>
        <w:autoSpaceDE w:val="0"/>
        <w:autoSpaceDN w:val="0"/>
        <w:adjustRightInd w:val="0"/>
        <w:spacing w:after="0" w:line="360" w:lineRule="auto"/>
        <w:jc w:val="both"/>
        <w:rPr>
          <w:rFonts w:ascii="Arial" w:hAnsi="Arial" w:cs="Arial"/>
          <w:sz w:val="24"/>
          <w:szCs w:val="24"/>
        </w:rPr>
      </w:pPr>
      <w:r>
        <w:rPr>
          <w:rFonts w:ascii="Arial" w:hAnsi="Arial" w:cs="Arial"/>
          <w:sz w:val="24"/>
          <w:szCs w:val="24"/>
        </w:rPr>
        <w:t>Los recursos e instituciones con los que se mantiene con mayor frecuencia coordinación son Médicos del Mundo, Cruz Roja, Oportunidad de Vida, Cáritas, CEAR, Gamá, Servicio Canario de Empleo, Servicios Sociales municipales, Servicio Canario de Salud, etc. Con todo ello se ha tratado de hacer efectivo el acceso a los recursos de las mujeres en contextos de prostitución, atendiendo a las necesidades detectadas y a las demandas de las usuarias.</w:t>
      </w:r>
    </w:p>
    <w:p>
      <w:pPr>
        <w:spacing w:after="0" w:line="360" w:lineRule="auto"/>
        <w:jc w:val="both"/>
        <w:rPr>
          <w:rFonts w:ascii="Arial" w:eastAsia="Times New Roman" w:hAnsi="Arial" w:cs="Arial"/>
          <w:color w:val="000000" w:themeColor="text1"/>
          <w:sz w:val="24"/>
          <w:szCs w:val="24"/>
        </w:rPr>
      </w:pPr>
    </w:p>
    <w:p>
      <w:pPr>
        <w:shd w:val="clear" w:color="auto" w:fill="B2A1C7" w:themeFill="accent4" w:themeFillTint="99"/>
        <w:spacing w:after="0" w:line="360" w:lineRule="auto"/>
        <w:jc w:val="both"/>
        <w:outlineLvl w:val="0"/>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F.- OBSERVACIONES Y CONCLUSIONES</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El análisis conjunto de las diferentes gráficas permite realizar una lectura global y coherente del alcance, la intensidad y el impacto del trabajo de calle desarrollado durante el año 2025 por el Programa Oblatas Daniela.</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El perfil mayoritario de la mujer detectada a través del trabajo de calle durante 2025 corresponde al de una mujer, especialmente de nacionalidad colombiana, seguidas por mujeres venezolanas y, en menor medida, de otras nacionalidades latinoamericanas, europeas y asiáticas. Este perfil pone de manifiesto la intersección entre procesos migratorios, vulnerabilidad social y contextos de prostitución, que condicionan las trayectorias vitales de las mujeres atendidas.</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En cuanto a las demandas que realizan las mujeres en los diferentes contextos, cabe destacar las relacionadas con formaciones, búsqueda de empleo o información sobre procedimientos de extranjería. </w:t>
      </w: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 xml:space="preserve">Muchas son madres solteras, en ocasiones sus hijos quedan en país de origen al cuidado de algún familiar, y tienen deseos de lograr una estabilidad de vivienda y empleo para poder traer a sus hijos con ella. Las dificultades para acceder a los permisos de trabajo que establecen las leyes de extranjería en España, unido a la crisis habitacional actual y los requisitos solicitados para acceder a un alquiler, muchas veces atrasan este proceso más de lo esperado, generando desesperanza y afectando a la salud mental de estas mujeres. </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 mantiene la tendencia observada en relación con los espacios donde se ejerce la prostitución, sin registrarse cambios significativos. Los clubes tienden a quedar obsoletos, cada vez se encuentran menos mujeres en ellos, y las encargadas comentan que cada vez es más difícil encontrar mujeres que quieran ejercer en ellos. Son espacios que no tienen ninguna privacidad, puesto que cualquiera puede entrar e identificar a las personas allí presentes, por lo que ni mujeres ni muchos clientes los quieren frecuentar. Además, en ellos las mujeres deben pasar muchas horas preparadas, permaneciendo despiertas durante toda la noche sin poder descansar, y esperando a que ese cliente que tal vez no entre, o entre sólo a curiosear o tomarse una copa; en ese caso, pierden la noche y no generan ningún ingreso. En contraposición, los pisos se perpetúan como principal escenario para la prostitución, y también suponen una menor inversión económica para los proxenetas, pues solo tienen que alquilar un piso y proveerlos de sábanas, toallas y algunos muebles para ponerlos a funcionar. Además, es necesaria una orden judicial para que las FCSE puedan acceder a comprobar si hubiera VTSH. Tiende a la desaparición también la prostitución callejera, cada vez más residual, y ejercida casi en exclusiva por mujeres trans y personas con problemas de adicciones.</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En conjunto, la lectura unificada de las gráficas confirma que el incremento del número de salidas realizado en 2025 ha permitido ampliar el alcance territorial, incrementar el número de mujeres contactadas y mejorar la calidad de la información recogida, especialmente en aquellos casos en los que se ha logrado establecer contacto directo. El trabajo de calle se consolida así, como una herramienta fundamental para la </w:t>
      </w:r>
      <w:r>
        <w:rPr>
          <w:rFonts w:ascii="Arial" w:eastAsia="Times New Roman" w:hAnsi="Arial" w:cs="Arial"/>
          <w:color w:val="000000" w:themeColor="text1"/>
          <w:sz w:val="24"/>
          <w:szCs w:val="24"/>
        </w:rPr>
        <w:lastRenderedPageBreak/>
        <w:t>detección, el acercamiento, la vinculación y la derivación, constituyendo la base sobre la que se articulan el resto de intervenciones socioeducativas, formativas y de acompañamiento del programa.</w:t>
      </w:r>
    </w:p>
    <w:p>
      <w:pPr>
        <w:spacing w:after="0" w:line="360" w:lineRule="auto"/>
        <w:jc w:val="both"/>
        <w:rPr>
          <w:rFonts w:ascii="Arial" w:eastAsia="Times New Roman" w:hAnsi="Arial" w:cs="Arial"/>
          <w:color w:val="000000" w:themeColor="text1"/>
          <w:sz w:val="24"/>
          <w:szCs w:val="24"/>
        </w:rPr>
      </w:pPr>
    </w:p>
    <w:p>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Como conclusión, este año 2025 se han encontrado ciertas dificultades, que se presentan como un reto para el próximo año, obligando a adaptación continua para poder estar presentes en los espacios de prostitución, transformando y siendo creativas igual de rápido que el propio fenómeno. A pesar de ello, se valora positivamente seguir haciendo esfuerzos por estar en dichos espacios. Por todo ello, se sigue apostando por este modelo de intervención que permite acercar los derechos sociales allá donde no suelen llegar.</w:t>
      </w:r>
    </w:p>
    <w:p>
      <w:pPr>
        <w:suppressAutoHyphens/>
        <w:autoSpaceDN w:val="0"/>
        <w:textAlignment w:val="baseline"/>
      </w:pPr>
    </w:p>
    <w:p>
      <w:pPr>
        <w:shd w:val="clear" w:color="auto" w:fill="365F91" w:themeFill="accent1" w:themeFillShade="BF"/>
        <w:suppressAutoHyphens/>
        <w:autoSpaceDN w:val="0"/>
        <w:spacing w:after="0"/>
        <w:jc w:val="center"/>
        <w:textAlignment w:val="baseline"/>
        <w:outlineLvl w:val="0"/>
        <w:rPr>
          <w:rFonts w:ascii="Arial" w:hAnsi="Arial" w:cs="Arial"/>
          <w:sz w:val="24"/>
          <w:szCs w:val="24"/>
        </w:rPr>
      </w:pPr>
      <w:r>
        <w:rPr>
          <w:rFonts w:ascii="Arial" w:hAnsi="Arial" w:cs="Arial"/>
          <w:bCs/>
          <w:sz w:val="24"/>
          <w:szCs w:val="24"/>
        </w:rPr>
        <w:tab/>
      </w:r>
      <w:r>
        <w:rPr>
          <w:rFonts w:ascii="Arial" w:hAnsi="Arial" w:cs="Arial"/>
          <w:b/>
          <w:color w:val="FFFFFF"/>
          <w:sz w:val="24"/>
          <w:szCs w:val="24"/>
        </w:rPr>
        <w:t>AREA DE FORMACIÓN, SENSIBILIZACIÓN Y DIFUSIÓN</w:t>
      </w:r>
    </w:p>
    <w:p>
      <w:pPr>
        <w:suppressAutoHyphens/>
        <w:autoSpaceDN w:val="0"/>
        <w:jc w:val="both"/>
        <w:textAlignment w:val="baseline"/>
        <w:rPr>
          <w:rFonts w:ascii="Arial" w:eastAsia="Times New Roman" w:hAnsi="Arial" w:cs="Arial"/>
          <w:b/>
          <w:sz w:val="24"/>
          <w:szCs w:val="24"/>
        </w:rPr>
      </w:pPr>
    </w:p>
    <w:p>
      <w:pPr>
        <w:shd w:val="clear" w:color="auto" w:fill="B2A1C7" w:themeFill="accent4" w:themeFillTint="99"/>
        <w:suppressAutoHyphens/>
        <w:autoSpaceDN w:val="0"/>
        <w:spacing w:after="0" w:line="360" w:lineRule="auto"/>
        <w:jc w:val="both"/>
        <w:textAlignment w:val="baseline"/>
        <w:outlineLvl w:val="0"/>
        <w:rPr>
          <w:rFonts w:ascii="Arial" w:eastAsia="Times New Roman" w:hAnsi="Arial" w:cs="Arial"/>
          <w:b/>
          <w:sz w:val="24"/>
          <w:szCs w:val="24"/>
        </w:rPr>
      </w:pPr>
      <w:r>
        <w:rPr>
          <w:rFonts w:ascii="Arial" w:eastAsia="Times New Roman" w:hAnsi="Arial" w:cs="Arial"/>
          <w:b/>
          <w:sz w:val="24"/>
          <w:szCs w:val="24"/>
        </w:rPr>
        <w:t>A. OBJETIVO GENERAL</w:t>
      </w:r>
    </w:p>
    <w:p>
      <w:pPr>
        <w:suppressAutoHyphens/>
        <w:autoSpaceDN w:val="0"/>
        <w:spacing w:after="160" w:line="360" w:lineRule="auto"/>
        <w:jc w:val="both"/>
        <w:textAlignment w:val="baseline"/>
        <w:rPr>
          <w:rFonts w:ascii="Arial" w:eastAsia="Times New Roman" w:hAnsi="Arial" w:cs="Arial"/>
          <w:b/>
          <w:bCs/>
          <w:sz w:val="24"/>
          <w:szCs w:val="24"/>
        </w:rPr>
      </w:pPr>
      <w:r>
        <w:rPr>
          <w:rFonts w:ascii="Arial" w:eastAsia="Times New Roman" w:hAnsi="Arial" w:cs="Arial"/>
          <w:sz w:val="24"/>
          <w:szCs w:val="24"/>
        </w:rPr>
        <w:t>Desarrollar acciones destinadas a la sensibilización social y a la prevención de la violencia de género, con especial incidencia en los ámbitos comunitario y educativo de la isla, en el ámbito geográfico de ejecución del proyecto.</w:t>
      </w:r>
      <w:r>
        <w:rPr>
          <w:rFonts w:ascii="Arial" w:eastAsia="Times New Roman" w:hAnsi="Arial" w:cs="Arial"/>
          <w:b/>
          <w:bCs/>
          <w:sz w:val="24"/>
          <w:szCs w:val="24"/>
        </w:rPr>
        <w:t xml:space="preserve">   </w:t>
      </w:r>
    </w:p>
    <w:p>
      <w:pPr>
        <w:suppressAutoHyphens/>
        <w:autoSpaceDN w:val="0"/>
        <w:spacing w:after="160" w:line="360" w:lineRule="auto"/>
        <w:jc w:val="both"/>
        <w:textAlignment w:val="baseline"/>
        <w:rPr>
          <w:rFonts w:ascii="Arial" w:eastAsia="Times New Roman" w:hAnsi="Arial" w:cs="Arial"/>
          <w:b/>
          <w:bCs/>
          <w:sz w:val="24"/>
          <w:szCs w:val="24"/>
        </w:rPr>
      </w:pPr>
    </w:p>
    <w:p>
      <w:pPr>
        <w:shd w:val="clear" w:color="auto" w:fill="B2A1C7" w:themeFill="accent4" w:themeFillTint="99"/>
        <w:suppressAutoHyphens/>
        <w:autoSpaceDN w:val="0"/>
        <w:spacing w:after="0" w:line="360" w:lineRule="auto"/>
        <w:jc w:val="both"/>
        <w:textAlignment w:val="baseline"/>
        <w:rPr>
          <w:rFonts w:ascii="Arial" w:eastAsia="Times New Roman" w:hAnsi="Arial" w:cs="Arial"/>
          <w:b/>
          <w:sz w:val="24"/>
          <w:szCs w:val="24"/>
        </w:rPr>
      </w:pPr>
      <w:r>
        <w:rPr>
          <w:rFonts w:ascii="Arial" w:eastAsia="Times New Roman" w:hAnsi="Arial" w:cs="Arial"/>
          <w:b/>
          <w:sz w:val="24"/>
          <w:szCs w:val="24"/>
        </w:rPr>
        <w:t>B. OBJETIVO ESPECÍFICO</w:t>
      </w:r>
    </w:p>
    <w:p>
      <w:pPr>
        <w:suppressAutoHyphens/>
        <w:autoSpaceDN w:val="0"/>
        <w:spacing w:after="160" w:line="360" w:lineRule="auto"/>
        <w:jc w:val="both"/>
        <w:textAlignment w:val="baseline"/>
        <w:rPr>
          <w:rFonts w:ascii="Arial" w:eastAsia="Times New Roman" w:hAnsi="Arial" w:cs="Arial"/>
          <w:bCs/>
          <w:sz w:val="24"/>
          <w:szCs w:val="24"/>
        </w:rPr>
      </w:pPr>
      <w:r>
        <w:rPr>
          <w:rFonts w:ascii="Arial" w:eastAsia="Times New Roman" w:hAnsi="Arial" w:cs="Arial"/>
          <w:bCs/>
          <w:sz w:val="24"/>
          <w:szCs w:val="24"/>
        </w:rPr>
        <w:t xml:space="preserve">Aumentar el nivel de conocimiento, visibilización y sensibilidad social sobre la violencia de género en cualquiera de sus manifestaciones, así como sobre los recursos y medios existentes para luchar contra la misma.  </w:t>
      </w:r>
    </w:p>
    <w:p>
      <w:pPr>
        <w:suppressAutoHyphens/>
        <w:autoSpaceDN w:val="0"/>
        <w:spacing w:after="160" w:line="360" w:lineRule="auto"/>
        <w:jc w:val="both"/>
        <w:textAlignment w:val="baseline"/>
        <w:rPr>
          <w:rFonts w:ascii="Arial" w:eastAsia="Times New Roman" w:hAnsi="Arial" w:cs="Arial"/>
          <w:bCs/>
          <w:sz w:val="24"/>
          <w:szCs w:val="24"/>
        </w:rPr>
      </w:pPr>
    </w:p>
    <w:p>
      <w:pPr>
        <w:shd w:val="clear" w:color="auto" w:fill="B2A1C7" w:themeFill="accent4" w:themeFillTint="99"/>
        <w:tabs>
          <w:tab w:val="left" w:pos="3396"/>
        </w:tabs>
        <w:suppressAutoHyphens/>
        <w:autoSpaceDN w:val="0"/>
        <w:spacing w:after="0" w:line="360" w:lineRule="auto"/>
        <w:jc w:val="both"/>
        <w:textAlignment w:val="baseline"/>
        <w:rPr>
          <w:rFonts w:ascii="Arial" w:eastAsia="Times New Roman" w:hAnsi="Arial" w:cs="Arial"/>
          <w:b/>
          <w:sz w:val="24"/>
          <w:szCs w:val="24"/>
        </w:rPr>
      </w:pPr>
      <w:r>
        <w:rPr>
          <w:rFonts w:ascii="Arial" w:eastAsia="Times New Roman" w:hAnsi="Arial" w:cs="Arial"/>
          <w:b/>
          <w:sz w:val="24"/>
          <w:szCs w:val="24"/>
        </w:rPr>
        <w:t>C. OBJETIVOS OPERATIVOS</w:t>
      </w:r>
    </w:p>
    <w:p>
      <w:p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 </w:t>
      </w:r>
    </w:p>
    <w:p>
      <w:pPr>
        <w:numPr>
          <w:ilvl w:val="0"/>
          <w:numId w:val="109"/>
        </w:num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Visibilizar, informar y orientar hacia la lucha contra la violencia de género por prostitución y/o trata de seres humanos con fines de explotación, mediante la difusión, exposición y dinamización de espacios participativos en centros </w:t>
      </w:r>
      <w:r>
        <w:rPr>
          <w:rFonts w:ascii="Arial" w:eastAsia="Times New Roman" w:hAnsi="Arial" w:cs="Arial"/>
          <w:sz w:val="24"/>
          <w:szCs w:val="24"/>
        </w:rPr>
        <w:lastRenderedPageBreak/>
        <w:t xml:space="preserve">educativos, agentes y entidades insertas en la red comunitaria y la población en general.  </w:t>
      </w:r>
    </w:p>
    <w:p>
      <w:pPr>
        <w:numPr>
          <w:ilvl w:val="0"/>
          <w:numId w:val="109"/>
        </w:num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Adquirir y profundizar, como equipo especializado del Programa Oblatas Daniela, en conocimientos y herramientas para la intervención integral e interdisciplinar con mujeres en contextos de prostitución y trata de mujeres con fines de explotación.       </w:t>
      </w:r>
    </w:p>
    <w:p>
      <w:pPr>
        <w:numPr>
          <w:ilvl w:val="0"/>
          <w:numId w:val="109"/>
        </w:num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Gestionar y sistematizar el funcionamiento del proyecto, los procedimientos y experiencias que se adquieren a lo largo de las diversas intervenciones que se desarrollan. </w:t>
      </w:r>
    </w:p>
    <w:p>
      <w:pPr>
        <w:suppressAutoHyphens/>
        <w:autoSpaceDN w:val="0"/>
        <w:spacing w:after="0" w:line="360" w:lineRule="auto"/>
        <w:ind w:left="360"/>
        <w:jc w:val="both"/>
        <w:textAlignment w:val="baseline"/>
        <w:rPr>
          <w:rFonts w:ascii="Arial" w:eastAsia="Times New Roman" w:hAnsi="Arial" w:cs="Arial"/>
          <w:sz w:val="24"/>
          <w:szCs w:val="24"/>
        </w:rPr>
      </w:pPr>
    </w:p>
    <w:p>
      <w:pPr>
        <w:suppressAutoHyphens/>
        <w:autoSpaceDN w:val="0"/>
        <w:spacing w:after="0" w:line="360" w:lineRule="auto"/>
        <w:jc w:val="both"/>
        <w:textAlignment w:val="baseline"/>
        <w:rPr>
          <w:rFonts w:ascii="Arial" w:eastAsia="Times New Roman" w:hAnsi="Arial" w:cs="Arial"/>
          <w:sz w:val="24"/>
          <w:szCs w:val="24"/>
        </w:rPr>
      </w:pPr>
    </w:p>
    <w:p>
      <w:pPr>
        <w:shd w:val="clear" w:color="auto" w:fill="B2A1C7" w:themeFill="accent4" w:themeFillTint="99"/>
        <w:tabs>
          <w:tab w:val="left" w:pos="6339"/>
        </w:tabs>
        <w:suppressAutoHyphens/>
        <w:autoSpaceDN w:val="0"/>
        <w:spacing w:after="0" w:line="360" w:lineRule="auto"/>
        <w:jc w:val="both"/>
        <w:textAlignment w:val="baseline"/>
        <w:rPr>
          <w:rFonts w:ascii="Arial" w:eastAsia="Times New Roman" w:hAnsi="Arial" w:cs="Arial"/>
          <w:b/>
          <w:color w:val="FFFFFF"/>
          <w:sz w:val="24"/>
          <w:szCs w:val="24"/>
        </w:rPr>
      </w:pPr>
      <w:r>
        <w:rPr>
          <w:rFonts w:ascii="Arial" w:eastAsia="Times New Roman" w:hAnsi="Arial" w:cs="Arial"/>
          <w:b/>
          <w:sz w:val="24"/>
          <w:szCs w:val="24"/>
          <w:shd w:val="clear" w:color="auto" w:fill="B2A1C7" w:themeFill="accent4" w:themeFillTint="99"/>
        </w:rPr>
        <w:t>D. ACTIVIDADES PROGRAMADAS</w:t>
      </w:r>
      <w:r>
        <w:rPr>
          <w:rFonts w:ascii="Arial" w:eastAsia="Times New Roman" w:hAnsi="Arial" w:cs="Arial"/>
          <w:b/>
          <w:sz w:val="24"/>
          <w:szCs w:val="24"/>
        </w:rPr>
        <w:t xml:space="preserve"> </w:t>
      </w:r>
      <w:r>
        <w:rPr>
          <w:rFonts w:ascii="Arial" w:eastAsia="Times New Roman" w:hAnsi="Arial" w:cs="Arial"/>
          <w:b/>
          <w:color w:val="FFFFFF"/>
          <w:sz w:val="24"/>
          <w:szCs w:val="24"/>
        </w:rPr>
        <w:tab/>
      </w:r>
    </w:p>
    <w:p>
      <w:pPr>
        <w:suppressAutoHyphens/>
        <w:autoSpaceDN w:val="0"/>
        <w:spacing w:after="0" w:line="360" w:lineRule="auto"/>
        <w:jc w:val="both"/>
        <w:textAlignment w:val="baseline"/>
        <w:rPr>
          <w:rFonts w:ascii="Arial" w:eastAsia="Times New Roman" w:hAnsi="Arial" w:cs="Arial"/>
          <w:b/>
          <w:sz w:val="24"/>
          <w:szCs w:val="24"/>
        </w:rPr>
      </w:pPr>
      <w:r>
        <w:rPr>
          <w:rFonts w:ascii="Arial" w:eastAsia="Times New Roman" w:hAnsi="Arial" w:cs="Arial"/>
          <w:b/>
          <w:sz w:val="24"/>
          <w:szCs w:val="24"/>
        </w:rPr>
        <w:t xml:space="preserve"> </w:t>
      </w:r>
    </w:p>
    <w:p>
      <w:pPr>
        <w:numPr>
          <w:ilvl w:val="0"/>
          <w:numId w:val="110"/>
        </w:numPr>
        <w:tabs>
          <w:tab w:val="left" w:pos="-2880"/>
        </w:tabs>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Talleres de sensibilización y prevención sobre Violencia de Género e Igualdad para alumnado de ESO y Bachillerato, ciclos formativos y Universidad de Las Palmas de Gran Canaria.  </w:t>
      </w:r>
    </w:p>
    <w:p>
      <w:pPr>
        <w:numPr>
          <w:ilvl w:val="0"/>
          <w:numId w:val="110"/>
        </w:numPr>
        <w:tabs>
          <w:tab w:val="left" w:pos="-2880"/>
        </w:tabs>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Actividades de difusión y formación, especialmente con agentes y entidades insertas en la red comunitaria sobre la realidad e intervención integral sobre la violencia de género por prostitución y trata de mujeres con fines de explotación. </w:t>
      </w:r>
    </w:p>
    <w:p>
      <w:pPr>
        <w:numPr>
          <w:ilvl w:val="0"/>
          <w:numId w:val="110"/>
        </w:numPr>
        <w:tabs>
          <w:tab w:val="left" w:pos="-2880"/>
        </w:tabs>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Actividades de participación en Medios de Comunicación Social, exponiendo la realidad y la intervención realizada en torno a la violencia de género por prostitución y la trata de mujeres con fines de explotación sexual.   </w:t>
      </w:r>
    </w:p>
    <w:p>
      <w:pPr>
        <w:numPr>
          <w:ilvl w:val="0"/>
          <w:numId w:val="110"/>
        </w:numPr>
        <w:tabs>
          <w:tab w:val="left" w:pos="-2880"/>
        </w:tabs>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Actividades de análisis, reflexión y formación del equipo del Programa Oblatas Daniela en materia de violencia de género por prostitución y trata con fines de explotación sexual. </w:t>
      </w:r>
    </w:p>
    <w:p>
      <w:pPr>
        <w:numPr>
          <w:ilvl w:val="0"/>
          <w:numId w:val="110"/>
        </w:numPr>
        <w:tabs>
          <w:tab w:val="left" w:pos="-2880"/>
        </w:tabs>
        <w:suppressAutoHyphens/>
        <w:autoSpaceDN w:val="0"/>
        <w:spacing w:after="0" w:line="360" w:lineRule="auto"/>
        <w:jc w:val="both"/>
        <w:textAlignment w:val="baseline"/>
        <w:rPr>
          <w:rFonts w:ascii="Arial" w:eastAsia="Times New Roman" w:hAnsi="Arial" w:cs="Arial"/>
          <w:bCs/>
          <w:sz w:val="24"/>
          <w:szCs w:val="24"/>
        </w:rPr>
      </w:pPr>
      <w:r>
        <w:rPr>
          <w:rFonts w:ascii="Arial" w:eastAsia="Times New Roman" w:hAnsi="Arial" w:cs="Arial"/>
          <w:bCs/>
          <w:sz w:val="24"/>
          <w:szCs w:val="24"/>
        </w:rPr>
        <w:t>Participación en espacios y encuentros formativos en materia de violencia de género por prostitución y trata con fines de explotación sexual.</w:t>
      </w:r>
    </w:p>
    <w:p>
      <w:pPr>
        <w:suppressAutoHyphens/>
        <w:autoSpaceDN w:val="0"/>
        <w:spacing w:after="160" w:line="360" w:lineRule="auto"/>
        <w:jc w:val="both"/>
        <w:textAlignment w:val="baseline"/>
        <w:rPr>
          <w:rFonts w:ascii="Arial" w:eastAsia="Times New Roman" w:hAnsi="Arial" w:cs="Arial"/>
          <w:color w:val="FFFFFF"/>
          <w:sz w:val="24"/>
          <w:szCs w:val="24"/>
        </w:rPr>
      </w:pPr>
      <w:r>
        <w:rPr>
          <w:rFonts w:ascii="Arial" w:eastAsia="Times New Roman" w:hAnsi="Arial" w:cs="Arial"/>
          <w:color w:val="FFFFFF"/>
          <w:sz w:val="24"/>
          <w:szCs w:val="24"/>
        </w:rPr>
        <w:t xml:space="preserve">  </w:t>
      </w:r>
    </w:p>
    <w:p>
      <w:pPr>
        <w:suppressAutoHyphens/>
        <w:autoSpaceDN w:val="0"/>
        <w:spacing w:after="160" w:line="360" w:lineRule="auto"/>
        <w:jc w:val="both"/>
        <w:textAlignment w:val="baseline"/>
        <w:rPr>
          <w:rFonts w:ascii="Arial" w:eastAsia="Times New Roman" w:hAnsi="Arial" w:cs="Arial"/>
          <w:color w:val="FFFFFF"/>
          <w:sz w:val="24"/>
          <w:szCs w:val="24"/>
        </w:rPr>
      </w:pPr>
    </w:p>
    <w:p>
      <w:pPr>
        <w:suppressAutoHyphens/>
        <w:autoSpaceDN w:val="0"/>
        <w:spacing w:after="160" w:line="360" w:lineRule="auto"/>
        <w:jc w:val="both"/>
        <w:textAlignment w:val="baseline"/>
        <w:rPr>
          <w:rFonts w:ascii="Arial" w:eastAsia="Times New Roman" w:hAnsi="Arial" w:cs="Arial"/>
          <w:color w:val="FFFFFF"/>
          <w:sz w:val="24"/>
          <w:szCs w:val="24"/>
        </w:rPr>
      </w:pPr>
    </w:p>
    <w:p>
      <w:pPr>
        <w:shd w:val="clear" w:color="auto" w:fill="B2A1C7" w:themeFill="accent4" w:themeFillTint="99"/>
        <w:suppressAutoHyphens/>
        <w:autoSpaceDN w:val="0"/>
        <w:spacing w:after="0" w:line="360" w:lineRule="auto"/>
        <w:textAlignment w:val="baseline"/>
        <w:rPr>
          <w:rFonts w:ascii="Arial" w:eastAsia="Times New Roman" w:hAnsi="Arial" w:cs="Arial"/>
          <w:b/>
          <w:sz w:val="24"/>
          <w:szCs w:val="24"/>
        </w:rPr>
      </w:pPr>
      <w:r>
        <w:rPr>
          <w:rFonts w:ascii="Arial" w:eastAsia="Times New Roman" w:hAnsi="Arial" w:cs="Arial"/>
          <w:b/>
          <w:sz w:val="24"/>
          <w:szCs w:val="24"/>
        </w:rPr>
        <w:lastRenderedPageBreak/>
        <w:t>E.  ACTIVIDADES REALIZADAS Y RESULTADO OBTENIDOS</w:t>
      </w:r>
    </w:p>
    <w:p>
      <w:p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 </w:t>
      </w:r>
    </w:p>
    <w:p>
      <w:p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Todas las acciones correspondientes a </w:t>
      </w:r>
      <w:r>
        <w:rPr>
          <w:rFonts w:ascii="Arial" w:eastAsia="Times New Roman" w:hAnsi="Arial" w:cs="Arial"/>
          <w:b/>
          <w:i/>
          <w:sz w:val="24"/>
          <w:szCs w:val="24"/>
        </w:rPr>
        <w:t>Sensibilización y Comunicación</w:t>
      </w:r>
      <w:r>
        <w:rPr>
          <w:rFonts w:ascii="Arial" w:eastAsia="Times New Roman" w:hAnsi="Arial" w:cs="Arial"/>
          <w:sz w:val="24"/>
          <w:szCs w:val="24"/>
        </w:rPr>
        <w:t xml:space="preserve"> han experimentado un avance y progreso significativos, mejorando aquellos aspectos que aún quedaban por consolidar o que, debido a la falta de personal y de una persona responsable del área, resultaban difíciles de llevar a cabo.</w:t>
      </w:r>
    </w:p>
    <w:p>
      <w:p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En el siguiente apartado, se desarrollan las actividades realizadas, destacando la consecución de los objetivos planteados, la superación de metas y la puesta a prueba de nuevas fórmulas que permitieron mejorar la calidad de las charlas, fomentar la formación dirigida a profesionales y desarrollar otro tipo de acciones. Estas iniciativas han sido impulsadas tanto por el personal responsable del Área, como por las trabajadoras que conforman el Programa.</w:t>
      </w:r>
    </w:p>
    <w:p>
      <w:p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Asimismo, se recogen los diferentes hitos alcanzados a lo largo del año, otorgando sentido a un 2025 marcado por los nuevos retos y la mejora continua.</w:t>
      </w:r>
    </w:p>
    <w:p>
      <w:pPr>
        <w:suppressAutoHyphens/>
        <w:autoSpaceDN w:val="0"/>
        <w:spacing w:after="160" w:line="360" w:lineRule="auto"/>
        <w:jc w:val="both"/>
        <w:textAlignment w:val="baseline"/>
        <w:rPr>
          <w:rFonts w:ascii="Arial" w:hAnsi="Arial" w:cs="Arial"/>
          <w:sz w:val="24"/>
          <w:szCs w:val="24"/>
        </w:rPr>
      </w:pPr>
      <w:r>
        <w:rPr>
          <w:rFonts w:ascii="Arial" w:eastAsia="Times New Roman" w:hAnsi="Arial" w:cs="Arial"/>
          <w:b/>
          <w:sz w:val="24"/>
          <w:szCs w:val="24"/>
        </w:rPr>
        <w:t>1.- Los</w:t>
      </w:r>
      <w:r>
        <w:rPr>
          <w:rFonts w:ascii="Arial" w:eastAsia="Times New Roman" w:hAnsi="Arial" w:cs="Arial"/>
          <w:sz w:val="24"/>
          <w:szCs w:val="24"/>
        </w:rPr>
        <w:t xml:space="preserve"> </w:t>
      </w:r>
      <w:r>
        <w:rPr>
          <w:rFonts w:ascii="Arial" w:eastAsia="Times New Roman" w:hAnsi="Arial" w:cs="Arial"/>
          <w:b/>
          <w:i/>
          <w:sz w:val="24"/>
          <w:szCs w:val="24"/>
        </w:rPr>
        <w:t>Talleres de sensibilización y prevención de Violencia de Género en ESO y Bachillerato, ciclos formativos y Universidad Las Palmas de Gran Canaria</w:t>
      </w:r>
      <w:r>
        <w:rPr>
          <w:rFonts w:ascii="Arial" w:eastAsia="Times New Roman" w:hAnsi="Arial" w:cs="Arial"/>
          <w:i/>
          <w:sz w:val="24"/>
          <w:szCs w:val="24"/>
        </w:rPr>
        <w:t xml:space="preserve"> </w:t>
      </w:r>
      <w:r>
        <w:rPr>
          <w:rFonts w:ascii="Arial" w:eastAsia="Times New Roman" w:hAnsi="Arial" w:cs="Arial"/>
          <w:sz w:val="24"/>
          <w:szCs w:val="24"/>
        </w:rPr>
        <w:t xml:space="preserve">han superado los objetivos previstos en el 2025, participando un total de </w:t>
      </w:r>
      <w:r>
        <w:rPr>
          <w:rFonts w:ascii="Arial" w:eastAsia="Times New Roman" w:hAnsi="Arial" w:cs="Arial"/>
          <w:b/>
          <w:sz w:val="24"/>
          <w:szCs w:val="24"/>
        </w:rPr>
        <w:t>966 alumnado</w:t>
      </w:r>
      <w:r>
        <w:rPr>
          <w:rFonts w:ascii="Arial" w:eastAsia="Times New Roman" w:hAnsi="Arial" w:cs="Arial"/>
          <w:sz w:val="24"/>
          <w:szCs w:val="24"/>
        </w:rPr>
        <w:t xml:space="preserve"> de un total de </w:t>
      </w:r>
      <w:r>
        <w:rPr>
          <w:rFonts w:ascii="Arial" w:eastAsia="Times New Roman" w:hAnsi="Arial" w:cs="Arial"/>
          <w:b/>
          <w:sz w:val="24"/>
          <w:szCs w:val="24"/>
        </w:rPr>
        <w:t>11 centro educativos</w:t>
      </w:r>
      <w:r>
        <w:rPr>
          <w:rFonts w:ascii="Arial" w:eastAsia="Times New Roman" w:hAnsi="Arial" w:cs="Arial"/>
          <w:sz w:val="24"/>
          <w:szCs w:val="24"/>
        </w:rPr>
        <w:t>.</w:t>
      </w:r>
    </w:p>
    <w:p>
      <w:pPr>
        <w:suppressAutoHyphens/>
        <w:autoSpaceDN w:val="0"/>
        <w:spacing w:after="160" w:line="360" w:lineRule="auto"/>
        <w:jc w:val="both"/>
        <w:textAlignment w:val="baseline"/>
        <w:rPr>
          <w:rFonts w:ascii="Arial" w:hAnsi="Arial" w:cs="Arial"/>
          <w:sz w:val="24"/>
          <w:szCs w:val="24"/>
        </w:rPr>
      </w:pPr>
      <w:r>
        <w:rPr>
          <w:rFonts w:ascii="Arial" w:eastAsia="Times New Roman" w:hAnsi="Arial" w:cs="Arial"/>
          <w:sz w:val="24"/>
          <w:szCs w:val="24"/>
        </w:rPr>
        <w:t>Los Centros de Enseñanza que donde se han impartido las acciones formativas y de sensibilización, se localizan en Gran Canaria, pertenecientes a diferentes tipos y etapas educativas, a partir de 14 años:</w:t>
      </w:r>
    </w:p>
    <w:p>
      <w:pPr>
        <w:numPr>
          <w:ilvl w:val="0"/>
          <w:numId w:val="111"/>
        </w:num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Universidad.</w:t>
      </w:r>
    </w:p>
    <w:p>
      <w:pPr>
        <w:numPr>
          <w:ilvl w:val="0"/>
          <w:numId w:val="111"/>
        </w:num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Grados Formativos.</w:t>
      </w:r>
    </w:p>
    <w:p>
      <w:pPr>
        <w:numPr>
          <w:ilvl w:val="0"/>
          <w:numId w:val="111"/>
        </w:num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Instituto de Educación Secundaria (4º ESO y 1º y 2º Bachillerato).</w:t>
      </w:r>
    </w:p>
    <w:p>
      <w:pPr>
        <w:numPr>
          <w:ilvl w:val="0"/>
          <w:numId w:val="111"/>
        </w:num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Certificados de Profesionalidad, mediante asignaturas vinculadas a Igualdad.</w:t>
      </w:r>
    </w:p>
    <w:p>
      <w:pPr>
        <w:suppressAutoHyphens/>
        <w:autoSpaceDN w:val="0"/>
        <w:spacing w:after="0" w:line="360" w:lineRule="auto"/>
        <w:jc w:val="both"/>
        <w:textAlignment w:val="baseline"/>
        <w:rPr>
          <w:rFonts w:ascii="Arial" w:hAnsi="Arial" w:cs="Arial"/>
          <w:bCs/>
          <w:color w:val="000000"/>
          <w:sz w:val="24"/>
          <w:szCs w:val="24"/>
        </w:rPr>
      </w:pPr>
      <w:r>
        <w:rPr>
          <w:rFonts w:ascii="Arial" w:hAnsi="Arial" w:cs="Arial"/>
          <w:bCs/>
          <w:color w:val="000000"/>
          <w:sz w:val="24"/>
          <w:szCs w:val="24"/>
        </w:rPr>
        <w:t>Este año, se ha dado la posibilidad de elección de temario a partir de propuestas consensuadas y temas elaborados</w:t>
      </w:r>
      <w:r>
        <w:rPr>
          <w:rFonts w:ascii="Arial" w:hAnsi="Arial" w:cs="Arial"/>
          <w:b/>
          <w:bCs/>
          <w:color w:val="000000"/>
          <w:sz w:val="24"/>
          <w:szCs w:val="24"/>
        </w:rPr>
        <w:t xml:space="preserve"> </w:t>
      </w:r>
      <w:r>
        <w:rPr>
          <w:rFonts w:ascii="Arial" w:hAnsi="Arial" w:cs="Arial"/>
          <w:bCs/>
          <w:color w:val="000000"/>
          <w:sz w:val="24"/>
          <w:szCs w:val="24"/>
        </w:rPr>
        <w:t xml:space="preserve">por la trabajadora social responsable del Área,  </w:t>
      </w:r>
      <w:r>
        <w:rPr>
          <w:rFonts w:ascii="Arial" w:hAnsi="Arial" w:cs="Arial"/>
          <w:sz w:val="24"/>
          <w:szCs w:val="24"/>
        </w:rPr>
        <w:lastRenderedPageBreak/>
        <w:t>teniendo en cuenta la demanda de los centros, de las problemáticas identificadas por el profesorado y de los temas de interés vinculados a los contextos, tiempos y riesgos actuales</w:t>
      </w:r>
      <w:r>
        <w:rPr>
          <w:rFonts w:ascii="Arial" w:hAnsi="Arial" w:cs="Arial"/>
          <w:b/>
          <w:sz w:val="24"/>
          <w:szCs w:val="24"/>
        </w:rPr>
        <w:t xml:space="preserve">. </w:t>
      </w:r>
      <w:r>
        <w:rPr>
          <w:rFonts w:ascii="Arial" w:hAnsi="Arial" w:cs="Arial"/>
          <w:bCs/>
          <w:color w:val="000000"/>
          <w:sz w:val="24"/>
          <w:szCs w:val="24"/>
        </w:rPr>
        <w:t xml:space="preserve">Los temas propuestos según Centro de Enseñanza han sido los siguientes: </w:t>
      </w:r>
    </w:p>
    <w:p>
      <w:pPr>
        <w:suppressAutoHyphens/>
        <w:autoSpaceDN w:val="0"/>
        <w:spacing w:after="0"/>
        <w:jc w:val="both"/>
        <w:textAlignment w:val="baseline"/>
        <w:rPr>
          <w:rFonts w:ascii="Arial" w:hAnsi="Arial" w:cs="Arial"/>
          <w:bCs/>
          <w:color w:val="000000"/>
          <w:sz w:val="24"/>
          <w:szCs w:val="24"/>
        </w:rPr>
      </w:pPr>
      <w:r>
        <w:rPr>
          <w:rFonts w:ascii="Arial" w:hAnsi="Arial" w:cs="Arial"/>
          <w:bCs/>
          <w:color w:val="000000"/>
          <w:sz w:val="24"/>
          <w:szCs w:val="24"/>
        </w:rPr>
        <w:t xml:space="preserve"> </w:t>
      </w:r>
    </w:p>
    <w:tbl>
      <w:tblPr>
        <w:tblW w:w="11199" w:type="dxa"/>
        <w:jc w:val="center"/>
        <w:tblCellMar>
          <w:left w:w="10" w:type="dxa"/>
          <w:right w:w="10" w:type="dxa"/>
        </w:tblCellMar>
        <w:tblLook w:val="0000" w:firstRow="0" w:lastRow="0" w:firstColumn="0" w:lastColumn="0" w:noHBand="0" w:noVBand="0"/>
      </w:tblPr>
      <w:tblGrid>
        <w:gridCol w:w="1838"/>
        <w:gridCol w:w="5959"/>
        <w:gridCol w:w="3402"/>
      </w:tblGrid>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tcPr>
          <w:p>
            <w:pPr>
              <w:suppressAutoHyphens/>
              <w:autoSpaceDN w:val="0"/>
              <w:spacing w:after="0"/>
              <w:jc w:val="center"/>
              <w:textAlignment w:val="baseline"/>
              <w:rPr>
                <w:rFonts w:ascii="Arial" w:hAnsi="Arial" w:cs="Arial"/>
                <w:b/>
                <w:bCs/>
                <w:color w:val="FFFFFF"/>
                <w:sz w:val="20"/>
                <w:szCs w:val="20"/>
              </w:rPr>
            </w:pPr>
            <w:r>
              <w:rPr>
                <w:rFonts w:ascii="Arial" w:hAnsi="Arial" w:cs="Arial"/>
                <w:b/>
                <w:bCs/>
                <w:color w:val="FFFFFF"/>
                <w:sz w:val="20"/>
                <w:szCs w:val="20"/>
              </w:rPr>
              <w:t>CENTRO ENSEÑANZA</w:t>
            </w:r>
          </w:p>
        </w:tc>
        <w:tc>
          <w:tcPr>
            <w:tcW w:w="595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tcPr>
          <w:p>
            <w:pPr>
              <w:suppressAutoHyphens/>
              <w:autoSpaceDN w:val="0"/>
              <w:spacing w:after="0"/>
              <w:jc w:val="center"/>
              <w:textAlignment w:val="baseline"/>
              <w:rPr>
                <w:rFonts w:ascii="Arial" w:hAnsi="Arial" w:cs="Arial"/>
                <w:b/>
                <w:bCs/>
                <w:color w:val="FFFFFF"/>
                <w:sz w:val="20"/>
                <w:szCs w:val="20"/>
              </w:rPr>
            </w:pPr>
            <w:r>
              <w:rPr>
                <w:rFonts w:ascii="Arial" w:hAnsi="Arial" w:cs="Arial"/>
                <w:b/>
                <w:bCs/>
                <w:color w:val="FFFFFF"/>
                <w:sz w:val="20"/>
                <w:szCs w:val="20"/>
              </w:rPr>
              <w:t>TEMÁTICA</w:t>
            </w:r>
          </w:p>
        </w:tc>
        <w:tc>
          <w:tcPr>
            <w:tcW w:w="3402"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tcPr>
          <w:p>
            <w:pPr>
              <w:suppressAutoHyphens/>
              <w:autoSpaceDN w:val="0"/>
              <w:spacing w:after="0"/>
              <w:jc w:val="center"/>
              <w:textAlignment w:val="baseline"/>
              <w:rPr>
                <w:rFonts w:ascii="Arial" w:hAnsi="Arial" w:cs="Arial"/>
                <w:b/>
                <w:bCs/>
                <w:color w:val="FFFFFF"/>
                <w:sz w:val="20"/>
                <w:szCs w:val="20"/>
              </w:rPr>
            </w:pPr>
            <w:r>
              <w:rPr>
                <w:rFonts w:ascii="Arial" w:hAnsi="Arial" w:cs="Arial"/>
                <w:b/>
                <w:bCs/>
                <w:color w:val="FFFFFF"/>
                <w:sz w:val="20"/>
                <w:szCs w:val="20"/>
              </w:rPr>
              <w:t>DETALLES A DESTACAR</w:t>
            </w:r>
          </w:p>
        </w:tc>
      </w:tr>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Universidad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Grado Magisterio</w:t>
            </w:r>
          </w:p>
        </w:tc>
        <w:tc>
          <w:tcPr>
            <w:tcW w:w="5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ind w:left="360"/>
              <w:jc w:val="both"/>
              <w:textAlignment w:val="baseline"/>
              <w:rPr>
                <w:rFonts w:ascii="Arial" w:hAnsi="Arial" w:cs="Arial"/>
                <w:sz w:val="20"/>
                <w:szCs w:val="20"/>
              </w:rPr>
            </w:pPr>
            <w:r>
              <w:rPr>
                <w:rFonts w:ascii="Arial" w:hAnsi="Arial" w:cs="Arial"/>
                <w:b/>
                <w:bCs/>
                <w:color w:val="000000"/>
                <w:sz w:val="20"/>
                <w:szCs w:val="20"/>
              </w:rPr>
              <w:t xml:space="preserve"> </w:t>
            </w:r>
          </w:p>
          <w:p>
            <w:pPr>
              <w:numPr>
                <w:ilvl w:val="0"/>
                <w:numId w:val="112"/>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Programa Oblatas Daniela</w:t>
            </w:r>
            <w:r>
              <w:rPr>
                <w:rFonts w:ascii="Arial" w:hAnsi="Arial" w:cs="Arial"/>
                <w:bCs/>
                <w:color w:val="000000"/>
                <w:sz w:val="20"/>
                <w:szCs w:val="20"/>
              </w:rPr>
              <w:t xml:space="preserve">: contexto y marco de intervención.  </w:t>
            </w:r>
          </w:p>
          <w:p>
            <w:pPr>
              <w:numPr>
                <w:ilvl w:val="0"/>
                <w:numId w:val="112"/>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Prostitución y víctimas de trata</w:t>
            </w:r>
            <w:r>
              <w:rPr>
                <w:rFonts w:ascii="Arial" w:hAnsi="Arial" w:cs="Arial"/>
                <w:bCs/>
                <w:color w:val="000000"/>
                <w:sz w:val="20"/>
                <w:szCs w:val="20"/>
              </w:rPr>
              <w:t xml:space="preserve"> </w:t>
            </w:r>
            <w:r>
              <w:rPr>
                <w:rFonts w:ascii="Arial" w:hAnsi="Arial" w:cs="Arial"/>
                <w:b/>
                <w:bCs/>
                <w:color w:val="000000"/>
                <w:sz w:val="20"/>
                <w:szCs w:val="20"/>
              </w:rPr>
              <w:t>con Fines de Explotación</w:t>
            </w:r>
            <w:r>
              <w:rPr>
                <w:rFonts w:ascii="Arial" w:hAnsi="Arial" w:cs="Arial"/>
                <w:bCs/>
                <w:color w:val="000000"/>
                <w:sz w:val="20"/>
                <w:szCs w:val="20"/>
              </w:rPr>
              <w:t>: conocer para entender.</w:t>
            </w:r>
          </w:p>
          <w:p>
            <w:pPr>
              <w:numPr>
                <w:ilvl w:val="0"/>
                <w:numId w:val="112"/>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Redes sociales y pornografía:</w:t>
            </w:r>
            <w:r>
              <w:rPr>
                <w:rFonts w:ascii="Arial" w:hAnsi="Arial" w:cs="Arial"/>
                <w:bCs/>
                <w:color w:val="000000"/>
                <w:sz w:val="20"/>
                <w:szCs w:val="20"/>
              </w:rPr>
              <w:t xml:space="preserve"> riesgos de captación y nuevas formas de prostitución.  </w:t>
            </w:r>
          </w:p>
          <w:p>
            <w:pPr>
              <w:numPr>
                <w:ilvl w:val="0"/>
                <w:numId w:val="112"/>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Maternidad y contextos prostitucionales</w:t>
            </w:r>
            <w:r>
              <w:rPr>
                <w:rFonts w:ascii="Arial" w:hAnsi="Arial" w:cs="Arial"/>
                <w:bCs/>
                <w:color w:val="000000"/>
                <w:sz w:val="20"/>
                <w:szCs w:val="20"/>
              </w:rPr>
              <w:t>.</w:t>
            </w:r>
          </w:p>
          <w:p>
            <w:pPr>
              <w:numPr>
                <w:ilvl w:val="0"/>
                <w:numId w:val="111"/>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Perfiles vulnerables y tipología familiar. </w:t>
            </w:r>
          </w:p>
          <w:p>
            <w:pPr>
              <w:numPr>
                <w:ilvl w:val="0"/>
                <w:numId w:val="111"/>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Contexto de los y las Menores, factores emocionales y situaciones de especialidad vulnerabilidad.    </w:t>
            </w:r>
          </w:p>
          <w:p>
            <w:pPr>
              <w:numPr>
                <w:ilvl w:val="0"/>
                <w:numId w:val="111"/>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Detección e Indicadores: madres e hijos/as.   </w:t>
            </w:r>
          </w:p>
          <w:p>
            <w:pPr>
              <w:numPr>
                <w:ilvl w:val="0"/>
                <w:numId w:val="111"/>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Indicadores de Desamparo. </w:t>
            </w:r>
          </w:p>
          <w:p>
            <w:pPr>
              <w:numPr>
                <w:ilvl w:val="0"/>
                <w:numId w:val="111"/>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Entidades Especializadas en menores.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 </w:t>
            </w:r>
          </w:p>
          <w:p>
            <w:pPr>
              <w:suppressAutoHyphens/>
              <w:autoSpaceDN w:val="0"/>
              <w:spacing w:after="0"/>
              <w:jc w:val="both"/>
              <w:textAlignment w:val="baseline"/>
              <w:rPr>
                <w:rFonts w:ascii="Arial" w:hAnsi="Arial" w:cs="Arial"/>
                <w:sz w:val="20"/>
                <w:szCs w:val="20"/>
              </w:rPr>
            </w:pPr>
            <w:r>
              <w:rPr>
                <w:rFonts w:ascii="Arial" w:hAnsi="Arial" w:cs="Arial"/>
                <w:bCs/>
                <w:color w:val="000000"/>
                <w:sz w:val="20"/>
                <w:szCs w:val="20"/>
              </w:rPr>
              <w:t xml:space="preserve">Como punto innovador se abordan las problemáticas de tener alumnado con madres en situación de prostitución y en especial vulnerabilidad.  </w:t>
            </w:r>
          </w:p>
        </w:tc>
      </w:tr>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Universidad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Grado Educación Social</w:t>
            </w:r>
          </w:p>
        </w:tc>
        <w:tc>
          <w:tcPr>
            <w:tcW w:w="59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ind w:left="360"/>
              <w:jc w:val="both"/>
              <w:textAlignment w:val="baseline"/>
              <w:rPr>
                <w:rFonts w:ascii="Arial" w:hAnsi="Arial" w:cs="Arial"/>
                <w:sz w:val="20"/>
                <w:szCs w:val="20"/>
              </w:rPr>
            </w:pPr>
            <w:r>
              <w:rPr>
                <w:rFonts w:ascii="Arial" w:hAnsi="Arial" w:cs="Arial"/>
                <w:b/>
                <w:bCs/>
                <w:color w:val="000000"/>
                <w:sz w:val="20"/>
                <w:szCs w:val="20"/>
              </w:rPr>
              <w:t xml:space="preserve"> </w:t>
            </w:r>
          </w:p>
          <w:p>
            <w:pPr>
              <w:numPr>
                <w:ilvl w:val="0"/>
                <w:numId w:val="113"/>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Programa Oblatas Daniela</w:t>
            </w:r>
            <w:r>
              <w:rPr>
                <w:rFonts w:ascii="Arial" w:hAnsi="Arial" w:cs="Arial"/>
                <w:bCs/>
                <w:color w:val="000000"/>
                <w:sz w:val="20"/>
                <w:szCs w:val="20"/>
              </w:rPr>
              <w:t xml:space="preserve">: contexto y marco de intervención.  </w:t>
            </w:r>
          </w:p>
          <w:p>
            <w:pPr>
              <w:numPr>
                <w:ilvl w:val="0"/>
                <w:numId w:val="113"/>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Prostitución y víctimas de trata</w:t>
            </w:r>
            <w:r>
              <w:rPr>
                <w:rFonts w:ascii="Arial" w:hAnsi="Arial" w:cs="Arial"/>
                <w:bCs/>
                <w:color w:val="000000"/>
                <w:sz w:val="20"/>
                <w:szCs w:val="20"/>
              </w:rPr>
              <w:t xml:space="preserve"> con Fines de Explotación: conocer para entender.</w:t>
            </w:r>
          </w:p>
          <w:p>
            <w:pPr>
              <w:numPr>
                <w:ilvl w:val="0"/>
                <w:numId w:val="113"/>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Pornografía, redes sociales y violencias machistas.</w:t>
            </w:r>
          </w:p>
          <w:p>
            <w:pPr>
              <w:numPr>
                <w:ilvl w:val="0"/>
                <w:numId w:val="113"/>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 xml:space="preserve">Consentimiento y libertad sexual. </w:t>
            </w:r>
          </w:p>
          <w:p>
            <w:pPr>
              <w:numPr>
                <w:ilvl w:val="0"/>
                <w:numId w:val="113"/>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Contenido práctico y visual.</w:t>
            </w:r>
          </w:p>
          <w:p>
            <w:pPr>
              <w:tabs>
                <w:tab w:val="left" w:pos="394"/>
              </w:tabs>
              <w:suppressAutoHyphens/>
              <w:autoSpaceDN w:val="0"/>
              <w:spacing w:after="0"/>
              <w:jc w:val="both"/>
              <w:textAlignment w:val="baseline"/>
              <w:rPr>
                <w:rFonts w:ascii="Arial" w:hAnsi="Arial" w:cs="Arial"/>
                <w:b/>
                <w:bCs/>
                <w:color w:val="000000"/>
                <w:sz w:val="20"/>
                <w:szCs w:val="20"/>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Los puntos a trabajar varían en contenido interno, puesto que queda sujeto a demandas del docente, tipo de etapa educativa y problemas que manifieste el centro.</w:t>
            </w:r>
          </w:p>
          <w:p>
            <w:pPr>
              <w:suppressAutoHyphens/>
              <w:autoSpaceDN w:val="0"/>
              <w:spacing w:after="0"/>
              <w:jc w:val="both"/>
              <w:textAlignment w:val="baseline"/>
              <w:rPr>
                <w:rFonts w:ascii="Arial" w:hAnsi="Arial" w:cs="Arial"/>
                <w:b/>
                <w:bCs/>
                <w:color w:val="000000"/>
                <w:sz w:val="20"/>
                <w:szCs w:val="20"/>
              </w:rPr>
            </w:pPr>
          </w:p>
          <w:p>
            <w:pPr>
              <w:suppressAutoHyphens/>
              <w:autoSpaceDN w:val="0"/>
              <w:spacing w:after="0"/>
              <w:jc w:val="both"/>
              <w:textAlignment w:val="baseline"/>
              <w:rPr>
                <w:rFonts w:ascii="Arial" w:hAnsi="Arial" w:cs="Arial"/>
                <w:b/>
                <w:bCs/>
                <w:color w:val="000000"/>
                <w:sz w:val="20"/>
                <w:szCs w:val="20"/>
              </w:rPr>
            </w:pPr>
          </w:p>
        </w:tc>
      </w:tr>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Instituto de Educación Secundaria </w:t>
            </w:r>
          </w:p>
        </w:tc>
        <w:tc>
          <w:tcPr>
            <w:tcW w:w="5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394"/>
              </w:tabs>
              <w:suppressAutoHyphens/>
              <w:autoSpaceDN w:val="0"/>
              <w:spacing w:after="0" w:line="360" w:lineRule="auto"/>
              <w:jc w:val="both"/>
              <w:textAlignment w:val="baseline"/>
              <w:rPr>
                <w:rFonts w:ascii="Arial" w:hAnsi="Arial" w:cs="Arial"/>
                <w:b/>
                <w:bCs/>
                <w:color w:val="000000"/>
                <w:sz w:val="20"/>
                <w:szCs w:val="20"/>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p>
        </w:tc>
      </w:tr>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sz w:val="20"/>
                <w:szCs w:val="20"/>
              </w:rPr>
            </w:pPr>
            <w:r>
              <w:rPr>
                <w:rFonts w:ascii="Arial" w:eastAsia="Times New Roman" w:hAnsi="Arial" w:cs="Arial"/>
                <w:b/>
                <w:sz w:val="20"/>
                <w:szCs w:val="20"/>
              </w:rPr>
              <w:t>Certificados de Profesionalidad, mediante asignaturas vinculadas a Igualdad</w:t>
            </w:r>
          </w:p>
        </w:tc>
        <w:tc>
          <w:tcPr>
            <w:tcW w:w="5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394"/>
              </w:tabs>
              <w:suppressAutoHyphens/>
              <w:autoSpaceDN w:val="0"/>
              <w:spacing w:after="0"/>
              <w:textAlignment w:val="baseline"/>
              <w:rPr>
                <w:rFonts w:ascii="Arial" w:hAnsi="Arial" w:cs="Arial"/>
                <w:b/>
                <w:bCs/>
                <w:color w:val="000000"/>
                <w:sz w:val="20"/>
                <w:szCs w:val="20"/>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p>
        </w:tc>
      </w:tr>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sz w:val="20"/>
                <w:szCs w:val="20"/>
              </w:rPr>
            </w:pPr>
            <w:r>
              <w:rPr>
                <w:rFonts w:ascii="Arial" w:eastAsia="Times New Roman" w:hAnsi="Arial" w:cs="Arial"/>
                <w:b/>
                <w:sz w:val="20"/>
                <w:szCs w:val="20"/>
              </w:rPr>
              <w:t>Grados Formativos Básicos, Medios  y Superiores</w:t>
            </w:r>
          </w:p>
        </w:tc>
        <w:tc>
          <w:tcPr>
            <w:tcW w:w="5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394"/>
              </w:tabs>
              <w:suppressAutoHyphens/>
              <w:autoSpaceDN w:val="0"/>
              <w:spacing w:after="0"/>
              <w:textAlignment w:val="baseline"/>
              <w:rPr>
                <w:rFonts w:ascii="Arial" w:hAnsi="Arial" w:cs="Arial"/>
                <w:b/>
                <w:bCs/>
                <w:color w:val="000000"/>
                <w:sz w:val="20"/>
                <w:szCs w:val="20"/>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p>
        </w:tc>
      </w:tr>
      <w:tr>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eastAsia="Times New Roman" w:hAnsi="Arial" w:cs="Arial"/>
                <w:b/>
                <w:sz w:val="20"/>
                <w:szCs w:val="20"/>
              </w:rPr>
            </w:pPr>
            <w:r>
              <w:rPr>
                <w:rFonts w:ascii="Arial" w:eastAsia="Times New Roman" w:hAnsi="Arial" w:cs="Arial"/>
                <w:b/>
                <w:sz w:val="20"/>
                <w:szCs w:val="20"/>
              </w:rPr>
              <w:t xml:space="preserve"> </w:t>
            </w:r>
          </w:p>
          <w:p>
            <w:pPr>
              <w:suppressAutoHyphens/>
              <w:autoSpaceDN w:val="0"/>
              <w:spacing w:after="0"/>
              <w:jc w:val="center"/>
              <w:textAlignment w:val="baseline"/>
              <w:rPr>
                <w:rFonts w:ascii="Arial" w:hAnsi="Arial" w:cs="Arial"/>
                <w:sz w:val="20"/>
                <w:szCs w:val="20"/>
              </w:rPr>
            </w:pPr>
            <w:r>
              <w:rPr>
                <w:rFonts w:ascii="Arial" w:eastAsia="Times New Roman" w:hAnsi="Arial" w:cs="Arial"/>
                <w:b/>
                <w:sz w:val="20"/>
                <w:szCs w:val="20"/>
              </w:rPr>
              <w:t>Material propio elaborado</w:t>
            </w:r>
          </w:p>
        </w:tc>
        <w:tc>
          <w:tcPr>
            <w:tcW w:w="5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numPr>
                <w:ilvl w:val="0"/>
                <w:numId w:val="114"/>
              </w:numPr>
              <w:tabs>
                <w:tab w:val="left" w:pos="-1406"/>
              </w:tabs>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Testimonios recogidos a partir de experiencia con mujeres en Programa Oblatas Daniela. </w:t>
            </w:r>
          </w:p>
          <w:p>
            <w:pPr>
              <w:numPr>
                <w:ilvl w:val="0"/>
                <w:numId w:val="114"/>
              </w:numPr>
              <w:tabs>
                <w:tab w:val="left" w:pos="-1406"/>
              </w:tabs>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Casos y juegos prácticos.</w:t>
            </w:r>
          </w:p>
          <w:p>
            <w:pPr>
              <w:tabs>
                <w:tab w:val="left" w:pos="394"/>
              </w:tabs>
              <w:suppressAutoHyphens/>
              <w:autoSpaceDN w:val="0"/>
              <w:spacing w:after="0"/>
              <w:jc w:val="both"/>
              <w:textAlignment w:val="baseline"/>
              <w:rPr>
                <w:rFonts w:ascii="Arial" w:hAnsi="Arial" w:cs="Arial"/>
                <w:bCs/>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Cs/>
                <w:color w:val="000000"/>
                <w:sz w:val="20"/>
                <w:szCs w:val="20"/>
              </w:rPr>
            </w:pPr>
            <w:r>
              <w:rPr>
                <w:rFonts w:ascii="Arial" w:hAnsi="Arial" w:cs="Arial"/>
                <w:bCs/>
                <w:color w:val="000000"/>
                <w:sz w:val="20"/>
                <w:szCs w:val="20"/>
              </w:rPr>
              <w:t xml:space="preserve"> </w:t>
            </w:r>
          </w:p>
          <w:p>
            <w:pPr>
              <w:suppressAutoHyphens/>
              <w:autoSpaceDN w:val="0"/>
              <w:spacing w:after="0"/>
              <w:jc w:val="center"/>
              <w:textAlignment w:val="baseline"/>
              <w:rPr>
                <w:rFonts w:ascii="Arial" w:hAnsi="Arial" w:cs="Arial"/>
                <w:bCs/>
                <w:color w:val="000000"/>
                <w:sz w:val="20"/>
                <w:szCs w:val="20"/>
              </w:rPr>
            </w:pPr>
            <w:r>
              <w:rPr>
                <w:rFonts w:ascii="Arial" w:hAnsi="Arial" w:cs="Arial"/>
                <w:bCs/>
                <w:color w:val="000000"/>
                <w:sz w:val="20"/>
                <w:szCs w:val="20"/>
              </w:rPr>
              <w:t>Adaptado a la etapa educativa y problemática del centro.</w:t>
            </w:r>
          </w:p>
        </w:tc>
      </w:tr>
    </w:tbl>
    <w:p>
      <w:pPr>
        <w:suppressAutoHyphens/>
        <w:autoSpaceDN w:val="0"/>
        <w:spacing w:after="0" w:line="360" w:lineRule="auto"/>
        <w:jc w:val="both"/>
        <w:textAlignment w:val="baseline"/>
        <w:rPr>
          <w:rFonts w:ascii="Arial" w:hAnsi="Arial" w:cs="Arial"/>
          <w:bCs/>
          <w:color w:val="000000"/>
          <w:sz w:val="24"/>
          <w:szCs w:val="24"/>
        </w:rPr>
      </w:pPr>
    </w:p>
    <w:p>
      <w:pPr>
        <w:suppressAutoHyphens/>
        <w:autoSpaceDN w:val="0"/>
        <w:spacing w:after="0" w:line="360" w:lineRule="auto"/>
        <w:jc w:val="both"/>
        <w:textAlignment w:val="baseline"/>
        <w:rPr>
          <w:rFonts w:ascii="Arial" w:hAnsi="Arial" w:cs="Arial"/>
          <w:bCs/>
          <w:color w:val="000000"/>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bCs/>
          <w:color w:val="000000"/>
          <w:sz w:val="24"/>
          <w:szCs w:val="24"/>
        </w:rPr>
        <w:lastRenderedPageBreak/>
        <w:t>El temario impartido</w:t>
      </w:r>
      <w:r>
        <w:rPr>
          <w:rFonts w:ascii="Arial" w:hAnsi="Arial" w:cs="Arial"/>
          <w:b/>
          <w:bCs/>
          <w:color w:val="000000"/>
          <w:sz w:val="24"/>
          <w:szCs w:val="24"/>
        </w:rPr>
        <w:t xml:space="preserve">, </w:t>
      </w:r>
      <w:r>
        <w:rPr>
          <w:rFonts w:ascii="Arial" w:hAnsi="Arial" w:cs="Arial"/>
          <w:bCs/>
          <w:color w:val="000000"/>
          <w:sz w:val="24"/>
          <w:szCs w:val="24"/>
        </w:rPr>
        <w:t xml:space="preserve">incorpora una perspectiva Interseccional de género e incluye conceptos   y debates relacionados con la igualdad, la digitalización a nivel global, riesgos y la violencia machista, con especial énfasis en la violencia sexual y de género, abordados desde un enfoque preventivo, promocional y de sensibilización. </w:t>
      </w:r>
    </w:p>
    <w:p>
      <w:pPr>
        <w:suppressAutoHyphens/>
        <w:autoSpaceDN w:val="0"/>
        <w:spacing w:after="0"/>
        <w:jc w:val="both"/>
        <w:textAlignment w:val="baseline"/>
        <w:rPr>
          <w:rFonts w:ascii="Arial" w:hAnsi="Arial" w:cs="Arial"/>
          <w:bCs/>
          <w:color w:val="000000"/>
          <w:sz w:val="24"/>
          <w:szCs w:val="24"/>
        </w:rPr>
      </w:pPr>
      <w:r>
        <w:rPr>
          <w:rFonts w:ascii="Arial" w:hAnsi="Arial" w:cs="Arial"/>
          <w:bCs/>
          <w:color w:val="000000"/>
          <w:sz w:val="24"/>
          <w:szCs w:val="24"/>
        </w:rPr>
        <w:t xml:space="preserve"> A continuación, se exponen las actividades realizadas a lo largo del año, de forma detallada:  </w:t>
      </w:r>
    </w:p>
    <w:p>
      <w:pPr>
        <w:suppressAutoHyphens/>
        <w:autoSpaceDN w:val="0"/>
        <w:spacing w:after="0"/>
        <w:jc w:val="both"/>
        <w:textAlignment w:val="baseline"/>
        <w:rPr>
          <w:rFonts w:ascii="Arial" w:hAnsi="Arial" w:cs="Arial"/>
          <w:bCs/>
          <w:color w:val="000000"/>
          <w:sz w:val="24"/>
          <w:szCs w:val="24"/>
        </w:rPr>
      </w:pPr>
    </w:p>
    <w:tbl>
      <w:tblPr>
        <w:tblW w:w="10768" w:type="dxa"/>
        <w:jc w:val="center"/>
        <w:tblCellMar>
          <w:left w:w="10" w:type="dxa"/>
          <w:right w:w="10" w:type="dxa"/>
        </w:tblCellMar>
        <w:tblLook w:val="0000" w:firstRow="0" w:lastRow="0" w:firstColumn="0" w:lastColumn="0" w:noHBand="0" w:noVBand="0"/>
      </w:tblPr>
      <w:tblGrid>
        <w:gridCol w:w="1555"/>
        <w:gridCol w:w="2273"/>
        <w:gridCol w:w="2070"/>
        <w:gridCol w:w="1417"/>
        <w:gridCol w:w="1701"/>
        <w:gridCol w:w="1752"/>
      </w:tblGrid>
      <w:tr>
        <w:trPr>
          <w:trHeight w:val="31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CENTRO DE ENSEÑANZA</w:t>
            </w:r>
          </w:p>
        </w:tc>
        <w:tc>
          <w:tcPr>
            <w:tcW w:w="2273"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DESTINATARIOS/AS</w:t>
            </w:r>
          </w:p>
        </w:tc>
        <w:tc>
          <w:tcPr>
            <w:tcW w:w="2410"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FFFFFF"/>
                <w:sz w:val="20"/>
                <w:szCs w:val="20"/>
                <w:lang w:eastAsia="es-ES"/>
              </w:rPr>
            </w:pPr>
            <w:r>
              <w:rPr>
                <w:rFonts w:ascii="Arial" w:eastAsia="Times New Roman" w:hAnsi="Arial" w:cs="Arial"/>
                <w:b/>
                <w:color w:val="FFFFFF"/>
                <w:sz w:val="20"/>
                <w:szCs w:val="20"/>
                <w:lang w:eastAsia="es-ES"/>
              </w:rPr>
              <w:t>TEMÁTICA</w:t>
            </w:r>
          </w:p>
        </w:tc>
        <w:tc>
          <w:tcPr>
            <w:tcW w:w="1417"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FECHA</w:t>
            </w:r>
          </w:p>
        </w:tc>
        <w:tc>
          <w:tcPr>
            <w:tcW w:w="1701"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LOCALIZACIÓN</w:t>
            </w:r>
          </w:p>
        </w:tc>
        <w:tc>
          <w:tcPr>
            <w:tcW w:w="1412"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ind w:right="-43"/>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 xml:space="preserve">TOTAL  </w:t>
            </w:r>
          </w:p>
          <w:p>
            <w:pPr>
              <w:autoSpaceDN w:val="0"/>
              <w:spacing w:after="0" w:line="240" w:lineRule="auto"/>
              <w:ind w:right="-43"/>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PARTICIPANTES</w:t>
            </w:r>
          </w:p>
        </w:tc>
      </w:tr>
      <w:tr>
        <w:trPr>
          <w:trHeight w:val="31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COLEGIO</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SALESIANAS</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ESO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Acompañamiento VTS</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12/02/2025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Telde</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50</w:t>
            </w:r>
          </w:p>
        </w:tc>
      </w:tr>
      <w:tr>
        <w:trPr>
          <w:trHeight w:val="315"/>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COLEGIO</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CLARET</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ESO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2º Bachillerato</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Consentimiento, libertad y educación sexual</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24/02/2025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87</w:t>
            </w:r>
          </w:p>
        </w:tc>
      </w:tr>
      <w:tr>
        <w:trPr>
          <w:trHeight w:val="315"/>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ESO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2º Bachillerato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25/02/2025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60</w:t>
            </w:r>
          </w:p>
        </w:tc>
      </w:tr>
      <w:tr>
        <w:trPr>
          <w:trHeight w:val="315"/>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ESO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2º Bachillerato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28/02/2025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22</w:t>
            </w:r>
          </w:p>
        </w:tc>
      </w:tr>
      <w:tr>
        <w:trPr>
          <w:trHeight w:val="672"/>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ESO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05/03/2025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60</w:t>
            </w:r>
          </w:p>
        </w:tc>
      </w:tr>
      <w:tr>
        <w:trPr>
          <w:trHeight w:val="672"/>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ESO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2º Bachillerato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06/03/2025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47</w:t>
            </w:r>
          </w:p>
        </w:tc>
      </w:tr>
      <w:tr>
        <w:trPr>
          <w:trHeight w:val="804"/>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IES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JOSE CERPA</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VARIOS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Perspectiva y desigualdad de género: prostitución, trata y pornografía (8m)</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10/03/2025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Vecindario</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92</w:t>
            </w:r>
          </w:p>
        </w:tc>
      </w:tr>
      <w:tr>
        <w:trPr>
          <w:trHeight w:val="539"/>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IES 7 PALMAS</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1º Bachillerato</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Sensibilización: fenómeno prostitución y trata, pornografía, rrss, consentimiento y educación sexual</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17/03/2025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117</w:t>
            </w:r>
          </w:p>
        </w:tc>
      </w:tr>
      <w:tr>
        <w:trPr>
          <w:trHeight w:val="71"/>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1º Bachillerato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28/03/2025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p>
        </w:tc>
      </w:tr>
      <w:tr>
        <w:trPr>
          <w:trHeight w:val="612"/>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IES MESA Y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LÓPEZ</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B y C ESO</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Consentimiento, Redes Sociales, Responsabilidad Afectiva y Pornografía.</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02/04/2025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60</w:t>
            </w:r>
          </w:p>
        </w:tc>
      </w:tr>
      <w:tr>
        <w:trPr>
          <w:trHeight w:val="66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IES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LAS HUESAS</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1º Bachillerato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FP COCINA</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03/04/2025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Telde</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38</w:t>
            </w:r>
          </w:p>
        </w:tc>
      </w:tr>
      <w:tr>
        <w:trPr>
          <w:trHeight w:val="660"/>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IES MESA Y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 LÓPEZ</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4º A y 2º PDC ESO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08/04/2025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Telde</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40</w:t>
            </w:r>
          </w:p>
        </w:tc>
      </w:tr>
      <w:tr>
        <w:trPr>
          <w:trHeight w:val="552"/>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1º Bachillerato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06/05/2025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75</w:t>
            </w:r>
          </w:p>
        </w:tc>
      </w:tr>
      <w:tr>
        <w:trPr>
          <w:trHeight w:val="45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lastRenderedPageBreak/>
              <w:t>CIP</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Certificado de Profesionalidad de Nivel 3 en Dinamización, Programación y Desarrollo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Exposición Miradas Cruzadas + Sensibilización Trabajo de calle y prostitución deslocalizada</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06/10/2025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Tafira</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7</w:t>
            </w:r>
          </w:p>
        </w:tc>
      </w:tr>
      <w:tr>
        <w:trPr>
          <w:trHeight w:val="13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IES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PÉREZ GALDÓS</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1º y 2º Integración Social 2º Educación Infantil</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Exposición Miradas Cruzadas</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08/10/2025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Tafira</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65</w:t>
            </w:r>
          </w:p>
        </w:tc>
      </w:tr>
      <w:tr>
        <w:trPr>
          <w:trHeight w:val="552"/>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CIFP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FELO MONZÓN</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Varios Cursos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Exposición Miradas Cruzadas + Sensibilización Trabajo de calle y prostitución deslocalizada</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08/10/2025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Tafira</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20</w:t>
            </w:r>
          </w:p>
          <w:p>
            <w:pPr>
              <w:autoSpaceDN w:val="0"/>
              <w:spacing w:after="0" w:line="240" w:lineRule="auto"/>
              <w:ind w:left="66" w:right="-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Aproximación</w:t>
            </w:r>
          </w:p>
          <w:p>
            <w:pPr>
              <w:autoSpaceDN w:val="0"/>
              <w:spacing w:after="0" w:line="240" w:lineRule="auto"/>
              <w:ind w:left="66" w:right="-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Observación</w:t>
            </w:r>
          </w:p>
        </w:tc>
      </w:tr>
      <w:tr>
        <w:trPr>
          <w:trHeight w:val="276"/>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ULPGC</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Grado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Educación Social</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Grado Educación Social</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10/11/2025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31</w:t>
            </w:r>
          </w:p>
        </w:tc>
      </w:tr>
      <w:tr>
        <w:trPr>
          <w:trHeight w:val="276"/>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NUEVO FUTURO</w:t>
            </w:r>
          </w:p>
        </w:tc>
        <w:tc>
          <w:tcPr>
            <w:tcW w:w="227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Centro Menores</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VTFES - Desde la desigualdad de género y violencia digital</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18/11/2025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12</w:t>
            </w:r>
          </w:p>
        </w:tc>
      </w:tr>
      <w:tr>
        <w:trPr>
          <w:trHeight w:val="82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AULA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SAN NICOLÁS NUEVO FUTURO</w:t>
            </w:r>
          </w:p>
        </w:tc>
        <w:tc>
          <w:tcPr>
            <w:tcW w:w="22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19/11/2025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7</w:t>
            </w:r>
          </w:p>
        </w:tc>
      </w:tr>
      <w:tr>
        <w:trPr>
          <w:trHeight w:val="276"/>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IES 7 PALMAS</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1º Bachillerato</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03/12/2025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60</w:t>
            </w:r>
          </w:p>
        </w:tc>
      </w:tr>
      <w:tr>
        <w:trPr>
          <w:trHeight w:val="276"/>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ULPGC</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Grado Magisterio Infantil</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VTFES - Desde la sensibilización y acercamiento al menor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10/12/202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15</w:t>
            </w:r>
          </w:p>
        </w:tc>
      </w:tr>
      <w:tr>
        <w:trPr>
          <w:trHeight w:val="148"/>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Grado Magisterio Primaria</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15/12/202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eastAsia="Times New Roman" w:hAnsi="Arial" w:cs="Arial"/>
                <w:color w:val="000000"/>
                <w:sz w:val="20"/>
                <w:szCs w:val="20"/>
                <w:lang w:eastAsia="es-ES"/>
              </w:rPr>
              <w:t>Las Palmas de G.C.</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21</w:t>
            </w:r>
          </w:p>
        </w:tc>
      </w:tr>
      <w:tr>
        <w:trPr>
          <w:trHeight w:val="276"/>
          <w:jc w:val="center"/>
        </w:trPr>
        <w:tc>
          <w:tcPr>
            <w:tcW w:w="10768" w:type="dxa"/>
            <w:gridSpan w:val="6"/>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ind w:left="500" w:right="187"/>
              <w:jc w:val="center"/>
              <w:rPr>
                <w:rFonts w:ascii="Arial" w:eastAsia="Times New Roman" w:hAnsi="Arial" w:cs="Arial"/>
                <w:b/>
                <w:color w:val="FFFFFF"/>
                <w:sz w:val="20"/>
                <w:szCs w:val="20"/>
                <w:lang w:eastAsia="es-ES"/>
              </w:rPr>
            </w:pPr>
            <w:r>
              <w:rPr>
                <w:rFonts w:ascii="Arial" w:eastAsia="Times New Roman" w:hAnsi="Arial" w:cs="Arial"/>
                <w:b/>
                <w:color w:val="FFFFFF"/>
                <w:sz w:val="20"/>
                <w:szCs w:val="20"/>
                <w:lang w:eastAsia="es-ES"/>
              </w:rPr>
              <w:t>966 PARTICIPANTES</w:t>
            </w:r>
          </w:p>
        </w:tc>
      </w:tr>
    </w:tbl>
    <w:p>
      <w:p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  </w:t>
      </w:r>
    </w:p>
    <w:p>
      <w:pPr>
        <w:suppressAutoHyphens/>
        <w:autoSpaceDN w:val="0"/>
        <w:spacing w:after="0" w:line="360" w:lineRule="auto"/>
        <w:jc w:val="both"/>
        <w:textAlignment w:val="baseline"/>
        <w:rPr>
          <w:rFonts w:ascii="Arial" w:hAnsi="Arial" w:cs="Arial"/>
          <w:sz w:val="24"/>
          <w:szCs w:val="24"/>
        </w:rPr>
      </w:pPr>
      <w:r>
        <w:rPr>
          <w:rFonts w:ascii="Arial" w:hAnsi="Arial" w:cs="Arial"/>
          <w:bCs/>
          <w:color w:val="000000"/>
          <w:sz w:val="24"/>
          <w:szCs w:val="24"/>
        </w:rPr>
        <w:t>En cuanto a las</w:t>
      </w:r>
      <w:r>
        <w:rPr>
          <w:rFonts w:ascii="Arial" w:hAnsi="Arial" w:cs="Arial"/>
          <w:b/>
          <w:bCs/>
          <w:color w:val="000000"/>
          <w:sz w:val="24"/>
          <w:szCs w:val="24"/>
        </w:rPr>
        <w:t xml:space="preserve"> edades</w:t>
      </w:r>
      <w:r>
        <w:rPr>
          <w:rFonts w:ascii="Arial" w:hAnsi="Arial" w:cs="Arial"/>
          <w:bCs/>
          <w:color w:val="000000"/>
          <w:sz w:val="24"/>
          <w:szCs w:val="24"/>
        </w:rPr>
        <w:t xml:space="preserve"> a las que se han destinado las charlas y los géneros representados en cada una de ellas, se muestran en los siguientes gráficos, recabados en las encuestas de valoración:</w:t>
      </w:r>
    </w:p>
    <w:p>
      <w:pPr>
        <w:tabs>
          <w:tab w:val="left" w:pos="65"/>
          <w:tab w:val="left" w:pos="4680"/>
        </w:tabs>
        <w:suppressAutoHyphens/>
        <w:autoSpaceDN w:val="0"/>
        <w:spacing w:after="0"/>
        <w:ind w:left="-851" w:right="-1419"/>
        <w:jc w:val="center"/>
        <w:textAlignment w:val="baseline"/>
        <w:rPr>
          <w:rFonts w:ascii="Arial" w:hAnsi="Arial" w:cs="Arial"/>
          <w:sz w:val="24"/>
          <w:szCs w:val="24"/>
        </w:rPr>
      </w:pPr>
      <w:r>
        <w:rPr>
          <w:rFonts w:ascii="Arial" w:hAnsi="Arial" w:cs="Arial"/>
          <w:noProof/>
          <w:sz w:val="24"/>
          <w:szCs w:val="24"/>
          <w:lang w:eastAsia="es-ES"/>
        </w:rPr>
        <w:lastRenderedPageBreak/>
        <w:drawing>
          <wp:inline distT="0" distB="0" distL="0" distR="0">
            <wp:extent cx="6084042" cy="2061999"/>
            <wp:effectExtent l="0" t="0" r="0" b="0"/>
            <wp:docPr id="58" name="Imagen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6084042" cy="2061999"/>
                    </a:xfrm>
                    <a:prstGeom prst="rect">
                      <a:avLst/>
                    </a:prstGeom>
                    <a:noFill/>
                    <a:ln>
                      <a:noFill/>
                      <a:prstDash/>
                    </a:ln>
                  </pic:spPr>
                </pic:pic>
              </a:graphicData>
            </a:graphic>
          </wp:inline>
        </w:drawing>
      </w:r>
    </w:p>
    <w:p>
      <w:pPr>
        <w:tabs>
          <w:tab w:val="left" w:pos="4680"/>
        </w:tabs>
        <w:suppressAutoHyphens/>
        <w:autoSpaceDN w:val="0"/>
        <w:spacing w:after="0"/>
        <w:ind w:left="-851" w:right="-1419"/>
        <w:jc w:val="center"/>
        <w:textAlignment w:val="baseline"/>
        <w:rPr>
          <w:rFonts w:ascii="Arial" w:hAnsi="Arial" w:cs="Arial"/>
          <w:bCs/>
          <w:color w:val="000000"/>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bCs/>
          <w:color w:val="000000"/>
          <w:sz w:val="24"/>
          <w:szCs w:val="24"/>
        </w:rPr>
        <w:t xml:space="preserve">Las edades de las personas participantes en los talleres han abarcado un margen amplio, a partir de los 14 años, lo que ha requerido una adaptación constante, tanto de los contenidos como del nivel de profundidad de las acciones impartidas.  </w:t>
      </w:r>
    </w:p>
    <w:p>
      <w:pPr>
        <w:suppressAutoHyphens/>
        <w:autoSpaceDN w:val="0"/>
        <w:spacing w:after="0" w:line="360" w:lineRule="auto"/>
        <w:jc w:val="both"/>
        <w:textAlignment w:val="baseline"/>
        <w:rPr>
          <w:rFonts w:ascii="Arial" w:hAnsi="Arial" w:cs="Arial"/>
          <w:bCs/>
          <w:color w:val="000000"/>
          <w:sz w:val="24"/>
          <w:szCs w:val="24"/>
        </w:rPr>
      </w:pPr>
      <w:r>
        <w:rPr>
          <w:rFonts w:ascii="Arial" w:hAnsi="Arial" w:cs="Arial"/>
          <w:bCs/>
          <w:color w:val="000000"/>
          <w:sz w:val="24"/>
          <w:szCs w:val="24"/>
        </w:rPr>
        <w:t xml:space="preserve">Esta adecuación ha estado condicionada por diversos factores, que se detallan a continuación: </w:t>
      </w:r>
    </w:p>
    <w:p>
      <w:pPr>
        <w:suppressAutoHyphens/>
        <w:autoSpaceDN w:val="0"/>
        <w:spacing w:after="0" w:line="360" w:lineRule="auto"/>
        <w:jc w:val="both"/>
        <w:textAlignment w:val="baseline"/>
        <w:rPr>
          <w:rFonts w:ascii="Arial" w:hAnsi="Arial" w:cs="Arial"/>
          <w:sz w:val="24"/>
          <w:szCs w:val="24"/>
        </w:rPr>
      </w:pPr>
    </w:p>
    <w:p>
      <w:pPr>
        <w:numPr>
          <w:ilvl w:val="0"/>
          <w:numId w:val="115"/>
        </w:numPr>
        <w:suppressAutoHyphens/>
        <w:autoSpaceDN w:val="0"/>
        <w:spacing w:after="0" w:line="360" w:lineRule="auto"/>
        <w:jc w:val="both"/>
        <w:textAlignment w:val="baseline"/>
        <w:rPr>
          <w:rFonts w:ascii="Arial" w:hAnsi="Arial" w:cs="Arial"/>
          <w:sz w:val="24"/>
          <w:szCs w:val="24"/>
        </w:rPr>
      </w:pPr>
      <w:r>
        <w:rPr>
          <w:rFonts w:ascii="Arial" w:hAnsi="Arial" w:cs="Arial"/>
          <w:b/>
          <w:bCs/>
          <w:color w:val="000000"/>
          <w:sz w:val="24"/>
          <w:szCs w:val="24"/>
        </w:rPr>
        <w:t>Demandas del profesorado y contexto educativo</w:t>
      </w:r>
      <w:r>
        <w:rPr>
          <w:rFonts w:ascii="Arial" w:hAnsi="Arial" w:cs="Arial"/>
          <w:bCs/>
          <w:color w:val="000000"/>
          <w:sz w:val="24"/>
          <w:szCs w:val="24"/>
        </w:rPr>
        <w:t>:</w:t>
      </w:r>
      <w:r>
        <w:rPr>
          <w:rFonts w:ascii="Arial" w:hAnsi="Arial" w:cs="Arial"/>
          <w:bCs/>
          <w:color w:val="000000"/>
          <w:sz w:val="24"/>
          <w:szCs w:val="24"/>
        </w:rPr>
        <w:br/>
        <w:t xml:space="preserve">Los contenidos se han ajustado a las solicitudes realizadas por los/as docentes y a las problemáticas detectadas en las aulas, atendiendo a las necesidades específicas de cada grupo. En este sentido, el consentimiento y el uso de las redes sociales en relación con la mercantilización de la sexualidad han sido los temas más demandados y los que generan una mayor preocupación entre los equipos docentes respecto a su alumnado.  </w:t>
      </w:r>
    </w:p>
    <w:p>
      <w:pPr>
        <w:tabs>
          <w:tab w:val="left" w:pos="-2880"/>
          <w:tab w:val="left" w:pos="-2520"/>
        </w:tabs>
        <w:suppressAutoHyphens/>
        <w:autoSpaceDN w:val="0"/>
        <w:spacing w:after="0" w:line="360" w:lineRule="auto"/>
        <w:ind w:left="360"/>
        <w:jc w:val="both"/>
        <w:textAlignment w:val="baseline"/>
        <w:rPr>
          <w:rFonts w:ascii="Arial" w:hAnsi="Arial" w:cs="Arial"/>
          <w:sz w:val="24"/>
          <w:szCs w:val="24"/>
        </w:rPr>
      </w:pPr>
      <w:r>
        <w:rPr>
          <w:rFonts w:ascii="Arial" w:hAnsi="Arial" w:cs="Arial"/>
          <w:sz w:val="24"/>
          <w:szCs w:val="24"/>
        </w:rPr>
        <w:t xml:space="preserve">- </w:t>
      </w:r>
      <w:r>
        <w:rPr>
          <w:rFonts w:ascii="Arial" w:hAnsi="Arial" w:cs="Arial"/>
          <w:b/>
          <w:bCs/>
          <w:color w:val="000000"/>
          <w:sz w:val="24"/>
          <w:szCs w:val="24"/>
        </w:rPr>
        <w:t>Entorno socioeconómico y ubicación de los centros</w:t>
      </w:r>
      <w:r>
        <w:rPr>
          <w:rFonts w:ascii="Arial" w:hAnsi="Arial" w:cs="Arial"/>
          <w:bCs/>
          <w:color w:val="000000"/>
          <w:sz w:val="24"/>
          <w:szCs w:val="24"/>
        </w:rPr>
        <w:t>:</w:t>
      </w:r>
      <w:r>
        <w:rPr>
          <w:rFonts w:ascii="Arial" w:hAnsi="Arial" w:cs="Arial"/>
          <w:bCs/>
          <w:color w:val="000000"/>
          <w:sz w:val="24"/>
          <w:szCs w:val="24"/>
        </w:rPr>
        <w:br/>
        <w:t xml:space="preserve">Las ubicaciones de los centros educativos y el contexto ambiental han desempeñado un papel relevante en el desarrollo de las sesiones. En centros situados en barrios periféricos con recursos socioeconómicos bajo-medios, el alumnado ha mostrado mayores reticencias, no sólo a la recepción del contenido, sino también actitudes normalizadas de consumo vinculadas, en muchos casos, a patrones heredados del entorno familiar.    </w:t>
      </w:r>
    </w:p>
    <w:p>
      <w:pPr>
        <w:tabs>
          <w:tab w:val="left" w:pos="720"/>
        </w:tabs>
        <w:suppressAutoHyphens/>
        <w:autoSpaceDN w:val="0"/>
        <w:spacing w:after="0" w:line="360" w:lineRule="auto"/>
        <w:ind w:left="360"/>
        <w:jc w:val="both"/>
        <w:textAlignment w:val="baseline"/>
        <w:rPr>
          <w:rFonts w:ascii="Arial" w:hAnsi="Arial" w:cs="Arial"/>
          <w:bCs/>
          <w:color w:val="000000"/>
          <w:sz w:val="24"/>
          <w:szCs w:val="24"/>
        </w:rPr>
      </w:pPr>
    </w:p>
    <w:p>
      <w:pPr>
        <w:suppressAutoHyphens/>
        <w:autoSpaceDN w:val="0"/>
        <w:spacing w:after="0"/>
        <w:ind w:left="-567" w:right="-1277"/>
        <w:jc w:val="center"/>
        <w:textAlignment w:val="baseline"/>
        <w:rPr>
          <w:rFonts w:ascii="Arial" w:hAnsi="Arial" w:cs="Arial"/>
          <w:sz w:val="24"/>
          <w:szCs w:val="24"/>
        </w:rPr>
      </w:pPr>
      <w:r>
        <w:rPr>
          <w:rFonts w:ascii="Arial" w:eastAsia="Times New Roman" w:hAnsi="Arial" w:cs="Arial"/>
          <w:b/>
          <w:bCs/>
          <w:noProof/>
          <w:sz w:val="24"/>
          <w:szCs w:val="24"/>
          <w:lang w:eastAsia="es-ES"/>
        </w:rPr>
        <w:lastRenderedPageBreak/>
        <w:drawing>
          <wp:inline distT="0" distB="0" distL="0" distR="0">
            <wp:extent cx="5977568" cy="2559685"/>
            <wp:effectExtent l="0" t="0" r="4445" b="0"/>
            <wp:docPr id="59" name="Imagen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987227" cy="2563821"/>
                    </a:xfrm>
                    <a:prstGeom prst="rect">
                      <a:avLst/>
                    </a:prstGeom>
                    <a:noFill/>
                    <a:ln>
                      <a:noFill/>
                      <a:prstDash/>
                    </a:ln>
                  </pic:spPr>
                </pic:pic>
              </a:graphicData>
            </a:graphic>
          </wp:inline>
        </w:drawing>
      </w:r>
      <w:r>
        <w:rPr>
          <w:rFonts w:ascii="Arial" w:eastAsia="Times New Roman" w:hAnsi="Arial" w:cs="Arial"/>
          <w:b/>
          <w:bCs/>
          <w:sz w:val="24"/>
          <w:szCs w:val="24"/>
          <w:lang w:eastAsia="es-ES"/>
        </w:rPr>
        <w:t xml:space="preserve">   </w:t>
      </w:r>
    </w:p>
    <w:p>
      <w:pPr>
        <w:numPr>
          <w:ilvl w:val="0"/>
          <w:numId w:val="115"/>
        </w:numPr>
        <w:tabs>
          <w:tab w:val="left" w:pos="-2880"/>
          <w:tab w:val="left" w:pos="-2520"/>
        </w:tabs>
        <w:suppressAutoHyphens/>
        <w:autoSpaceDN w:val="0"/>
        <w:spacing w:after="0" w:line="360" w:lineRule="auto"/>
        <w:jc w:val="both"/>
        <w:textAlignment w:val="baseline"/>
        <w:rPr>
          <w:rFonts w:ascii="Arial" w:hAnsi="Arial" w:cs="Arial"/>
          <w:sz w:val="24"/>
          <w:szCs w:val="24"/>
        </w:rPr>
      </w:pPr>
      <w:r>
        <w:rPr>
          <w:rFonts w:ascii="Arial" w:hAnsi="Arial" w:cs="Arial"/>
          <w:b/>
          <w:bCs/>
          <w:color w:val="000000"/>
          <w:sz w:val="24"/>
          <w:szCs w:val="24"/>
        </w:rPr>
        <w:t>Uso de redes sociales y plataformas digitales</w:t>
      </w:r>
      <w:r>
        <w:rPr>
          <w:rFonts w:ascii="Arial" w:hAnsi="Arial" w:cs="Arial"/>
          <w:bCs/>
          <w:color w:val="000000"/>
          <w:sz w:val="24"/>
          <w:szCs w:val="24"/>
        </w:rPr>
        <w:t>:</w:t>
      </w:r>
      <w:r>
        <w:rPr>
          <w:rFonts w:ascii="Arial" w:hAnsi="Arial" w:cs="Arial"/>
          <w:bCs/>
          <w:color w:val="000000"/>
          <w:sz w:val="24"/>
          <w:szCs w:val="24"/>
        </w:rPr>
        <w:br/>
        <w:t>Se han detectado problemáticas transversales derivadas del uso intensivo de redes sociales y otras plataformas digitales, entre las que destacan:</w:t>
      </w:r>
    </w:p>
    <w:p>
      <w:pPr>
        <w:numPr>
          <w:ilvl w:val="1"/>
          <w:numId w:val="115"/>
        </w:numPr>
        <w:tabs>
          <w:tab w:val="left" w:pos="-8640"/>
          <w:tab w:val="left" w:pos="-8280"/>
        </w:tabs>
        <w:suppressAutoHyphens/>
        <w:autoSpaceDN w:val="0"/>
        <w:spacing w:after="0" w:line="360" w:lineRule="auto"/>
        <w:jc w:val="both"/>
        <w:textAlignment w:val="baseline"/>
        <w:rPr>
          <w:rFonts w:ascii="Arial" w:hAnsi="Arial" w:cs="Arial"/>
          <w:bCs/>
          <w:color w:val="000000"/>
          <w:sz w:val="24"/>
          <w:szCs w:val="24"/>
        </w:rPr>
      </w:pPr>
      <w:r>
        <w:rPr>
          <w:rFonts w:ascii="Arial" w:hAnsi="Arial" w:cs="Arial"/>
          <w:bCs/>
          <w:color w:val="000000"/>
          <w:sz w:val="24"/>
          <w:szCs w:val="24"/>
        </w:rPr>
        <w:t>La falta de comprensión sobre qué constituye la violencia sexual.</w:t>
      </w:r>
    </w:p>
    <w:p>
      <w:pPr>
        <w:numPr>
          <w:ilvl w:val="1"/>
          <w:numId w:val="115"/>
        </w:numPr>
        <w:tabs>
          <w:tab w:val="left" w:pos="-8640"/>
          <w:tab w:val="left" w:pos="-8280"/>
        </w:tabs>
        <w:suppressAutoHyphens/>
        <w:autoSpaceDN w:val="0"/>
        <w:spacing w:after="0" w:line="360" w:lineRule="auto"/>
        <w:jc w:val="both"/>
        <w:textAlignment w:val="baseline"/>
        <w:rPr>
          <w:rFonts w:ascii="Arial" w:hAnsi="Arial" w:cs="Arial"/>
          <w:bCs/>
          <w:color w:val="000000"/>
          <w:sz w:val="24"/>
          <w:szCs w:val="24"/>
        </w:rPr>
      </w:pPr>
      <w:r>
        <w:rPr>
          <w:rFonts w:ascii="Arial" w:hAnsi="Arial" w:cs="Arial"/>
          <w:bCs/>
          <w:color w:val="000000"/>
          <w:sz w:val="24"/>
          <w:szCs w:val="24"/>
        </w:rPr>
        <w:t>La confusión entre deseo, consentimiento y consumo en el contexto prostitucional.</w:t>
      </w:r>
    </w:p>
    <w:p>
      <w:pPr>
        <w:numPr>
          <w:ilvl w:val="1"/>
          <w:numId w:val="115"/>
        </w:numPr>
        <w:tabs>
          <w:tab w:val="left" w:pos="-8640"/>
          <w:tab w:val="left" w:pos="-8280"/>
        </w:tabs>
        <w:suppressAutoHyphens/>
        <w:autoSpaceDN w:val="0"/>
        <w:spacing w:after="0" w:line="360" w:lineRule="auto"/>
        <w:jc w:val="both"/>
        <w:textAlignment w:val="baseline"/>
        <w:rPr>
          <w:rFonts w:ascii="Arial" w:hAnsi="Arial" w:cs="Arial"/>
          <w:bCs/>
          <w:color w:val="000000"/>
          <w:sz w:val="24"/>
          <w:szCs w:val="24"/>
        </w:rPr>
      </w:pPr>
      <w:r>
        <w:rPr>
          <w:rFonts w:ascii="Arial" w:hAnsi="Arial" w:cs="Arial"/>
          <w:bCs/>
          <w:color w:val="000000"/>
          <w:sz w:val="24"/>
          <w:szCs w:val="24"/>
        </w:rPr>
        <w:t xml:space="preserve">El desconocimiento de la realidad que viven las mujeres en situación de prostitución. </w:t>
      </w:r>
    </w:p>
    <w:p>
      <w:pPr>
        <w:numPr>
          <w:ilvl w:val="1"/>
          <w:numId w:val="115"/>
        </w:numPr>
        <w:tabs>
          <w:tab w:val="left" w:pos="-8640"/>
          <w:tab w:val="left" w:pos="-8280"/>
        </w:tabs>
        <w:suppressAutoHyphens/>
        <w:autoSpaceDN w:val="0"/>
        <w:spacing w:after="0" w:line="360" w:lineRule="auto"/>
        <w:jc w:val="both"/>
        <w:textAlignment w:val="baseline"/>
        <w:rPr>
          <w:rFonts w:ascii="Arial" w:hAnsi="Arial" w:cs="Arial"/>
          <w:bCs/>
          <w:color w:val="000000"/>
          <w:sz w:val="24"/>
          <w:szCs w:val="24"/>
        </w:rPr>
      </w:pPr>
      <w:r>
        <w:rPr>
          <w:rFonts w:ascii="Arial" w:hAnsi="Arial" w:cs="Arial"/>
          <w:bCs/>
          <w:color w:val="000000"/>
          <w:sz w:val="24"/>
          <w:szCs w:val="24"/>
        </w:rPr>
        <w:t>Una baja percepción del riesgo ante posibles perfiles falsos en internet, así como frente a situaciones de violencia y agresiones sexuales.</w:t>
      </w:r>
    </w:p>
    <w:p>
      <w:pPr>
        <w:numPr>
          <w:ilvl w:val="1"/>
          <w:numId w:val="115"/>
        </w:numPr>
        <w:tabs>
          <w:tab w:val="left" w:pos="-8640"/>
          <w:tab w:val="left" w:pos="-8280"/>
        </w:tabs>
        <w:suppressAutoHyphens/>
        <w:autoSpaceDN w:val="0"/>
        <w:spacing w:after="0" w:line="360" w:lineRule="auto"/>
        <w:jc w:val="both"/>
        <w:textAlignment w:val="baseline"/>
        <w:rPr>
          <w:rFonts w:ascii="Arial" w:hAnsi="Arial" w:cs="Arial"/>
          <w:sz w:val="24"/>
          <w:szCs w:val="24"/>
        </w:rPr>
      </w:pPr>
      <w:r>
        <w:rPr>
          <w:rFonts w:ascii="Arial" w:hAnsi="Arial" w:cs="Arial"/>
          <w:bCs/>
          <w:color w:val="000000"/>
          <w:sz w:val="24"/>
          <w:szCs w:val="24"/>
        </w:rPr>
        <w:t xml:space="preserve">La normalización de prácticas de chantaje digital, como la </w:t>
      </w:r>
      <w:r>
        <w:rPr>
          <w:rFonts w:ascii="Arial" w:hAnsi="Arial" w:cs="Arial"/>
          <w:bCs/>
          <w:i/>
          <w:color w:val="000000"/>
          <w:sz w:val="24"/>
          <w:szCs w:val="24"/>
        </w:rPr>
        <w:t>sextorsión.</w:t>
      </w:r>
      <w:r>
        <w:rPr>
          <w:rFonts w:ascii="Arial" w:hAnsi="Arial" w:cs="Arial"/>
          <w:bCs/>
          <w:color w:val="000000"/>
          <w:sz w:val="24"/>
          <w:szCs w:val="24"/>
        </w:rPr>
        <w:t xml:space="preserve">  </w:t>
      </w:r>
    </w:p>
    <w:p>
      <w:pPr>
        <w:tabs>
          <w:tab w:val="left" w:pos="0"/>
          <w:tab w:val="left" w:pos="360"/>
        </w:tabs>
        <w:suppressAutoHyphens/>
        <w:autoSpaceDN w:val="0"/>
        <w:spacing w:after="0" w:line="360" w:lineRule="auto"/>
        <w:ind w:left="1080"/>
        <w:jc w:val="both"/>
        <w:textAlignment w:val="baseline"/>
        <w:rPr>
          <w:rFonts w:ascii="Arial" w:hAnsi="Arial" w:cs="Arial"/>
          <w:bCs/>
          <w:color w:val="000000"/>
          <w:sz w:val="24"/>
          <w:szCs w:val="24"/>
        </w:rPr>
      </w:pPr>
    </w:p>
    <w:p>
      <w:pPr>
        <w:numPr>
          <w:ilvl w:val="0"/>
          <w:numId w:val="115"/>
        </w:numPr>
        <w:tabs>
          <w:tab w:val="left" w:pos="2880"/>
          <w:tab w:val="left" w:pos="3240"/>
        </w:tabs>
        <w:suppressAutoHyphens/>
        <w:autoSpaceDN w:val="0"/>
        <w:spacing w:after="0" w:line="360" w:lineRule="auto"/>
        <w:jc w:val="both"/>
        <w:textAlignment w:val="baseline"/>
        <w:rPr>
          <w:rFonts w:ascii="Arial" w:hAnsi="Arial" w:cs="Arial"/>
          <w:sz w:val="24"/>
          <w:szCs w:val="24"/>
        </w:rPr>
      </w:pPr>
      <w:r>
        <w:rPr>
          <w:rFonts w:ascii="Arial" w:hAnsi="Arial" w:cs="Arial"/>
          <w:b/>
          <w:bCs/>
          <w:color w:val="000000"/>
          <w:sz w:val="24"/>
          <w:szCs w:val="24"/>
        </w:rPr>
        <w:t>Lectura continua de noticias, artículos y la renovación constante de datos por parte de fuentes oficiales,</w:t>
      </w:r>
      <w:r>
        <w:rPr>
          <w:rFonts w:ascii="Arial" w:hAnsi="Arial" w:cs="Arial"/>
          <w:bCs/>
          <w:color w:val="000000"/>
          <w:sz w:val="24"/>
          <w:szCs w:val="24"/>
        </w:rPr>
        <w:t xml:space="preserve"> debido a ser un tema en auge, con controversia y que comienza a ser dentro de la sociedad un problema de gran envergadura, requiere que la profesional del área se mantenga al día y con una formación reciclada. </w:t>
      </w:r>
    </w:p>
    <w:p>
      <w:pPr>
        <w:tabs>
          <w:tab w:val="left" w:pos="2880"/>
          <w:tab w:val="left" w:pos="3240"/>
        </w:tabs>
        <w:suppressAutoHyphens/>
        <w:autoSpaceDN w:val="0"/>
        <w:spacing w:after="0" w:line="360" w:lineRule="auto"/>
        <w:ind w:left="360"/>
        <w:jc w:val="both"/>
        <w:textAlignment w:val="baseline"/>
        <w:rPr>
          <w:rFonts w:ascii="Arial" w:hAnsi="Arial" w:cs="Arial"/>
          <w:sz w:val="24"/>
          <w:szCs w:val="24"/>
        </w:rPr>
      </w:pPr>
    </w:p>
    <w:p>
      <w:pPr>
        <w:tabs>
          <w:tab w:val="left" w:pos="1080"/>
          <w:tab w:val="left" w:pos="1440"/>
        </w:tabs>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Respecto a </w:t>
      </w:r>
      <w:r>
        <w:rPr>
          <w:rFonts w:ascii="Arial" w:hAnsi="Arial" w:cs="Arial"/>
          <w:b/>
          <w:sz w:val="24"/>
          <w:szCs w:val="24"/>
        </w:rPr>
        <w:t xml:space="preserve">la valoración media de los talleres </w:t>
      </w:r>
      <w:r>
        <w:rPr>
          <w:rFonts w:ascii="Arial" w:hAnsi="Arial" w:cs="Arial"/>
          <w:sz w:val="24"/>
          <w:szCs w:val="24"/>
        </w:rPr>
        <w:t xml:space="preserve">se encuentran dos vertientes:  </w:t>
      </w:r>
    </w:p>
    <w:p>
      <w:pPr>
        <w:numPr>
          <w:ilvl w:val="0"/>
          <w:numId w:val="111"/>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Se observa una </w:t>
      </w:r>
      <w:r>
        <w:rPr>
          <w:rFonts w:ascii="Arial" w:hAnsi="Arial" w:cs="Arial"/>
          <w:b/>
          <w:sz w:val="24"/>
          <w:szCs w:val="24"/>
        </w:rPr>
        <w:t xml:space="preserve">puntuación media aproximada de </w:t>
      </w:r>
      <w:r>
        <w:rPr>
          <w:rFonts w:ascii="Arial" w:hAnsi="Arial" w:cs="Arial"/>
          <w:b/>
          <w:bCs/>
          <w:sz w:val="24"/>
          <w:szCs w:val="24"/>
        </w:rPr>
        <w:t>4 sobre 5</w:t>
      </w:r>
      <w:r>
        <w:rPr>
          <w:rFonts w:ascii="Arial" w:hAnsi="Arial" w:cs="Arial"/>
          <w:b/>
          <w:sz w:val="24"/>
          <w:szCs w:val="24"/>
        </w:rPr>
        <w:t>,</w:t>
      </w:r>
      <w:r>
        <w:rPr>
          <w:rFonts w:ascii="Arial" w:hAnsi="Arial" w:cs="Arial"/>
          <w:sz w:val="24"/>
          <w:szCs w:val="24"/>
        </w:rPr>
        <w:t xml:space="preserve"> en la que el alumnado destaca el carácter novedoso y atractivo de la temática abordada, así </w:t>
      </w:r>
      <w:r>
        <w:rPr>
          <w:rFonts w:ascii="Arial" w:hAnsi="Arial" w:cs="Arial"/>
          <w:sz w:val="24"/>
          <w:szCs w:val="24"/>
        </w:rPr>
        <w:lastRenderedPageBreak/>
        <w:t>como su utilidad para actualizar conocimientos sobre los riesgos presentes en su vida cotidiana, participando de manera activa durante las sesiones.</w:t>
      </w:r>
    </w:p>
    <w:p>
      <w:pPr>
        <w:numPr>
          <w:ilvl w:val="0"/>
          <w:numId w:val="111"/>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En aquellos centros donde se detectaban mayores problemáticas de conducta</w:t>
      </w:r>
      <w:r>
        <w:rPr>
          <w:rFonts w:ascii="Arial" w:hAnsi="Arial" w:cs="Arial"/>
          <w:b/>
          <w:sz w:val="24"/>
          <w:szCs w:val="24"/>
        </w:rPr>
        <w:t>,</w:t>
      </w:r>
      <w:r>
        <w:rPr>
          <w:rFonts w:ascii="Arial" w:hAnsi="Arial" w:cs="Arial"/>
          <w:sz w:val="24"/>
          <w:szCs w:val="24"/>
        </w:rPr>
        <w:t xml:space="preserve"> ubicados en barrios periféricos y con un contexto socioeconómico más vulnerable, la valoración media se situó entre </w:t>
      </w:r>
      <w:r>
        <w:rPr>
          <w:rFonts w:ascii="Arial" w:hAnsi="Arial" w:cs="Arial"/>
          <w:b/>
          <w:bCs/>
          <w:sz w:val="24"/>
          <w:szCs w:val="24"/>
        </w:rPr>
        <w:t>3-4 puntos</w:t>
      </w:r>
      <w:r>
        <w:rPr>
          <w:rFonts w:ascii="Arial" w:hAnsi="Arial" w:cs="Arial"/>
          <w:sz w:val="24"/>
          <w:szCs w:val="24"/>
        </w:rPr>
        <w:t>. En estos casos, parte del alumnado presentó dificultades durante el desarrollo de los talleres, manifestando opiniones críticas hacia los contenidos tratados, incluyendo la negación de la existencia de la violencia de género y posturas contrarias a la igualdad y, en general, al feminismo.</w:t>
      </w:r>
    </w:p>
    <w:p>
      <w:pPr>
        <w:tabs>
          <w:tab w:val="left" w:pos="1080"/>
          <w:tab w:val="left" w:pos="1440"/>
        </w:tabs>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b/>
          <w:bCs/>
          <w:color w:val="000000"/>
          <w:sz w:val="24"/>
          <w:szCs w:val="24"/>
        </w:rPr>
      </w:pPr>
    </w:p>
    <w:p>
      <w:pPr>
        <w:suppressAutoHyphens/>
        <w:autoSpaceDN w:val="0"/>
        <w:spacing w:after="0" w:line="360" w:lineRule="auto"/>
        <w:jc w:val="both"/>
        <w:textAlignment w:val="baseline"/>
        <w:rPr>
          <w:rFonts w:ascii="Arial" w:eastAsia="Times New Roman" w:hAnsi="Arial" w:cs="Arial"/>
          <w:i/>
          <w:sz w:val="24"/>
          <w:szCs w:val="24"/>
        </w:rPr>
      </w:pPr>
      <w:r>
        <w:rPr>
          <w:rFonts w:ascii="Arial" w:eastAsia="Times New Roman" w:hAnsi="Arial" w:cs="Arial"/>
          <w:b/>
          <w:sz w:val="24"/>
          <w:szCs w:val="24"/>
        </w:rPr>
        <w:t xml:space="preserve">2. </w:t>
      </w:r>
      <w:r>
        <w:rPr>
          <w:rFonts w:ascii="Arial" w:eastAsia="Times New Roman" w:hAnsi="Arial" w:cs="Arial"/>
          <w:b/>
          <w:i/>
          <w:sz w:val="24"/>
          <w:szCs w:val="24"/>
        </w:rPr>
        <w:t>Actividades de difusión y formación, especialmente con agentes y entidades</w:t>
      </w:r>
      <w:r>
        <w:rPr>
          <w:rFonts w:ascii="Arial" w:eastAsia="Times New Roman" w:hAnsi="Arial" w:cs="Arial"/>
          <w:i/>
          <w:sz w:val="24"/>
          <w:szCs w:val="24"/>
        </w:rPr>
        <w:t xml:space="preserve"> </w:t>
      </w:r>
      <w:r>
        <w:rPr>
          <w:rFonts w:ascii="Arial" w:eastAsia="Times New Roman" w:hAnsi="Arial" w:cs="Arial"/>
          <w:b/>
          <w:i/>
          <w:sz w:val="24"/>
          <w:szCs w:val="24"/>
        </w:rPr>
        <w:t>insertas en la red comunitaria sobre la realidad e intervención integral sobre la violencia de género por prostitución y trata de mujeres con fines de explotación</w:t>
      </w:r>
      <w:r>
        <w:rPr>
          <w:rFonts w:ascii="Arial" w:eastAsia="Times New Roman" w:hAnsi="Arial" w:cs="Arial"/>
          <w:i/>
          <w:sz w:val="24"/>
          <w:szCs w:val="24"/>
        </w:rPr>
        <w:t>.</w:t>
      </w:r>
    </w:p>
    <w:p>
      <w:p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b/>
          <w:i/>
          <w:sz w:val="24"/>
          <w:szCs w:val="24"/>
        </w:rPr>
        <w:t xml:space="preserve"> </w:t>
      </w:r>
    </w:p>
    <w:p>
      <w:p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b/>
          <w:sz w:val="24"/>
          <w:szCs w:val="24"/>
        </w:rPr>
        <w:t>Se han impartido un total de</w:t>
      </w:r>
      <w:r>
        <w:rPr>
          <w:rFonts w:ascii="Arial" w:eastAsia="Times New Roman" w:hAnsi="Arial" w:cs="Arial"/>
          <w:sz w:val="24"/>
          <w:szCs w:val="24"/>
        </w:rPr>
        <w:t xml:space="preserve"> </w:t>
      </w:r>
      <w:r>
        <w:rPr>
          <w:rFonts w:ascii="Arial" w:eastAsia="Times New Roman" w:hAnsi="Arial" w:cs="Arial"/>
          <w:b/>
          <w:sz w:val="24"/>
          <w:szCs w:val="24"/>
        </w:rPr>
        <w:t>12 formaciones</w:t>
      </w:r>
      <w:r>
        <w:rPr>
          <w:rFonts w:ascii="Arial" w:eastAsia="Times New Roman" w:hAnsi="Arial" w:cs="Arial"/>
          <w:sz w:val="24"/>
          <w:szCs w:val="24"/>
        </w:rPr>
        <w:t xml:space="preserve"> a diferentes entidades sociales y administración pública, </w:t>
      </w:r>
      <w:r>
        <w:rPr>
          <w:rFonts w:ascii="Arial" w:eastAsia="Times New Roman" w:hAnsi="Arial" w:cs="Arial"/>
          <w:b/>
          <w:sz w:val="24"/>
          <w:szCs w:val="24"/>
        </w:rPr>
        <w:t xml:space="preserve">con 277 asistentes </w:t>
      </w:r>
      <w:r>
        <w:rPr>
          <w:rFonts w:ascii="Arial" w:eastAsia="Times New Roman" w:hAnsi="Arial" w:cs="Arial"/>
          <w:sz w:val="24"/>
          <w:szCs w:val="24"/>
        </w:rPr>
        <w:t xml:space="preserve">vinculados/as al tercer sector, fuerzas y cuerpos de seguridad del Estado y trabajadores/as que mantienen contacto con mujeres en situación de prostitución y posibles víctimas de trata con fines de explotación sexual.    </w:t>
      </w:r>
    </w:p>
    <w:p>
      <w:pPr>
        <w:suppressAutoHyphens/>
        <w:autoSpaceDN w:val="0"/>
        <w:spacing w:after="0" w:line="360" w:lineRule="auto"/>
        <w:jc w:val="both"/>
        <w:textAlignment w:val="baseline"/>
        <w:rPr>
          <w:rFonts w:ascii="Arial" w:hAnsi="Arial" w:cs="Arial"/>
          <w:sz w:val="24"/>
          <w:szCs w:val="24"/>
        </w:rPr>
      </w:pPr>
    </w:p>
    <w:tbl>
      <w:tblPr>
        <w:tblW w:w="9209" w:type="dxa"/>
        <w:tblInd w:w="5" w:type="dxa"/>
        <w:tblCellMar>
          <w:left w:w="10" w:type="dxa"/>
          <w:right w:w="10" w:type="dxa"/>
        </w:tblCellMar>
        <w:tblLook w:val="0000" w:firstRow="0" w:lastRow="0" w:firstColumn="0" w:lastColumn="0" w:noHBand="0" w:noVBand="0"/>
      </w:tblPr>
      <w:tblGrid>
        <w:gridCol w:w="9209"/>
      </w:tblGrid>
      <w:tr>
        <w:trPr>
          <w:trHeight w:val="456"/>
        </w:trPr>
        <w:tc>
          <w:tcPr>
            <w:tcW w:w="9209" w:type="dxa"/>
            <w:shd w:val="clear" w:color="auto" w:fill="auto"/>
            <w:noWrap/>
            <w:tcMar>
              <w:top w:w="0" w:type="dxa"/>
              <w:left w:w="70" w:type="dxa"/>
              <w:bottom w:w="0" w:type="dxa"/>
              <w:right w:w="70" w:type="dxa"/>
            </w:tcMar>
            <w:vAlign w:val="bottom"/>
          </w:tcPr>
          <w:p>
            <w:pPr>
              <w:autoSpaceDN w:val="0"/>
              <w:spacing w:after="160" w:line="360" w:lineRule="auto"/>
              <w:jc w:val="both"/>
              <w:textAlignment w:val="baseline"/>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Las ponencias formativas se realizan en diferentes puntos de la isla de Gran Canaria</w:t>
            </w:r>
            <w:r>
              <w:rPr>
                <w:rFonts w:ascii="Arial" w:eastAsia="Times New Roman" w:hAnsi="Arial" w:cs="Arial"/>
                <w:b/>
                <w:color w:val="000000"/>
                <w:sz w:val="24"/>
                <w:szCs w:val="24"/>
                <w:lang w:eastAsia="es-ES"/>
              </w:rPr>
              <w:t>,</w:t>
            </w:r>
            <w:r>
              <w:rPr>
                <w:rFonts w:ascii="Arial" w:eastAsia="Times New Roman" w:hAnsi="Arial" w:cs="Arial"/>
                <w:color w:val="000000"/>
                <w:sz w:val="24"/>
                <w:szCs w:val="24"/>
                <w:lang w:eastAsia="es-ES"/>
              </w:rPr>
              <w:t xml:space="preserve"> donde Las Palmas de Gran Canaria presenta el mayor porcentaje, también realizándose de forma online para que empleados/as del resto de las islas puedan participar en las acciones impartidas.</w:t>
            </w:r>
          </w:p>
          <w:p>
            <w:pPr>
              <w:autoSpaceDN w:val="0"/>
              <w:spacing w:after="160" w:line="360" w:lineRule="auto"/>
              <w:ind w:left="-76"/>
              <w:jc w:val="both"/>
              <w:textAlignment w:val="baseline"/>
              <w:rPr>
                <w:rFonts w:ascii="Arial" w:hAnsi="Arial" w:cs="Arial"/>
                <w:sz w:val="24"/>
                <w:szCs w:val="24"/>
              </w:rPr>
            </w:pPr>
            <w:r>
              <w:rPr>
                <w:rFonts w:ascii="Arial" w:eastAsia="Times New Roman" w:hAnsi="Arial" w:cs="Arial"/>
                <w:color w:val="000000"/>
                <w:sz w:val="24"/>
                <w:szCs w:val="24"/>
                <w:lang w:eastAsia="es-ES"/>
              </w:rPr>
              <w:t>Por otro lado, debido a la alta demanda y peticiones de formación se llega a desplazar a Fuerteventura, donde se realizan formaciones a la administración pública de diferentes ámbitos, capacitando a los profesionales de las áreas ante posibles captaciones de trata y en líneas generales, sensibilización sobre el colectivo con el que se interviene, dando pautas sobre detección, intervención y acompañamiento.</w:t>
            </w:r>
          </w:p>
        </w:tc>
      </w:tr>
      <w:tr>
        <w:trPr>
          <w:trHeight w:val="456"/>
        </w:trPr>
        <w:tc>
          <w:tcPr>
            <w:tcW w:w="9209" w:type="dxa"/>
            <w:shd w:val="clear" w:color="auto" w:fill="auto"/>
            <w:noWrap/>
            <w:tcMar>
              <w:top w:w="0" w:type="dxa"/>
              <w:left w:w="70" w:type="dxa"/>
              <w:bottom w:w="0" w:type="dxa"/>
              <w:right w:w="70" w:type="dxa"/>
            </w:tcMar>
            <w:vAlign w:val="bottom"/>
          </w:tcPr>
          <w:p>
            <w:pPr>
              <w:autoSpaceDN w:val="0"/>
              <w:spacing w:after="0" w:line="240" w:lineRule="auto"/>
              <w:ind w:left="-502"/>
              <w:jc w:val="center"/>
              <w:rPr>
                <w:rFonts w:ascii="Arial" w:hAnsi="Arial" w:cs="Arial"/>
                <w:sz w:val="24"/>
                <w:szCs w:val="24"/>
              </w:rPr>
            </w:pPr>
            <w:r>
              <w:rPr>
                <w:rFonts w:ascii="Arial" w:hAnsi="Arial" w:cs="Arial"/>
                <w:sz w:val="24"/>
                <w:szCs w:val="24"/>
              </w:rPr>
              <w:lastRenderedPageBreak/>
              <w:t xml:space="preserve">             </w:t>
            </w:r>
            <w:r>
              <w:rPr>
                <w:rFonts w:ascii="Arial" w:hAnsi="Arial" w:cs="Arial"/>
                <w:noProof/>
                <w:sz w:val="24"/>
                <w:szCs w:val="24"/>
                <w:lang w:eastAsia="es-ES"/>
              </w:rPr>
              <w:drawing>
                <wp:inline distT="0" distB="0" distL="0" distR="0">
                  <wp:extent cx="4924425" cy="2838450"/>
                  <wp:effectExtent l="0" t="0" r="9525" b="0"/>
                  <wp:docPr id="6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tc>
      </w:tr>
    </w:tbl>
    <w:p>
      <w:pPr>
        <w:suppressAutoHyphens/>
        <w:autoSpaceDN w:val="0"/>
        <w:spacing w:after="0"/>
        <w:jc w:val="both"/>
        <w:textAlignment w:val="baseline"/>
        <w:rPr>
          <w:rFonts w:ascii="Arial" w:hAnsi="Arial" w:cs="Arial"/>
          <w:sz w:val="24"/>
          <w:szCs w:val="24"/>
        </w:rPr>
      </w:pPr>
      <w:r>
        <w:rPr>
          <w:rFonts w:ascii="Arial" w:eastAsia="Times New Roman" w:hAnsi="Arial" w:cs="Arial"/>
          <w:sz w:val="24"/>
          <w:szCs w:val="24"/>
        </w:rPr>
        <w:t xml:space="preserve">A continuación, se presentan todas las acciones realizadas durante el presente año:  </w:t>
      </w:r>
    </w:p>
    <w:p>
      <w:pPr>
        <w:suppressAutoHyphens/>
        <w:autoSpaceDN w:val="0"/>
        <w:spacing w:after="0"/>
        <w:jc w:val="both"/>
        <w:textAlignment w:val="baseline"/>
        <w:rPr>
          <w:rFonts w:ascii="Arial" w:eastAsia="Times New Roman" w:hAnsi="Arial" w:cs="Arial"/>
          <w:sz w:val="24"/>
          <w:szCs w:val="24"/>
        </w:rPr>
      </w:pPr>
    </w:p>
    <w:tbl>
      <w:tblPr>
        <w:tblW w:w="10631" w:type="dxa"/>
        <w:jc w:val="center"/>
        <w:tblLayout w:type="fixed"/>
        <w:tblCellMar>
          <w:left w:w="10" w:type="dxa"/>
          <w:right w:w="10" w:type="dxa"/>
        </w:tblCellMar>
        <w:tblLook w:val="0000" w:firstRow="0" w:lastRow="0" w:firstColumn="0" w:lastColumn="0" w:noHBand="0" w:noVBand="0"/>
      </w:tblPr>
      <w:tblGrid>
        <w:gridCol w:w="1843"/>
        <w:gridCol w:w="1554"/>
        <w:gridCol w:w="2557"/>
        <w:gridCol w:w="1559"/>
        <w:gridCol w:w="1617"/>
        <w:gridCol w:w="1501"/>
      </w:tblGrid>
      <w:tr>
        <w:trPr>
          <w:trHeight w:val="68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jc w:val="center"/>
              <w:textAlignment w:val="baseline"/>
              <w:rPr>
                <w:rFonts w:ascii="Arial" w:hAnsi="Arial" w:cs="Arial"/>
                <w:b/>
                <w:bCs/>
                <w:color w:val="FFFFFF"/>
                <w:sz w:val="20"/>
                <w:szCs w:val="20"/>
              </w:rPr>
            </w:pPr>
            <w:r>
              <w:rPr>
                <w:rFonts w:ascii="Arial" w:hAnsi="Arial" w:cs="Arial"/>
                <w:b/>
                <w:bCs/>
                <w:color w:val="FFFFFF"/>
                <w:sz w:val="20"/>
                <w:szCs w:val="20"/>
              </w:rPr>
              <w:t>INSTITUCIÓN</w:t>
            </w:r>
          </w:p>
        </w:tc>
        <w:tc>
          <w:tcPr>
            <w:tcW w:w="1554"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suppressAutoHyphens/>
              <w:autoSpaceDN w:val="0"/>
              <w:spacing w:line="240" w:lineRule="auto"/>
              <w:jc w:val="center"/>
              <w:textAlignment w:val="baseline"/>
              <w:rPr>
                <w:rFonts w:ascii="Arial" w:hAnsi="Arial" w:cs="Arial"/>
                <w:b/>
                <w:bCs/>
                <w:color w:val="FFFFFF"/>
                <w:sz w:val="20"/>
                <w:szCs w:val="20"/>
              </w:rPr>
            </w:pPr>
            <w:r>
              <w:rPr>
                <w:rFonts w:ascii="Arial" w:hAnsi="Arial" w:cs="Arial"/>
                <w:b/>
                <w:bCs/>
                <w:color w:val="FFFFFF"/>
                <w:sz w:val="20"/>
                <w:szCs w:val="20"/>
              </w:rPr>
              <w:t>PERSONAS DESTINATARIAS</w:t>
            </w:r>
          </w:p>
        </w:tc>
        <w:tc>
          <w:tcPr>
            <w:tcW w:w="2557"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jc w:val="center"/>
              <w:textAlignment w:val="baseline"/>
              <w:rPr>
                <w:rFonts w:ascii="Arial" w:hAnsi="Arial" w:cs="Arial"/>
                <w:b/>
                <w:bCs/>
                <w:color w:val="FFFFFF"/>
                <w:sz w:val="20"/>
                <w:szCs w:val="20"/>
              </w:rPr>
            </w:pPr>
            <w:r>
              <w:rPr>
                <w:rFonts w:ascii="Arial" w:hAnsi="Arial" w:cs="Arial"/>
                <w:b/>
                <w:bCs/>
                <w:color w:val="FFFFFF"/>
                <w:sz w:val="20"/>
                <w:szCs w:val="20"/>
              </w:rPr>
              <w:t>TEMÁTICA</w:t>
            </w:r>
          </w:p>
        </w:tc>
        <w:tc>
          <w:tcPr>
            <w:tcW w:w="1559"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jc w:val="center"/>
              <w:textAlignment w:val="baseline"/>
              <w:rPr>
                <w:rFonts w:ascii="Arial" w:hAnsi="Arial" w:cs="Arial"/>
                <w:b/>
                <w:bCs/>
                <w:color w:val="FFFFFF"/>
                <w:sz w:val="20"/>
                <w:szCs w:val="20"/>
              </w:rPr>
            </w:pPr>
            <w:r>
              <w:rPr>
                <w:rFonts w:ascii="Arial" w:hAnsi="Arial" w:cs="Arial"/>
                <w:b/>
                <w:bCs/>
                <w:color w:val="FFFFFF"/>
                <w:sz w:val="20"/>
                <w:szCs w:val="20"/>
              </w:rPr>
              <w:t>FECHA</w:t>
            </w:r>
          </w:p>
        </w:tc>
        <w:tc>
          <w:tcPr>
            <w:tcW w:w="1617"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jc w:val="center"/>
              <w:textAlignment w:val="baseline"/>
              <w:rPr>
                <w:rFonts w:ascii="Arial" w:hAnsi="Arial" w:cs="Arial"/>
                <w:b/>
                <w:bCs/>
                <w:color w:val="FFFFFF"/>
                <w:sz w:val="20"/>
                <w:szCs w:val="20"/>
              </w:rPr>
            </w:pPr>
            <w:r>
              <w:rPr>
                <w:rFonts w:ascii="Arial" w:hAnsi="Arial" w:cs="Arial"/>
                <w:b/>
                <w:bCs/>
                <w:color w:val="FFFFFF"/>
                <w:sz w:val="20"/>
                <w:szCs w:val="20"/>
              </w:rPr>
              <w:t>LOCALIZACIÓN</w:t>
            </w:r>
          </w:p>
        </w:tc>
        <w:tc>
          <w:tcPr>
            <w:tcW w:w="1501"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suppressAutoHyphens/>
              <w:autoSpaceDN w:val="0"/>
              <w:jc w:val="center"/>
              <w:textAlignment w:val="baseline"/>
              <w:rPr>
                <w:rFonts w:ascii="Arial" w:hAnsi="Arial" w:cs="Arial"/>
                <w:b/>
                <w:bCs/>
                <w:color w:val="FFFFFF"/>
                <w:sz w:val="20"/>
                <w:szCs w:val="20"/>
              </w:rPr>
            </w:pPr>
            <w:r>
              <w:rPr>
                <w:rFonts w:ascii="Arial" w:hAnsi="Arial" w:cs="Arial"/>
                <w:b/>
                <w:bCs/>
                <w:color w:val="FFFFFF"/>
                <w:sz w:val="20"/>
                <w:szCs w:val="20"/>
              </w:rPr>
              <w:t>TOTAL PARTICIPANTES</w:t>
            </w:r>
          </w:p>
        </w:tc>
      </w:tr>
      <w:tr>
        <w:trPr>
          <w:trHeight w:val="68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Ecca Edu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Docentes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Ecca Edu Telde</w:t>
            </w:r>
          </w:p>
        </w:tc>
        <w:tc>
          <w:tcPr>
            <w:tcW w:w="255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Formación Docentes</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24/01/2025</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Telde</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10</w:t>
            </w:r>
          </w:p>
        </w:tc>
      </w:tr>
      <w:tr>
        <w:trPr>
          <w:trHeight w:val="68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CEP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Formación Profesorado</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Docentes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CEP</w:t>
            </w:r>
          </w:p>
        </w:tc>
        <w:tc>
          <w:tcPr>
            <w:tcW w:w="255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Formación Profesorado RRSS, P, Prostitución y Trata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20/2/2025</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25</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ICI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Centros de Crisis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24 horas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Equipo</w:t>
            </w:r>
          </w:p>
          <w:p>
            <w:pPr>
              <w:autoSpaceDN w:val="0"/>
              <w:spacing w:after="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Interdisciplinar</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12/05/2025</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Online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CA Canarias</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25</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Fundación Main</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Equipo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Interdisciplinar</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27/05/2025</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43</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lastRenderedPageBreak/>
              <w:t xml:space="preserve">Ayuntamiento Santa Lucía  y Centro de Salud Doctoral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Personal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Santa Lucía</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20/6/2025</w:t>
            </w:r>
          </w:p>
        </w:tc>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Santa Lucía</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12</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ASPROINFA</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Equipo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Interdisciplinar</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29/07/2025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35</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Cabildo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Fuerteventura</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Funcionariado,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profesionales</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17/10/2025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FTV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Puerto del Rosario</w:t>
            </w:r>
          </w:p>
        </w:tc>
        <w:tc>
          <w:tcPr>
            <w:tcW w:w="150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27</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Nuevo Futuro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La Paterna</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Equipo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Interdisciplinar</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21/10/2025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12</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Save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The Children</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Equipo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Interdisciplinar</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22/10/2025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10</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 xml:space="preserve">Centros Salud </w:t>
            </w:r>
          </w:p>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Fuerteventura</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Funcionariado,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profesionales</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7/11/2025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FTV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Puerto del Rosario</w:t>
            </w:r>
          </w:p>
        </w:tc>
        <w:tc>
          <w:tcPr>
            <w:tcW w:w="150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8</w:t>
            </w:r>
          </w:p>
        </w:tc>
      </w:tr>
      <w:tr>
        <w:trPr>
          <w:trHeight w:val="1824"/>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t>UGT</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 xml:space="preserve">Población  </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General</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Prostitución y VT con fines de explotación sexual - desde la sensibilización, detección e intervención</w:t>
            </w:r>
          </w:p>
        </w:tc>
        <w:tc>
          <w:tcPr>
            <w:tcW w:w="155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24/11/2025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50</w:t>
            </w:r>
          </w:p>
        </w:tc>
      </w:tr>
      <w:tr>
        <w:trPr>
          <w:trHeight w:val="1596"/>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0"/>
                <w:szCs w:val="20"/>
                <w:lang w:eastAsia="es-ES"/>
              </w:rPr>
            </w:pPr>
            <w:r>
              <w:rPr>
                <w:rFonts w:ascii="Arial" w:eastAsia="Times New Roman" w:hAnsi="Arial" w:cs="Arial"/>
                <w:b/>
                <w:color w:val="000000"/>
                <w:sz w:val="20"/>
                <w:szCs w:val="20"/>
                <w:lang w:eastAsia="es-ES"/>
              </w:rPr>
              <w:lastRenderedPageBreak/>
              <w:t>GESPLAN</w:t>
            </w:r>
          </w:p>
        </w:tc>
        <w:tc>
          <w:tcPr>
            <w:tcW w:w="155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Población General</w:t>
            </w:r>
          </w:p>
        </w:tc>
        <w:tc>
          <w:tcPr>
            <w:tcW w:w="255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II Jornadas de Género en el ámbito Urbano, Urbanismo y Planificación Territorial</w:t>
            </w:r>
          </w:p>
        </w:tc>
        <w:tc>
          <w:tcPr>
            <w:tcW w:w="155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04/12/2025</w:t>
            </w:r>
          </w:p>
        </w:tc>
        <w:tc>
          <w:tcPr>
            <w:tcW w:w="161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Las Palmas de G.C.</w:t>
            </w:r>
          </w:p>
        </w:tc>
        <w:tc>
          <w:tcPr>
            <w:tcW w:w="1501" w:type="dxa"/>
            <w:tcBorders>
              <w:top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20</w:t>
            </w:r>
          </w:p>
        </w:tc>
      </w:tr>
      <w:tr>
        <w:trPr>
          <w:trHeight w:val="348"/>
          <w:jc w:val="center"/>
        </w:trPr>
        <w:tc>
          <w:tcPr>
            <w:tcW w:w="10631" w:type="dxa"/>
            <w:gridSpan w:val="6"/>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jc w:val="center"/>
              <w:rPr>
                <w:rFonts w:ascii="Arial" w:hAnsi="Arial" w:cs="Arial"/>
                <w:sz w:val="20"/>
                <w:szCs w:val="20"/>
              </w:rPr>
            </w:pPr>
            <w:r>
              <w:rPr>
                <w:rFonts w:ascii="Arial" w:eastAsia="Times New Roman" w:hAnsi="Arial" w:cs="Arial"/>
                <w:b/>
                <w:color w:val="FFFFFF"/>
                <w:sz w:val="20"/>
                <w:szCs w:val="20"/>
                <w:lang w:eastAsia="es-ES"/>
              </w:rPr>
              <w:t>277 PARTICIPANTES</w:t>
            </w:r>
          </w:p>
        </w:tc>
      </w:tr>
    </w:tbl>
    <w:p>
      <w:pPr>
        <w:suppressAutoHyphens/>
        <w:autoSpaceDN w:val="0"/>
        <w:spacing w:after="0"/>
        <w:jc w:val="both"/>
        <w:textAlignment w:val="baseline"/>
        <w:rPr>
          <w:rFonts w:ascii="Arial" w:eastAsia="Times New Roman" w:hAnsi="Arial" w:cs="Arial"/>
          <w:b/>
          <w:sz w:val="24"/>
          <w:szCs w:val="24"/>
        </w:rPr>
      </w:pPr>
      <w:r>
        <w:rPr>
          <w:rFonts w:ascii="Arial" w:eastAsia="Times New Roman" w:hAnsi="Arial" w:cs="Arial"/>
          <w:b/>
          <w:sz w:val="24"/>
          <w:szCs w:val="24"/>
        </w:rPr>
        <w:t xml:space="preserve"> </w:t>
      </w:r>
    </w:p>
    <w:p>
      <w:pPr>
        <w:suppressAutoHyphens/>
        <w:autoSpaceDN w:val="0"/>
        <w:spacing w:after="0" w:line="360" w:lineRule="auto"/>
        <w:jc w:val="both"/>
        <w:textAlignment w:val="baseline"/>
        <w:rPr>
          <w:rFonts w:ascii="Arial" w:hAnsi="Arial" w:cs="Arial"/>
          <w:sz w:val="24"/>
          <w:szCs w:val="24"/>
        </w:rPr>
      </w:pPr>
      <w:r>
        <w:rPr>
          <w:rFonts w:ascii="Arial" w:eastAsia="Times New Roman" w:hAnsi="Arial" w:cs="Arial"/>
          <w:sz w:val="24"/>
          <w:szCs w:val="24"/>
        </w:rPr>
        <w:t>Comparando los datos con el año anterior, a pesar de haber desarrollado más accione formativas ha habido menor número de participantes. Relacionado con esto, algunos aspectos a destacar este año son:</w:t>
      </w:r>
    </w:p>
    <w:p>
      <w:pPr>
        <w:suppressAutoHyphens/>
        <w:autoSpaceDN w:val="0"/>
        <w:spacing w:after="0" w:line="360" w:lineRule="auto"/>
        <w:jc w:val="both"/>
        <w:textAlignment w:val="baseline"/>
        <w:rPr>
          <w:rFonts w:ascii="Arial" w:eastAsia="Times New Roman" w:hAnsi="Arial" w:cs="Arial"/>
          <w:sz w:val="24"/>
          <w:szCs w:val="24"/>
        </w:rPr>
      </w:pPr>
    </w:p>
    <w:p>
      <w:pPr>
        <w:numPr>
          <w:ilvl w:val="0"/>
          <w:numId w:val="116"/>
        </w:numPr>
        <w:suppressAutoHyphens/>
        <w:autoSpaceDN w:val="0"/>
        <w:spacing w:after="0" w:line="360" w:lineRule="auto"/>
        <w:jc w:val="both"/>
        <w:textAlignment w:val="baseline"/>
        <w:rPr>
          <w:rFonts w:ascii="Arial" w:hAnsi="Arial" w:cs="Arial"/>
          <w:sz w:val="24"/>
          <w:szCs w:val="24"/>
        </w:rPr>
      </w:pPr>
      <w:r>
        <w:rPr>
          <w:rFonts w:ascii="Arial" w:eastAsia="Times New Roman" w:hAnsi="Arial" w:cs="Arial"/>
          <w:sz w:val="24"/>
          <w:szCs w:val="24"/>
        </w:rPr>
        <w:t>Incremento del número de entidades públicas y privadas solicitantes: aunque muchas de estas entidades cuentan con plantillas reducidas, el número de centros que demandan nuestras actuaciones ha aumentado de manera significativa. Este hecho evidencia el progresivo reconocimiento de nuestra entidad como referente en el ámbito de la prostitución y la trata, avalado por nuestra trayectoria, acreditación y la especialización del equipo profesional. La expansión territorial de la intervención ha supuesto una mayor diversificación de los centros atendidos, aun cuando el número de profesionales por entidad sea menor, llevando incluso al</w:t>
      </w:r>
      <w:r>
        <w:rPr>
          <w:rFonts w:ascii="Arial" w:eastAsia="Times New Roman" w:hAnsi="Arial" w:cs="Arial"/>
          <w:b/>
          <w:sz w:val="24"/>
          <w:szCs w:val="24"/>
        </w:rPr>
        <w:t xml:space="preserve"> </w:t>
      </w:r>
      <w:r>
        <w:rPr>
          <w:rFonts w:ascii="Arial" w:eastAsia="Times New Roman" w:hAnsi="Arial" w:cs="Arial"/>
          <w:sz w:val="24"/>
          <w:szCs w:val="24"/>
        </w:rPr>
        <w:t>equipo a</w:t>
      </w:r>
      <w:r>
        <w:rPr>
          <w:rFonts w:ascii="Arial" w:eastAsia="Times New Roman" w:hAnsi="Arial" w:cs="Arial"/>
          <w:b/>
          <w:sz w:val="24"/>
          <w:szCs w:val="24"/>
        </w:rPr>
        <w:t xml:space="preserve"> </w:t>
      </w:r>
      <w:r>
        <w:rPr>
          <w:rFonts w:ascii="Arial" w:eastAsia="Times New Roman" w:hAnsi="Arial" w:cs="Arial"/>
          <w:sz w:val="24"/>
          <w:szCs w:val="24"/>
        </w:rPr>
        <w:t>realizar formaciones en dos ocasiones a la isla de Fuerteventura, a técnicos del Cabildo y Ayuntamiento de Puerto del Rosario.</w:t>
      </w:r>
    </w:p>
    <w:p>
      <w:pPr>
        <w:suppressAutoHyphens/>
        <w:autoSpaceDN w:val="0"/>
        <w:spacing w:after="0" w:line="360" w:lineRule="auto"/>
        <w:jc w:val="both"/>
        <w:textAlignment w:val="baseline"/>
        <w:rPr>
          <w:rFonts w:ascii="Arial" w:eastAsia="Times New Roman" w:hAnsi="Arial" w:cs="Arial"/>
          <w:sz w:val="24"/>
          <w:szCs w:val="24"/>
        </w:rPr>
      </w:pPr>
    </w:p>
    <w:p>
      <w:pPr>
        <w:numPr>
          <w:ilvl w:val="0"/>
          <w:numId w:val="116"/>
        </w:numPr>
        <w:suppressAutoHyphens/>
        <w:autoSpaceDN w:val="0"/>
        <w:spacing w:after="0" w:line="360" w:lineRule="auto"/>
        <w:jc w:val="both"/>
        <w:textAlignment w:val="baseline"/>
        <w:rPr>
          <w:rFonts w:ascii="Arial" w:hAnsi="Arial" w:cs="Arial"/>
          <w:sz w:val="24"/>
          <w:szCs w:val="24"/>
        </w:rPr>
      </w:pPr>
      <w:r>
        <w:rPr>
          <w:rFonts w:ascii="Arial" w:eastAsia="Times New Roman" w:hAnsi="Arial" w:cs="Arial"/>
          <w:sz w:val="24"/>
          <w:szCs w:val="24"/>
        </w:rPr>
        <w:t xml:space="preserve">Reducción de la participación en eventos de gran envergadura durante el periodo de ejecución, dando como resultado un menor número de invitaciones a jornadas y eventos formativos que permitían alcanzar cifras elevadas de asistentes. Esta circunstancia ha influido en la reducción de personas beneficiarias, priorizándose, no obstante, intervenciones más focalizadas a las necesidades específicas de los recursos solicitantes, lo que ha favorecido una mayor calidad e impacto de las acciones formativas.   </w:t>
      </w:r>
    </w:p>
    <w:p>
      <w:pPr>
        <w:suppressAutoHyphens/>
        <w:autoSpaceDN w:val="0"/>
        <w:spacing w:after="0" w:line="360" w:lineRule="auto"/>
        <w:ind w:left="360"/>
        <w:jc w:val="both"/>
        <w:textAlignment w:val="baseline"/>
        <w:rPr>
          <w:rFonts w:ascii="Arial" w:eastAsia="Times New Roman" w:hAnsi="Arial" w:cs="Arial"/>
          <w:sz w:val="24"/>
          <w:szCs w:val="24"/>
        </w:rPr>
      </w:pPr>
    </w:p>
    <w:p>
      <w:pPr>
        <w:numPr>
          <w:ilvl w:val="0"/>
          <w:numId w:val="116"/>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Se ha observado un aumento de solicitudes por parte de centros que requieren de formación ante el alza de casos de capacitación de trata y prostitución en centros, </w:t>
      </w:r>
      <w:r>
        <w:rPr>
          <w:rFonts w:ascii="Arial" w:hAnsi="Arial" w:cs="Arial"/>
          <w:sz w:val="24"/>
          <w:szCs w:val="24"/>
        </w:rPr>
        <w:lastRenderedPageBreak/>
        <w:t xml:space="preserve">demandando formación para identificar, abordar y orientar adecuadamente ante situaciones de captación y explotación sexual, especialmente en ámbitos de atención directa y en el trabajo con menores. Esta realidad pone de manifiesto la pertinencia de las acciones desarrolladas, alineadas con los objetivos de prevención, identificación temprana y fortalecimiento de las competencias profesionales.   </w:t>
      </w:r>
    </w:p>
    <w:p>
      <w:pPr>
        <w:suppressAutoHyphens/>
        <w:autoSpaceDN w:val="0"/>
        <w:spacing w:after="0" w:line="360" w:lineRule="auto"/>
        <w:ind w:left="720"/>
        <w:textAlignment w:val="baseline"/>
        <w:rPr>
          <w:rFonts w:ascii="Arial" w:eastAsia="Times New Roman" w:hAnsi="Arial" w:cs="Arial"/>
          <w:b/>
          <w:bCs/>
          <w:sz w:val="24"/>
          <w:szCs w:val="24"/>
        </w:rPr>
      </w:pPr>
    </w:p>
    <w:p>
      <w:pPr>
        <w:numPr>
          <w:ilvl w:val="0"/>
          <w:numId w:val="116"/>
        </w:numPr>
        <w:suppressAutoHyphens/>
        <w:autoSpaceDN w:val="0"/>
        <w:spacing w:after="0" w:line="360" w:lineRule="auto"/>
        <w:jc w:val="both"/>
        <w:textAlignment w:val="baseline"/>
        <w:rPr>
          <w:rFonts w:ascii="Arial" w:hAnsi="Arial" w:cs="Arial"/>
          <w:sz w:val="24"/>
          <w:szCs w:val="24"/>
        </w:rPr>
      </w:pPr>
      <w:r>
        <w:rPr>
          <w:rFonts w:ascii="Arial" w:eastAsia="Times New Roman" w:hAnsi="Arial" w:cs="Arial"/>
          <w:bCs/>
          <w:sz w:val="24"/>
          <w:szCs w:val="24"/>
        </w:rPr>
        <w:t>Participación institucional y sensibilización social:</w:t>
      </w:r>
      <w:r>
        <w:rPr>
          <w:rFonts w:ascii="Arial" w:eastAsia="Times New Roman" w:hAnsi="Arial" w:cs="Arial"/>
          <w:sz w:val="24"/>
          <w:szCs w:val="24"/>
        </w:rPr>
        <w:t xml:space="preserve"> durante el presente año, diversas Administraciones Públicas han invitado a la Entidad a visibilizar la realidad de un colectivo altamente invisibilizado, dirigiéndose a un público que desconocía por completo las situaciones de vulnerabilidad y las múltiples barreras que enfrentan las mujeres en contextos de prostitución o víctimas de trata. Estas acciones han favorecido el inicio de procesos de reflexión crítica y sensibilización social. </w:t>
      </w:r>
    </w:p>
    <w:p>
      <w:pPr>
        <w:suppressAutoHyphens/>
        <w:autoSpaceDN w:val="0"/>
        <w:spacing w:after="0" w:line="360" w:lineRule="auto"/>
        <w:jc w:val="both"/>
        <w:textAlignment w:val="baseline"/>
        <w:rPr>
          <w:rFonts w:ascii="Arial" w:eastAsia="Times New Roman" w:hAnsi="Arial" w:cs="Arial"/>
          <w:b/>
          <w:sz w:val="24"/>
          <w:szCs w:val="24"/>
        </w:rPr>
      </w:pPr>
    </w:p>
    <w:p>
      <w:pPr>
        <w:suppressAutoHyphens/>
        <w:autoSpaceDN w:val="0"/>
        <w:spacing w:after="0" w:line="360" w:lineRule="auto"/>
        <w:jc w:val="both"/>
        <w:textAlignment w:val="baseline"/>
        <w:rPr>
          <w:rFonts w:ascii="Arial" w:hAnsi="Arial" w:cs="Arial"/>
          <w:sz w:val="24"/>
          <w:szCs w:val="24"/>
        </w:rPr>
      </w:pPr>
      <w:r>
        <w:rPr>
          <w:rFonts w:ascii="Arial" w:eastAsia="Times New Roman" w:hAnsi="Arial" w:cs="Arial"/>
          <w:sz w:val="24"/>
          <w:szCs w:val="24"/>
        </w:rPr>
        <w:t>Por otro lado, se observa que los/as que han recibido formación, son mayormente mujeres, de mediana edad</w:t>
      </w:r>
      <w:r>
        <w:rPr>
          <w:rFonts w:ascii="Arial" w:eastAsia="Times New Roman" w:hAnsi="Arial" w:cs="Arial"/>
          <w:b/>
          <w:sz w:val="24"/>
          <w:szCs w:val="24"/>
        </w:rPr>
        <w:t>,</w:t>
      </w:r>
      <w:r>
        <w:rPr>
          <w:rFonts w:ascii="Arial" w:eastAsia="Times New Roman" w:hAnsi="Arial" w:cs="Arial"/>
          <w:sz w:val="24"/>
          <w:szCs w:val="24"/>
        </w:rPr>
        <w:t xml:space="preserve"> detalles muy característicos de profesionales del ámbito social.  </w:t>
      </w:r>
      <w:r>
        <w:rPr>
          <w:rFonts w:ascii="Arial" w:hAnsi="Arial" w:cs="Arial"/>
          <w:sz w:val="24"/>
          <w:szCs w:val="24"/>
        </w:rPr>
        <w:t xml:space="preserve">  </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ind w:left="-1134" w:right="-852"/>
        <w:jc w:val="center"/>
        <w:textAlignment w:val="baseline"/>
        <w:rPr>
          <w:rFonts w:ascii="Arial" w:hAnsi="Arial" w:cs="Arial"/>
          <w:sz w:val="24"/>
          <w:szCs w:val="24"/>
        </w:rPr>
      </w:pPr>
      <w:r>
        <w:rPr>
          <w:rFonts w:ascii="Arial" w:hAnsi="Arial" w:cs="Arial"/>
          <w:sz w:val="24"/>
          <w:szCs w:val="24"/>
        </w:rPr>
        <w:t xml:space="preserve">     </w:t>
      </w:r>
      <w:r>
        <w:rPr>
          <w:rFonts w:ascii="Arial" w:eastAsia="Times New Roman" w:hAnsi="Arial" w:cs="Arial"/>
          <w:b/>
          <w:bCs/>
          <w:noProof/>
          <w:color w:val="000000"/>
          <w:sz w:val="24"/>
          <w:szCs w:val="24"/>
          <w:lang w:eastAsia="es-ES"/>
        </w:rPr>
        <w:drawing>
          <wp:inline distT="0" distB="0" distL="0" distR="0">
            <wp:extent cx="5238750" cy="2390775"/>
            <wp:effectExtent l="0" t="0" r="0" b="9525"/>
            <wp:docPr id="61" name="Gráfico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suppressAutoHyphens/>
        <w:autoSpaceDN w:val="0"/>
        <w:spacing w:after="0"/>
        <w:ind w:left="-142" w:right="-852"/>
        <w:textAlignment w:val="baseline"/>
        <w:rPr>
          <w:rFonts w:ascii="Arial" w:hAnsi="Arial" w:cs="Arial"/>
          <w:sz w:val="24"/>
          <w:szCs w:val="24"/>
        </w:rPr>
      </w:pPr>
      <w:r>
        <w:rPr>
          <w:rFonts w:ascii="Arial" w:hAnsi="Arial" w:cs="Arial"/>
          <w:sz w:val="24"/>
          <w:szCs w:val="24"/>
        </w:rPr>
        <w:t xml:space="preserve"> </w:t>
      </w:r>
    </w:p>
    <w:p>
      <w:pPr>
        <w:suppressAutoHyphens/>
        <w:autoSpaceDN w:val="0"/>
        <w:spacing w:after="0" w:line="360" w:lineRule="auto"/>
        <w:jc w:val="both"/>
        <w:textAlignment w:val="baseline"/>
        <w:rPr>
          <w:rFonts w:ascii="Arial" w:eastAsia="Times New Roman" w:hAnsi="Arial" w:cs="Arial"/>
          <w:bCs/>
          <w:iCs/>
          <w:sz w:val="24"/>
          <w:szCs w:val="24"/>
        </w:rPr>
      </w:pPr>
      <w:r>
        <w:rPr>
          <w:rFonts w:ascii="Arial" w:eastAsia="Times New Roman" w:hAnsi="Arial" w:cs="Arial"/>
          <w:bCs/>
          <w:iCs/>
          <w:sz w:val="24"/>
          <w:szCs w:val="24"/>
        </w:rPr>
        <w:t>La participación y coordinación de Programa Oblatas Daniela en las formaciones y acciones de formación y sensibilización han sido fundamentales</w:t>
      </w:r>
      <w:r>
        <w:rPr>
          <w:rFonts w:ascii="Arial" w:eastAsia="Times New Roman" w:hAnsi="Arial" w:cs="Arial"/>
          <w:b/>
          <w:i/>
          <w:sz w:val="24"/>
          <w:szCs w:val="24"/>
        </w:rPr>
        <w:t xml:space="preserve">. </w:t>
      </w:r>
      <w:r>
        <w:rPr>
          <w:rFonts w:ascii="Arial" w:eastAsia="Times New Roman" w:hAnsi="Arial" w:cs="Arial"/>
          <w:bCs/>
          <w:iCs/>
          <w:sz w:val="24"/>
          <w:szCs w:val="24"/>
        </w:rPr>
        <w:t xml:space="preserve">Dar contestación a entidades e interesados/as en participar y mejorar sus conocimientos profesionales o </w:t>
      </w:r>
      <w:r>
        <w:rPr>
          <w:rFonts w:ascii="Arial" w:eastAsia="Times New Roman" w:hAnsi="Arial" w:cs="Arial"/>
          <w:bCs/>
          <w:iCs/>
          <w:sz w:val="24"/>
          <w:szCs w:val="24"/>
        </w:rPr>
        <w:lastRenderedPageBreak/>
        <w:t>desinformación mediante ponencias, mesas de debate u otras actuaciones han sido claves para dar respuesta a inquietudes, dudas y falta de información sobre el colectivo con el que trabaja la Entidad, además de dar a conocer sus funciones y actuaciones.</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eastAsia="Times New Roman" w:hAnsi="Arial" w:cs="Arial"/>
          <w:bCs/>
          <w:iCs/>
          <w:sz w:val="24"/>
          <w:szCs w:val="24"/>
        </w:rPr>
      </w:pPr>
      <w:r>
        <w:rPr>
          <w:rFonts w:ascii="Arial" w:eastAsia="Times New Roman" w:hAnsi="Arial" w:cs="Arial"/>
          <w:bCs/>
          <w:iCs/>
          <w:sz w:val="24"/>
          <w:szCs w:val="24"/>
        </w:rPr>
        <w:t xml:space="preserve">Las actividades desarrolladas en este apartado abarcan diversas temáticas, actuaciones y públicos objetivos, en función de la demanda, las problemáticas detectadas o los intereses identificados, dando respuesta a las necesidades planteadas por las personas asistentes a jornadas, debates o formaciones específicas.  </w:t>
      </w:r>
    </w:p>
    <w:p>
      <w:pPr>
        <w:suppressAutoHyphens/>
        <w:autoSpaceDN w:val="0"/>
        <w:spacing w:after="0" w:line="360" w:lineRule="auto"/>
        <w:jc w:val="both"/>
        <w:textAlignment w:val="baseline"/>
        <w:rPr>
          <w:rFonts w:ascii="Arial" w:eastAsia="Times New Roman" w:hAnsi="Arial" w:cs="Arial"/>
          <w:bCs/>
          <w:iCs/>
          <w:sz w:val="24"/>
          <w:szCs w:val="24"/>
        </w:rPr>
      </w:pPr>
    </w:p>
    <w:p>
      <w:pPr>
        <w:suppressAutoHyphens/>
        <w:autoSpaceDN w:val="0"/>
        <w:spacing w:after="0" w:line="360" w:lineRule="auto"/>
        <w:jc w:val="both"/>
        <w:textAlignment w:val="baseline"/>
        <w:rPr>
          <w:rFonts w:ascii="Arial" w:eastAsia="Times New Roman" w:hAnsi="Arial" w:cs="Arial"/>
          <w:bCs/>
          <w:iCs/>
          <w:sz w:val="24"/>
          <w:szCs w:val="24"/>
        </w:rPr>
      </w:pPr>
      <w:r>
        <w:rPr>
          <w:rFonts w:ascii="Arial" w:eastAsia="Times New Roman" w:hAnsi="Arial" w:cs="Arial"/>
          <w:bCs/>
          <w:iCs/>
          <w:sz w:val="24"/>
          <w:szCs w:val="24"/>
        </w:rPr>
        <w:t>Se presentan los puntos abordados y adaptados, según demanda, siempre actualizando datos mediante informes oficiales, estudios del área, para aportar calidad e información actualizada.</w:t>
      </w:r>
    </w:p>
    <w:p>
      <w:pPr>
        <w:suppressAutoHyphens/>
        <w:autoSpaceDN w:val="0"/>
        <w:spacing w:after="0" w:line="360" w:lineRule="auto"/>
        <w:jc w:val="both"/>
        <w:textAlignment w:val="baseline"/>
        <w:rPr>
          <w:rFonts w:ascii="Arial" w:eastAsia="Times New Roman" w:hAnsi="Arial" w:cs="Arial"/>
          <w:bCs/>
          <w:iCs/>
          <w:sz w:val="24"/>
          <w:szCs w:val="24"/>
        </w:rPr>
      </w:pPr>
    </w:p>
    <w:p>
      <w:pPr>
        <w:suppressAutoHyphens/>
        <w:autoSpaceDN w:val="0"/>
        <w:spacing w:after="0" w:line="360" w:lineRule="auto"/>
        <w:jc w:val="both"/>
        <w:textAlignment w:val="baseline"/>
        <w:rPr>
          <w:rFonts w:ascii="Arial" w:eastAsia="Times New Roman" w:hAnsi="Arial" w:cs="Arial"/>
          <w:bCs/>
          <w:iCs/>
          <w:sz w:val="24"/>
          <w:szCs w:val="24"/>
        </w:rPr>
      </w:pPr>
    </w:p>
    <w:p>
      <w:pPr>
        <w:suppressAutoHyphens/>
        <w:autoSpaceDN w:val="0"/>
        <w:spacing w:after="0"/>
        <w:jc w:val="both"/>
        <w:textAlignment w:val="baseline"/>
        <w:rPr>
          <w:rFonts w:ascii="Arial" w:eastAsia="Times New Roman" w:hAnsi="Arial" w:cs="Arial"/>
          <w:bCs/>
          <w:iCs/>
          <w:sz w:val="20"/>
          <w:szCs w:val="20"/>
        </w:rPr>
      </w:pPr>
    </w:p>
    <w:tbl>
      <w:tblPr>
        <w:tblW w:w="10495" w:type="dxa"/>
        <w:jc w:val="center"/>
        <w:tblCellMar>
          <w:left w:w="10" w:type="dxa"/>
          <w:right w:w="10" w:type="dxa"/>
        </w:tblCellMar>
        <w:tblLook w:val="0000" w:firstRow="0" w:lastRow="0" w:firstColumn="0" w:lastColumn="0" w:noHBand="0" w:noVBand="0"/>
      </w:tblPr>
      <w:tblGrid>
        <w:gridCol w:w="2689"/>
        <w:gridCol w:w="4404"/>
        <w:gridCol w:w="3402"/>
      </w:tblGrid>
      <w:tr>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tcPr>
          <w:p>
            <w:pPr>
              <w:suppressAutoHyphens/>
              <w:autoSpaceDN w:val="0"/>
              <w:spacing w:after="0"/>
              <w:textAlignment w:val="baseline"/>
              <w:rPr>
                <w:rFonts w:ascii="Arial" w:hAnsi="Arial" w:cs="Arial"/>
                <w:b/>
                <w:bCs/>
                <w:color w:val="FFFFFF"/>
                <w:sz w:val="20"/>
                <w:szCs w:val="20"/>
              </w:rPr>
            </w:pPr>
            <w:r>
              <w:rPr>
                <w:rFonts w:ascii="Arial" w:hAnsi="Arial" w:cs="Arial"/>
                <w:b/>
                <w:bCs/>
                <w:color w:val="FFFFFF"/>
                <w:sz w:val="20"/>
                <w:szCs w:val="20"/>
              </w:rPr>
              <w:t>INSTITUCIÓN</w:t>
            </w:r>
          </w:p>
        </w:tc>
        <w:tc>
          <w:tcPr>
            <w:tcW w:w="4404"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tcPr>
          <w:p>
            <w:pPr>
              <w:suppressAutoHyphens/>
              <w:autoSpaceDN w:val="0"/>
              <w:spacing w:after="0"/>
              <w:jc w:val="center"/>
              <w:textAlignment w:val="baseline"/>
              <w:rPr>
                <w:rFonts w:ascii="Arial" w:hAnsi="Arial" w:cs="Arial"/>
                <w:b/>
                <w:bCs/>
                <w:color w:val="FFFFFF"/>
                <w:sz w:val="20"/>
                <w:szCs w:val="20"/>
              </w:rPr>
            </w:pPr>
            <w:r>
              <w:rPr>
                <w:rFonts w:ascii="Arial" w:hAnsi="Arial" w:cs="Arial"/>
                <w:b/>
                <w:bCs/>
                <w:color w:val="FFFFFF"/>
                <w:sz w:val="20"/>
                <w:szCs w:val="20"/>
              </w:rPr>
              <w:t>TEMÁTICA</w:t>
            </w:r>
          </w:p>
        </w:tc>
        <w:tc>
          <w:tcPr>
            <w:tcW w:w="3402"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tcPr>
          <w:p>
            <w:pPr>
              <w:suppressAutoHyphens/>
              <w:autoSpaceDN w:val="0"/>
              <w:spacing w:after="0"/>
              <w:jc w:val="center"/>
              <w:textAlignment w:val="baseline"/>
              <w:rPr>
                <w:rFonts w:ascii="Arial" w:hAnsi="Arial" w:cs="Arial"/>
                <w:b/>
                <w:bCs/>
                <w:color w:val="FFFFFF"/>
                <w:sz w:val="20"/>
                <w:szCs w:val="20"/>
              </w:rPr>
            </w:pPr>
            <w:r>
              <w:rPr>
                <w:rFonts w:ascii="Arial" w:hAnsi="Arial" w:cs="Arial"/>
                <w:b/>
                <w:bCs/>
                <w:color w:val="FFFFFF"/>
                <w:sz w:val="20"/>
                <w:szCs w:val="20"/>
              </w:rPr>
              <w:t>DETALLES A DESTACAR</w:t>
            </w:r>
          </w:p>
        </w:tc>
      </w:tr>
      <w:tr>
        <w:trPr>
          <w:trHeight w:val="3945"/>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Cabildo Fuerteventura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Y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Atención Primaria  Fuerteventura</w:t>
            </w:r>
          </w:p>
        </w:tc>
        <w:tc>
          <w:tcPr>
            <w:tcW w:w="4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ind w:left="360"/>
              <w:jc w:val="both"/>
              <w:textAlignment w:val="baseline"/>
              <w:rPr>
                <w:rFonts w:ascii="Arial" w:hAnsi="Arial" w:cs="Arial"/>
                <w:sz w:val="20"/>
                <w:szCs w:val="20"/>
              </w:rPr>
            </w:pPr>
            <w:r>
              <w:rPr>
                <w:rFonts w:ascii="Arial" w:hAnsi="Arial" w:cs="Arial"/>
                <w:b/>
                <w:bCs/>
                <w:color w:val="000000"/>
                <w:sz w:val="20"/>
                <w:szCs w:val="20"/>
              </w:rPr>
              <w:t xml:space="preserve"> </w:t>
            </w:r>
          </w:p>
          <w:p>
            <w:pPr>
              <w:numPr>
                <w:ilvl w:val="0"/>
                <w:numId w:val="117"/>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Programa Oblatas Daniela: </w:t>
            </w:r>
            <w:r>
              <w:rPr>
                <w:rFonts w:ascii="Arial" w:hAnsi="Arial" w:cs="Arial"/>
                <w:bCs/>
                <w:color w:val="000000"/>
                <w:sz w:val="20"/>
                <w:szCs w:val="20"/>
              </w:rPr>
              <w:t>intervención y atención.</w:t>
            </w:r>
          </w:p>
          <w:p>
            <w:pPr>
              <w:numPr>
                <w:ilvl w:val="0"/>
                <w:numId w:val="117"/>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 xml:space="preserve">Fenomenología de la prostitución.  </w:t>
            </w:r>
          </w:p>
          <w:p>
            <w:pPr>
              <w:numPr>
                <w:ilvl w:val="0"/>
                <w:numId w:val="117"/>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 xml:space="preserve">VTSH con fines de explotación sexual (VTFES). </w:t>
            </w:r>
          </w:p>
          <w:p>
            <w:pPr>
              <w:numPr>
                <w:ilvl w:val="0"/>
                <w:numId w:val="117"/>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Entender los contextos: </w:t>
            </w:r>
            <w:r>
              <w:rPr>
                <w:rFonts w:ascii="Arial" w:hAnsi="Arial" w:cs="Arial"/>
                <w:bCs/>
                <w:color w:val="000000"/>
                <w:sz w:val="20"/>
                <w:szCs w:val="20"/>
              </w:rPr>
              <w:t>Fuerteventura y Contextos de deslocalización.</w:t>
            </w:r>
          </w:p>
          <w:p>
            <w:pPr>
              <w:numPr>
                <w:ilvl w:val="0"/>
                <w:numId w:val="117"/>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Pornografía, redes sociales y captación: </w:t>
            </w:r>
            <w:r>
              <w:rPr>
                <w:rFonts w:ascii="Arial" w:hAnsi="Arial" w:cs="Arial"/>
                <w:bCs/>
                <w:color w:val="000000"/>
                <w:sz w:val="20"/>
                <w:szCs w:val="20"/>
              </w:rPr>
              <w:t>amenazas e indicios.</w:t>
            </w:r>
          </w:p>
          <w:p>
            <w:pPr>
              <w:numPr>
                <w:ilvl w:val="0"/>
                <w:numId w:val="117"/>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Normativas y protocolos: detección, acompañamiento e intervención.</w:t>
            </w:r>
          </w:p>
          <w:p>
            <w:pPr>
              <w:numPr>
                <w:ilvl w:val="0"/>
                <w:numId w:val="117"/>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Entidades acreditadas.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 </w:t>
            </w:r>
          </w:p>
          <w:p>
            <w:pPr>
              <w:suppressAutoHyphens/>
              <w:autoSpaceDN w:val="0"/>
              <w:spacing w:after="0"/>
              <w:jc w:val="both"/>
              <w:textAlignment w:val="baseline"/>
              <w:rPr>
                <w:rFonts w:ascii="Arial" w:hAnsi="Arial" w:cs="Arial"/>
                <w:sz w:val="20"/>
                <w:szCs w:val="20"/>
              </w:rPr>
            </w:pPr>
            <w:r>
              <w:rPr>
                <w:rFonts w:ascii="Arial" w:hAnsi="Arial" w:cs="Arial"/>
                <w:bCs/>
                <w:color w:val="000000"/>
                <w:sz w:val="20"/>
                <w:szCs w:val="20"/>
              </w:rPr>
              <w:t xml:space="preserve">Al ser </w:t>
            </w:r>
            <w:r>
              <w:rPr>
                <w:rFonts w:ascii="Arial" w:hAnsi="Arial" w:cs="Arial"/>
                <w:b/>
                <w:bCs/>
                <w:color w:val="000000"/>
                <w:sz w:val="20"/>
                <w:szCs w:val="20"/>
              </w:rPr>
              <w:t>dos tipos de acciones en distintos ámbitos,</w:t>
            </w:r>
            <w:r>
              <w:rPr>
                <w:rFonts w:ascii="Arial" w:hAnsi="Arial" w:cs="Arial"/>
                <w:bCs/>
                <w:color w:val="000000"/>
                <w:sz w:val="20"/>
                <w:szCs w:val="20"/>
              </w:rPr>
              <w:t xml:space="preserve"> el contenido interno varía, creando incluso, un material propio para poder dar al personal sociosanitario: </w:t>
            </w:r>
          </w:p>
          <w:p>
            <w:pPr>
              <w:numPr>
                <w:ilvl w:val="1"/>
                <w:numId w:val="117"/>
              </w:numPr>
              <w:suppressAutoHyphens/>
              <w:autoSpaceDN w:val="0"/>
              <w:spacing w:after="0"/>
              <w:ind w:left="314" w:hanging="199"/>
              <w:jc w:val="both"/>
              <w:textAlignment w:val="baseline"/>
              <w:rPr>
                <w:rFonts w:ascii="Arial" w:hAnsi="Arial" w:cs="Arial"/>
                <w:bCs/>
                <w:color w:val="000000"/>
                <w:sz w:val="20"/>
                <w:szCs w:val="20"/>
              </w:rPr>
            </w:pPr>
            <w:r>
              <w:rPr>
                <w:rFonts w:ascii="Arial" w:hAnsi="Arial" w:cs="Arial"/>
                <w:bCs/>
                <w:color w:val="000000"/>
                <w:sz w:val="20"/>
                <w:szCs w:val="20"/>
              </w:rPr>
              <w:t xml:space="preserve">Guía de Actuación.  </w:t>
            </w:r>
          </w:p>
          <w:p>
            <w:pPr>
              <w:numPr>
                <w:ilvl w:val="1"/>
                <w:numId w:val="117"/>
              </w:numPr>
              <w:suppressAutoHyphens/>
              <w:autoSpaceDN w:val="0"/>
              <w:spacing w:after="0"/>
              <w:ind w:left="314" w:hanging="199"/>
              <w:jc w:val="both"/>
              <w:textAlignment w:val="baseline"/>
              <w:rPr>
                <w:rFonts w:ascii="Arial" w:hAnsi="Arial" w:cs="Arial"/>
                <w:bCs/>
                <w:color w:val="000000"/>
                <w:sz w:val="20"/>
                <w:szCs w:val="20"/>
              </w:rPr>
            </w:pPr>
            <w:r>
              <w:rPr>
                <w:rFonts w:ascii="Arial" w:hAnsi="Arial" w:cs="Arial"/>
                <w:bCs/>
                <w:color w:val="000000"/>
                <w:sz w:val="20"/>
                <w:szCs w:val="20"/>
              </w:rPr>
              <w:t xml:space="preserve">Elaboración de Informe Sanitario.   </w:t>
            </w:r>
          </w:p>
          <w:p>
            <w:pPr>
              <w:numPr>
                <w:ilvl w:val="1"/>
                <w:numId w:val="117"/>
              </w:numPr>
              <w:suppressAutoHyphens/>
              <w:autoSpaceDN w:val="0"/>
              <w:spacing w:after="0"/>
              <w:ind w:left="314" w:hanging="199"/>
              <w:jc w:val="both"/>
              <w:textAlignment w:val="baseline"/>
              <w:rPr>
                <w:rFonts w:ascii="Arial" w:hAnsi="Arial" w:cs="Arial"/>
                <w:bCs/>
                <w:color w:val="000000"/>
                <w:sz w:val="20"/>
                <w:szCs w:val="20"/>
              </w:rPr>
            </w:pPr>
            <w:r>
              <w:rPr>
                <w:rFonts w:ascii="Arial" w:hAnsi="Arial" w:cs="Arial"/>
                <w:bCs/>
                <w:color w:val="000000"/>
                <w:sz w:val="20"/>
                <w:szCs w:val="20"/>
              </w:rPr>
              <w:t xml:space="preserve">Indicadores VTFES (finalmente, este documento se termina proporcionando a los/as participantes de forma general en otras formaciones).  </w:t>
            </w:r>
          </w:p>
        </w:tc>
      </w:tr>
      <w:tr>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Docentes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Centros de Enseñanza  </w:t>
            </w:r>
          </w:p>
        </w:tc>
        <w:tc>
          <w:tcPr>
            <w:tcW w:w="4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numPr>
                <w:ilvl w:val="0"/>
                <w:numId w:val="118"/>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Contexto de intervención: </w:t>
            </w:r>
            <w:r>
              <w:rPr>
                <w:rFonts w:ascii="Arial" w:hAnsi="Arial" w:cs="Arial"/>
                <w:bCs/>
                <w:color w:val="000000"/>
                <w:sz w:val="20"/>
                <w:szCs w:val="20"/>
              </w:rPr>
              <w:t>Programa Oblatas Daniela.</w:t>
            </w:r>
          </w:p>
          <w:p>
            <w:pPr>
              <w:numPr>
                <w:ilvl w:val="0"/>
                <w:numId w:val="118"/>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Fenomenología de la prostitución y VTFES.</w:t>
            </w:r>
          </w:p>
          <w:p>
            <w:pPr>
              <w:numPr>
                <w:ilvl w:val="0"/>
                <w:numId w:val="118"/>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Educación afectiva y sexualización.</w:t>
            </w:r>
          </w:p>
          <w:p>
            <w:pPr>
              <w:numPr>
                <w:ilvl w:val="0"/>
                <w:numId w:val="118"/>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Pornografía, redes sociales y mercantilización de la sexualidad.</w:t>
            </w:r>
          </w:p>
          <w:p>
            <w:pPr>
              <w:numPr>
                <w:ilvl w:val="0"/>
                <w:numId w:val="118"/>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Detección, acompañamiento, prevención y promoción en el aula.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both"/>
              <w:textAlignment w:val="baseline"/>
              <w:rPr>
                <w:rFonts w:ascii="Arial" w:hAnsi="Arial" w:cs="Arial"/>
                <w:bCs/>
                <w:color w:val="000000"/>
                <w:sz w:val="20"/>
                <w:szCs w:val="20"/>
              </w:rPr>
            </w:pPr>
          </w:p>
        </w:tc>
      </w:tr>
      <w:tr>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lastRenderedPageBreak/>
              <w:t xml:space="preserve">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Entidades Sociales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 xml:space="preserve">Administración Pública  </w:t>
            </w:r>
          </w:p>
          <w:p>
            <w:pPr>
              <w:suppressAutoHyphens/>
              <w:autoSpaceDN w:val="0"/>
              <w:spacing w:after="0"/>
              <w:jc w:val="center"/>
              <w:textAlignment w:val="baseline"/>
              <w:rPr>
                <w:rFonts w:ascii="Arial" w:hAnsi="Arial" w:cs="Arial"/>
                <w:b/>
                <w:bCs/>
                <w:color w:val="000000"/>
                <w:sz w:val="20"/>
                <w:szCs w:val="20"/>
              </w:rPr>
            </w:pPr>
            <w:r>
              <w:rPr>
                <w:rFonts w:ascii="Arial" w:hAnsi="Arial" w:cs="Arial"/>
                <w:b/>
                <w:bCs/>
                <w:color w:val="000000"/>
                <w:sz w:val="20"/>
                <w:szCs w:val="20"/>
              </w:rPr>
              <w:t>(Ayuntamientos, Sindicatos, invitación a Jornadas, mesas de debate)</w:t>
            </w:r>
          </w:p>
        </w:tc>
        <w:tc>
          <w:tcPr>
            <w:tcW w:w="4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numPr>
                <w:ilvl w:val="0"/>
                <w:numId w:val="119"/>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Programa Oblatas Daniela: </w:t>
            </w:r>
            <w:r>
              <w:rPr>
                <w:rFonts w:ascii="Arial" w:hAnsi="Arial" w:cs="Arial"/>
                <w:bCs/>
                <w:color w:val="000000"/>
                <w:sz w:val="20"/>
                <w:szCs w:val="20"/>
              </w:rPr>
              <w:t>intervención y atención.</w:t>
            </w:r>
          </w:p>
          <w:p>
            <w:pPr>
              <w:numPr>
                <w:ilvl w:val="0"/>
                <w:numId w:val="119"/>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 xml:space="preserve">Fenomenología de la prostitución.  </w:t>
            </w:r>
          </w:p>
          <w:p>
            <w:pPr>
              <w:numPr>
                <w:ilvl w:val="0"/>
                <w:numId w:val="119"/>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 xml:space="preserve">VTSH con fines de explotación sexual (VTFES). </w:t>
            </w:r>
          </w:p>
          <w:p>
            <w:pPr>
              <w:numPr>
                <w:ilvl w:val="0"/>
                <w:numId w:val="119"/>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Pornografía, redes sociales y captación: </w:t>
            </w:r>
            <w:r>
              <w:rPr>
                <w:rFonts w:ascii="Arial" w:hAnsi="Arial" w:cs="Arial"/>
                <w:bCs/>
                <w:color w:val="000000"/>
                <w:sz w:val="20"/>
                <w:szCs w:val="20"/>
              </w:rPr>
              <w:t>amenazas e indicios.</w:t>
            </w:r>
          </w:p>
          <w:p>
            <w:pPr>
              <w:numPr>
                <w:ilvl w:val="0"/>
                <w:numId w:val="119"/>
              </w:numPr>
              <w:suppressAutoHyphens/>
              <w:autoSpaceDN w:val="0"/>
              <w:spacing w:after="0"/>
              <w:jc w:val="both"/>
              <w:textAlignment w:val="baseline"/>
              <w:rPr>
                <w:rFonts w:ascii="Arial" w:hAnsi="Arial" w:cs="Arial"/>
                <w:sz w:val="20"/>
                <w:szCs w:val="20"/>
              </w:rPr>
            </w:pPr>
            <w:r>
              <w:rPr>
                <w:rFonts w:ascii="Arial" w:hAnsi="Arial" w:cs="Arial"/>
                <w:b/>
                <w:bCs/>
                <w:color w:val="000000"/>
                <w:sz w:val="20"/>
                <w:szCs w:val="20"/>
              </w:rPr>
              <w:t xml:space="preserve">Normativas y protocolos: </w:t>
            </w:r>
            <w:r>
              <w:rPr>
                <w:rFonts w:ascii="Arial" w:hAnsi="Arial" w:cs="Arial"/>
                <w:bCs/>
                <w:color w:val="000000"/>
                <w:sz w:val="20"/>
                <w:szCs w:val="20"/>
              </w:rPr>
              <w:t>detección, acompañamiento e intervención.</w:t>
            </w:r>
          </w:p>
          <w:p>
            <w:pPr>
              <w:numPr>
                <w:ilvl w:val="0"/>
                <w:numId w:val="119"/>
              </w:numPr>
              <w:suppressAutoHyphens/>
              <w:autoSpaceDN w:val="0"/>
              <w:spacing w:after="0"/>
              <w:jc w:val="both"/>
              <w:textAlignment w:val="baseline"/>
              <w:rPr>
                <w:rFonts w:ascii="Arial" w:hAnsi="Arial" w:cs="Arial"/>
                <w:b/>
                <w:bCs/>
                <w:color w:val="000000"/>
                <w:sz w:val="20"/>
                <w:szCs w:val="20"/>
              </w:rPr>
            </w:pPr>
            <w:r>
              <w:rPr>
                <w:rFonts w:ascii="Arial" w:hAnsi="Arial" w:cs="Arial"/>
                <w:b/>
                <w:bCs/>
                <w:color w:val="000000"/>
                <w:sz w:val="20"/>
                <w:szCs w:val="20"/>
              </w:rPr>
              <w:t>Entidades acreditadas.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 </w:t>
            </w:r>
          </w:p>
          <w:p>
            <w:pPr>
              <w:suppressAutoHyphens/>
              <w:autoSpaceDN w:val="0"/>
              <w:spacing w:after="0"/>
              <w:jc w:val="both"/>
              <w:textAlignment w:val="baseline"/>
              <w:rPr>
                <w:rFonts w:ascii="Arial" w:hAnsi="Arial" w:cs="Arial"/>
                <w:bCs/>
                <w:color w:val="000000"/>
                <w:sz w:val="20"/>
                <w:szCs w:val="20"/>
              </w:rPr>
            </w:pPr>
          </w:p>
          <w:p>
            <w:p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Adaptación de contenido interno según demandas planteadas por los profesionales.</w:t>
            </w:r>
          </w:p>
        </w:tc>
      </w:tr>
      <w:tr>
        <w:trPr>
          <w:trHeight w:val="1809"/>
          <w:jc w:val="center"/>
        </w:trPr>
        <w:tc>
          <w:tcPr>
            <w:tcW w:w="268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center"/>
              <w:textAlignment w:val="baseline"/>
              <w:rPr>
                <w:rFonts w:ascii="Arial" w:eastAsia="Times New Roman" w:hAnsi="Arial" w:cs="Arial"/>
                <w:b/>
                <w:sz w:val="20"/>
                <w:szCs w:val="20"/>
              </w:rPr>
            </w:pPr>
            <w:r>
              <w:rPr>
                <w:rFonts w:ascii="Arial" w:eastAsia="Times New Roman" w:hAnsi="Arial" w:cs="Arial"/>
                <w:b/>
                <w:sz w:val="20"/>
                <w:szCs w:val="20"/>
              </w:rPr>
              <w:t xml:space="preserve"> </w:t>
            </w:r>
          </w:p>
          <w:p>
            <w:pPr>
              <w:suppressAutoHyphens/>
              <w:autoSpaceDN w:val="0"/>
              <w:spacing w:after="0"/>
              <w:jc w:val="center"/>
              <w:textAlignment w:val="baseline"/>
              <w:rPr>
                <w:rFonts w:ascii="Arial" w:eastAsia="Times New Roman" w:hAnsi="Arial" w:cs="Arial"/>
                <w:b/>
                <w:sz w:val="20"/>
                <w:szCs w:val="20"/>
              </w:rPr>
            </w:pPr>
          </w:p>
          <w:p>
            <w:pPr>
              <w:suppressAutoHyphens/>
              <w:autoSpaceDN w:val="0"/>
              <w:spacing w:after="0"/>
              <w:jc w:val="center"/>
              <w:textAlignment w:val="baseline"/>
              <w:rPr>
                <w:rFonts w:ascii="Arial" w:eastAsia="Times New Roman" w:hAnsi="Arial" w:cs="Arial"/>
                <w:b/>
                <w:sz w:val="20"/>
                <w:szCs w:val="20"/>
              </w:rPr>
            </w:pPr>
            <w:r>
              <w:rPr>
                <w:rFonts w:ascii="Arial" w:eastAsia="Times New Roman" w:hAnsi="Arial" w:cs="Arial"/>
                <w:b/>
                <w:sz w:val="20"/>
                <w:szCs w:val="20"/>
              </w:rPr>
              <w:t xml:space="preserve"> </w:t>
            </w:r>
          </w:p>
          <w:p>
            <w:pPr>
              <w:suppressAutoHyphens/>
              <w:autoSpaceDN w:val="0"/>
              <w:spacing w:after="0"/>
              <w:jc w:val="center"/>
              <w:textAlignment w:val="baseline"/>
              <w:rPr>
                <w:rFonts w:ascii="Arial" w:hAnsi="Arial" w:cs="Arial"/>
                <w:sz w:val="20"/>
                <w:szCs w:val="20"/>
              </w:rPr>
            </w:pPr>
            <w:r>
              <w:rPr>
                <w:rFonts w:ascii="Arial" w:eastAsia="Times New Roman" w:hAnsi="Arial" w:cs="Arial"/>
                <w:b/>
                <w:sz w:val="20"/>
                <w:szCs w:val="20"/>
              </w:rPr>
              <w:t>Material propio elaborado</w:t>
            </w:r>
          </w:p>
        </w:tc>
        <w:tc>
          <w:tcPr>
            <w:tcW w:w="4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numPr>
                <w:ilvl w:val="0"/>
                <w:numId w:val="114"/>
              </w:numPr>
              <w:tabs>
                <w:tab w:val="left" w:pos="-1406"/>
              </w:tabs>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Testimonios recogidos a partir de experiencia de mujeres en Programa Oblatas Daniela. </w:t>
            </w:r>
          </w:p>
          <w:p>
            <w:pPr>
              <w:numPr>
                <w:ilvl w:val="0"/>
                <w:numId w:val="114"/>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Guía de Actuación.  </w:t>
            </w:r>
          </w:p>
          <w:p>
            <w:pPr>
              <w:numPr>
                <w:ilvl w:val="0"/>
                <w:numId w:val="114"/>
              </w:numPr>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Elaboración de Informe Sanitario.   </w:t>
            </w:r>
          </w:p>
          <w:p>
            <w:pPr>
              <w:numPr>
                <w:ilvl w:val="0"/>
                <w:numId w:val="114"/>
              </w:numPr>
              <w:tabs>
                <w:tab w:val="left" w:pos="-1406"/>
              </w:tabs>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 xml:space="preserve">Indicadores VTFES . </w:t>
            </w:r>
          </w:p>
          <w:p>
            <w:pPr>
              <w:numPr>
                <w:ilvl w:val="0"/>
                <w:numId w:val="114"/>
              </w:numPr>
              <w:tabs>
                <w:tab w:val="left" w:pos="-1406"/>
              </w:tabs>
              <w:suppressAutoHyphens/>
              <w:autoSpaceDN w:val="0"/>
              <w:spacing w:after="0"/>
              <w:jc w:val="both"/>
              <w:textAlignment w:val="baseline"/>
              <w:rPr>
                <w:rFonts w:ascii="Arial" w:hAnsi="Arial" w:cs="Arial"/>
                <w:bCs/>
                <w:color w:val="000000"/>
                <w:sz w:val="20"/>
                <w:szCs w:val="20"/>
              </w:rPr>
            </w:pPr>
            <w:r>
              <w:rPr>
                <w:rFonts w:ascii="Arial" w:hAnsi="Arial" w:cs="Arial"/>
                <w:bCs/>
                <w:color w:val="000000"/>
                <w:sz w:val="20"/>
                <w:szCs w:val="20"/>
              </w:rPr>
              <w:t>Casos prácticos.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uppressAutoHyphens/>
              <w:autoSpaceDN w:val="0"/>
              <w:spacing w:after="0"/>
              <w:jc w:val="both"/>
              <w:textAlignment w:val="baseline"/>
              <w:rPr>
                <w:rFonts w:ascii="Arial" w:hAnsi="Arial" w:cs="Arial"/>
                <w:b/>
                <w:bCs/>
                <w:color w:val="000000"/>
                <w:sz w:val="24"/>
                <w:szCs w:val="24"/>
              </w:rPr>
            </w:pPr>
          </w:p>
        </w:tc>
      </w:tr>
    </w:tbl>
    <w:p>
      <w:pPr>
        <w:suppressAutoHyphens/>
        <w:autoSpaceDN w:val="0"/>
        <w:spacing w:after="160" w:line="240" w:lineRule="auto"/>
        <w:jc w:val="both"/>
        <w:textAlignment w:val="baseline"/>
        <w:rPr>
          <w:rFonts w:ascii="Arial" w:eastAsia="Times New Roman" w:hAnsi="Arial" w:cs="Arial"/>
          <w:bCs/>
          <w:iCs/>
          <w:sz w:val="24"/>
          <w:szCs w:val="24"/>
        </w:rPr>
      </w:pPr>
    </w:p>
    <w:p>
      <w:pPr>
        <w:suppressAutoHyphens/>
        <w:autoSpaceDN w:val="0"/>
        <w:spacing w:after="0" w:line="240" w:lineRule="auto"/>
        <w:jc w:val="both"/>
        <w:textAlignment w:val="baseline"/>
        <w:rPr>
          <w:rFonts w:ascii="Arial" w:eastAsia="Times New Roman" w:hAnsi="Arial" w:cs="Arial"/>
          <w:bCs/>
          <w:iCs/>
          <w:sz w:val="24"/>
          <w:szCs w:val="24"/>
        </w:rPr>
      </w:pPr>
    </w:p>
    <w:p>
      <w:pPr>
        <w:suppressAutoHyphens/>
        <w:autoSpaceDN w:val="0"/>
        <w:spacing w:after="0" w:line="240" w:lineRule="auto"/>
        <w:jc w:val="both"/>
        <w:textAlignment w:val="baseline"/>
        <w:rPr>
          <w:rFonts w:ascii="Arial" w:eastAsia="Times New Roman" w:hAnsi="Arial" w:cs="Arial"/>
          <w:bCs/>
          <w:iCs/>
          <w:sz w:val="24"/>
          <w:szCs w:val="24"/>
        </w:rPr>
      </w:pPr>
    </w:p>
    <w:p>
      <w:pPr>
        <w:suppressAutoHyphens/>
        <w:autoSpaceDN w:val="0"/>
        <w:spacing w:after="0" w:line="360" w:lineRule="auto"/>
        <w:jc w:val="both"/>
        <w:textAlignment w:val="baseline"/>
        <w:rPr>
          <w:rFonts w:ascii="Arial" w:hAnsi="Arial" w:cs="Arial"/>
          <w:sz w:val="24"/>
          <w:szCs w:val="24"/>
        </w:rPr>
      </w:pPr>
      <w:r>
        <w:rPr>
          <w:rFonts w:ascii="Arial" w:eastAsia="Times New Roman" w:hAnsi="Arial" w:cs="Arial"/>
          <w:bCs/>
          <w:iCs/>
          <w:sz w:val="24"/>
          <w:szCs w:val="24"/>
        </w:rPr>
        <w:t xml:space="preserve">Es importante recalcar, que el número de beneficiarios podría ser mayor, puesto que hay actividades donde se han realizado formación y la Entidad organizadora no ha podido formalizar certificados de asistencias, por lo que se ha valorado el número de asistencias según plazas ofertadas en las inscripciones.   Por otro lado, no se ha podido entregar en todo momento los cuestionarios por el tipo de funcionamiento del centro, entidad o actividad, o bien, no se han devuelto al Programa, por lo que las cifras de los cuestionarios podrían ser mayores en algunas categorías. </w:t>
      </w:r>
    </w:p>
    <w:p>
      <w:pPr>
        <w:suppressAutoHyphens/>
        <w:autoSpaceDN w:val="0"/>
        <w:spacing w:after="0" w:line="360" w:lineRule="auto"/>
        <w:jc w:val="both"/>
        <w:textAlignment w:val="baseline"/>
        <w:rPr>
          <w:rFonts w:ascii="Arial" w:eastAsia="Times New Roman" w:hAnsi="Arial" w:cs="Arial"/>
          <w:bCs/>
          <w:iCs/>
          <w:sz w:val="24"/>
          <w:szCs w:val="24"/>
        </w:rPr>
      </w:pPr>
      <w:r>
        <w:rPr>
          <w:rFonts w:ascii="Arial" w:eastAsia="Times New Roman" w:hAnsi="Arial" w:cs="Arial"/>
          <w:bCs/>
          <w:iCs/>
          <w:sz w:val="24"/>
          <w:szCs w:val="24"/>
        </w:rPr>
        <w:t xml:space="preserve">Por último, comentar que las </w:t>
      </w:r>
      <w:r>
        <w:rPr>
          <w:rFonts w:ascii="Arial" w:eastAsia="Times New Roman" w:hAnsi="Arial" w:cs="Arial"/>
          <w:bCs/>
          <w:i/>
          <w:iCs/>
          <w:sz w:val="24"/>
          <w:szCs w:val="24"/>
        </w:rPr>
        <w:t>Jornadas de sensibilización contra la trata con fines de explotación sexual “Prostitución en la cultura</w:t>
      </w:r>
      <w:r>
        <w:rPr>
          <w:rFonts w:ascii="Arial" w:eastAsia="Times New Roman" w:hAnsi="Arial" w:cs="Arial"/>
          <w:bCs/>
          <w:iCs/>
          <w:sz w:val="24"/>
          <w:szCs w:val="24"/>
        </w:rPr>
        <w:t>” no se incluye en este Area, al constituir un proyecto independiente.</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160" w:line="360" w:lineRule="auto"/>
        <w:jc w:val="both"/>
        <w:textAlignment w:val="baseline"/>
        <w:rPr>
          <w:rFonts w:ascii="Arial" w:hAnsi="Arial" w:cs="Arial"/>
          <w:sz w:val="24"/>
          <w:szCs w:val="24"/>
        </w:rPr>
      </w:pPr>
      <w:r>
        <w:rPr>
          <w:rFonts w:ascii="Arial" w:eastAsia="Times New Roman" w:hAnsi="Arial" w:cs="Arial"/>
          <w:sz w:val="24"/>
          <w:szCs w:val="24"/>
        </w:rPr>
        <w:t xml:space="preserve">3. Actividad de </w:t>
      </w:r>
      <w:r>
        <w:rPr>
          <w:rFonts w:ascii="Arial" w:eastAsia="Times New Roman" w:hAnsi="Arial" w:cs="Arial"/>
          <w:b/>
          <w:i/>
          <w:sz w:val="24"/>
          <w:szCs w:val="24"/>
        </w:rPr>
        <w:t>Participación en Medios de Comunicación Social, exponiendo la realidad y la intervención realizada en torno a la violencia de género por prostitución y la trata de mujeres con fines de explotación.</w:t>
      </w:r>
    </w:p>
    <w:p>
      <w:pPr>
        <w:suppressAutoHyphens/>
        <w:autoSpaceDN w:val="0"/>
        <w:spacing w:after="160" w:line="360" w:lineRule="auto"/>
        <w:jc w:val="both"/>
        <w:textAlignment w:val="baseline"/>
        <w:rPr>
          <w:rFonts w:ascii="Arial" w:hAnsi="Arial" w:cs="Arial"/>
          <w:sz w:val="24"/>
          <w:szCs w:val="24"/>
        </w:rPr>
      </w:pPr>
      <w:r>
        <w:rPr>
          <w:rFonts w:ascii="Arial" w:hAnsi="Arial" w:cs="Arial"/>
          <w:sz w:val="24"/>
          <w:szCs w:val="24"/>
        </w:rPr>
        <w:t>En comparación con el año 2024, se ha mejorado notablemente el acceso a redes sociales, la difusión y las publicaciones en diversos ámbitos</w:t>
      </w:r>
      <w:r>
        <w:rPr>
          <w:rFonts w:ascii="Arial" w:hAnsi="Arial" w:cs="Arial"/>
          <w:b/>
          <w:sz w:val="24"/>
          <w:szCs w:val="24"/>
        </w:rPr>
        <w:t xml:space="preserve">, </w:t>
      </w:r>
      <w:r>
        <w:rPr>
          <w:rFonts w:ascii="Arial" w:hAnsi="Arial" w:cs="Arial"/>
          <w:sz w:val="24"/>
          <w:szCs w:val="24"/>
        </w:rPr>
        <w:t xml:space="preserve">lo que ha impulsado un </w:t>
      </w:r>
      <w:r>
        <w:rPr>
          <w:rFonts w:ascii="Arial" w:hAnsi="Arial" w:cs="Arial"/>
          <w:sz w:val="24"/>
          <w:szCs w:val="24"/>
        </w:rPr>
        <w:lastRenderedPageBreak/>
        <w:t xml:space="preserve">mayor conocimiento, tanto por parte de la población general como de diferentes entidades, de las acciones que se realizan desde la Entidad.  </w:t>
      </w:r>
    </w:p>
    <w:p>
      <w:pPr>
        <w:suppressAutoHyphens/>
        <w:autoSpaceDN w:val="0"/>
        <w:spacing w:after="160" w:line="360" w:lineRule="auto"/>
        <w:jc w:val="both"/>
        <w:textAlignment w:val="baseline"/>
        <w:rPr>
          <w:rFonts w:ascii="Arial" w:hAnsi="Arial" w:cs="Arial"/>
          <w:sz w:val="24"/>
          <w:szCs w:val="24"/>
        </w:rPr>
      </w:pPr>
      <w:r>
        <w:rPr>
          <w:rFonts w:ascii="Arial" w:hAnsi="Arial" w:cs="Arial"/>
          <w:sz w:val="24"/>
          <w:szCs w:val="24"/>
        </w:rPr>
        <w:t xml:space="preserve">Asimismo, se ha producido una mejora en la sensibilización sobre elcolectivo con el que se trabaja, dando a conocer aspectos completamente desconocidos para muchas personas y favoreciendo procesos de reflexión y autocrítica como sociedad ante las mujeres en contexto de prostitución, trata con fines de explotación sexual y violencia de género. </w:t>
      </w:r>
    </w:p>
    <w:p>
      <w:pPr>
        <w:numPr>
          <w:ilvl w:val="0"/>
          <w:numId w:val="120"/>
        </w:numPr>
        <w:suppressAutoHyphens/>
        <w:autoSpaceDN w:val="0"/>
        <w:spacing w:after="160" w:line="360" w:lineRule="auto"/>
        <w:jc w:val="both"/>
        <w:textAlignment w:val="baseline"/>
        <w:rPr>
          <w:rFonts w:ascii="Arial" w:hAnsi="Arial" w:cs="Arial"/>
          <w:sz w:val="24"/>
          <w:szCs w:val="24"/>
        </w:rPr>
      </w:pPr>
      <w:r>
        <w:rPr>
          <w:rFonts w:ascii="Arial" w:hAnsi="Arial" w:cs="Arial"/>
          <w:b/>
          <w:sz w:val="24"/>
          <w:szCs w:val="24"/>
        </w:rPr>
        <w:t xml:space="preserve">Difusión y comunicación mediante redes sociales; continuidad y nuevas plataformas: </w:t>
      </w:r>
      <w:r>
        <w:rPr>
          <w:rFonts w:ascii="Arial" w:eastAsia="Times New Roman" w:hAnsi="Arial" w:cs="Arial"/>
          <w:color w:val="000000"/>
          <w:sz w:val="24"/>
          <w:szCs w:val="24"/>
        </w:rPr>
        <w:t xml:space="preserve">a fecha 22 de diciembre de 2025. </w:t>
      </w:r>
    </w:p>
    <w:tbl>
      <w:tblPr>
        <w:tblW w:w="8494" w:type="dxa"/>
        <w:jc w:val="center"/>
        <w:tblLayout w:type="fixed"/>
        <w:tblCellMar>
          <w:left w:w="10" w:type="dxa"/>
          <w:right w:w="10" w:type="dxa"/>
        </w:tblCellMar>
        <w:tblLook w:val="0000" w:firstRow="0" w:lastRow="0" w:firstColumn="0" w:lastColumn="0" w:noHBand="0" w:noVBand="0"/>
      </w:tblPr>
      <w:tblGrid>
        <w:gridCol w:w="2689"/>
        <w:gridCol w:w="3022"/>
        <w:gridCol w:w="2783"/>
      </w:tblGrid>
      <w:tr>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eastAsia="Times New Roman" w:hAnsi="Arial" w:cs="Arial"/>
                <w:b/>
                <w:color w:val="FFFFFF"/>
                <w:sz w:val="24"/>
                <w:szCs w:val="24"/>
              </w:rPr>
              <w:t>PÁGINA WEB</w:t>
            </w:r>
          </w:p>
        </w:tc>
        <w:tc>
          <w:tcPr>
            <w:tcW w:w="3022"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b/>
                <w:color w:val="FFFFFF"/>
                <w:sz w:val="24"/>
                <w:szCs w:val="24"/>
              </w:rPr>
            </w:pPr>
            <w:r>
              <w:rPr>
                <w:rFonts w:ascii="Arial" w:hAnsi="Arial" w:cs="Arial"/>
                <w:b/>
                <w:color w:val="FFFFFF"/>
                <w:sz w:val="24"/>
                <w:szCs w:val="24"/>
              </w:rPr>
              <w:t>FACEBOOK</w:t>
            </w:r>
          </w:p>
        </w:tc>
        <w:tc>
          <w:tcPr>
            <w:tcW w:w="2783"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eastAsia="Times New Roman" w:hAnsi="Arial" w:cs="Arial"/>
                <w:b/>
                <w:color w:val="FFFFFF"/>
                <w:sz w:val="24"/>
                <w:szCs w:val="24"/>
              </w:rPr>
              <w:t>YOUTUBE</w:t>
            </w:r>
          </w:p>
        </w:tc>
      </w:tr>
      <w:tr>
        <w:trPr>
          <w:jc w:val="center"/>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hAnsi="Arial" w:cs="Arial"/>
                <w:sz w:val="24"/>
                <w:szCs w:val="24"/>
              </w:rPr>
              <w:t>https://oblatas-daniela.com</w:t>
            </w: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hAnsi="Arial" w:cs="Arial"/>
                <w:bCs/>
                <w:sz w:val="24"/>
                <w:szCs w:val="24"/>
              </w:rPr>
              <w:t xml:space="preserve">facebook.com/share/19xkuhfuUK/  </w:t>
            </w: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eastAsia="Times New Roman" w:hAnsi="Arial" w:cs="Arial"/>
                <w:color w:val="000000"/>
                <w:sz w:val="24"/>
                <w:szCs w:val="24"/>
              </w:rPr>
              <w:t>@programadanielaoblatas9</w:t>
            </w:r>
          </w:p>
        </w:tc>
      </w:tr>
      <w:tr>
        <w:trPr>
          <w:trHeight w:val="481"/>
          <w:jc w:val="center"/>
        </w:trPr>
        <w:tc>
          <w:tcPr>
            <w:tcW w:w="26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322 seguidores/as</w:t>
            </w:r>
          </w:p>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80 publicaciones  </w:t>
            </w:r>
          </w:p>
          <w:p>
            <w:pPr>
              <w:suppressAutoHyphens/>
              <w:autoSpaceDN w:val="0"/>
              <w:spacing w:after="0" w:line="240" w:lineRule="auto"/>
              <w:jc w:val="center"/>
              <w:textAlignment w:val="baseline"/>
              <w:rPr>
                <w:rFonts w:ascii="Arial" w:eastAsia="Times New Roman" w:hAnsi="Arial" w:cs="Arial"/>
                <w:color w:val="000000"/>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ind w:left="-291"/>
              <w:jc w:val="center"/>
              <w:textAlignment w:val="baseline"/>
              <w:rPr>
                <w:rFonts w:ascii="Arial" w:eastAsia="Times New Roman" w:hAnsi="Arial" w:cs="Arial"/>
                <w:color w:val="000000"/>
                <w:sz w:val="24"/>
                <w:szCs w:val="24"/>
              </w:rPr>
            </w:pPr>
          </w:p>
          <w:p>
            <w:pPr>
              <w:suppressAutoHyphens/>
              <w:autoSpaceDN w:val="0"/>
              <w:spacing w:after="0" w:line="240" w:lineRule="auto"/>
              <w:ind w:left="-291"/>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283 suscriptores/as</w:t>
            </w:r>
          </w:p>
          <w:p>
            <w:pPr>
              <w:suppressAutoHyphens/>
              <w:autoSpaceDN w:val="0"/>
              <w:spacing w:after="0" w:line="240" w:lineRule="auto"/>
              <w:ind w:left="-291"/>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24 videos</w:t>
            </w:r>
          </w:p>
          <w:p>
            <w:pPr>
              <w:suppressAutoHyphens/>
              <w:autoSpaceDN w:val="0"/>
              <w:spacing w:after="0" w:line="240" w:lineRule="auto"/>
              <w:jc w:val="center"/>
              <w:textAlignment w:val="baseline"/>
              <w:rPr>
                <w:rFonts w:ascii="Arial" w:hAnsi="Arial" w:cs="Arial"/>
                <w:sz w:val="24"/>
                <w:szCs w:val="24"/>
              </w:rPr>
            </w:pPr>
          </w:p>
        </w:tc>
      </w:tr>
      <w:tr>
        <w:trPr>
          <w:trHeight w:val="20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eastAsia="Times New Roman" w:hAnsi="Arial" w:cs="Arial"/>
                <w:b/>
                <w:color w:val="FFFFFF"/>
                <w:sz w:val="24"/>
                <w:szCs w:val="24"/>
              </w:rPr>
              <w:t>INSTAGRAM</w:t>
            </w:r>
          </w:p>
        </w:tc>
        <w:tc>
          <w:tcPr>
            <w:tcW w:w="3022"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b/>
                <w:color w:val="FFFFFF"/>
                <w:sz w:val="24"/>
                <w:szCs w:val="24"/>
              </w:rPr>
            </w:pPr>
            <w:r>
              <w:rPr>
                <w:rFonts w:ascii="Arial" w:hAnsi="Arial" w:cs="Arial"/>
                <w:b/>
                <w:color w:val="FFFFFF"/>
                <w:sz w:val="24"/>
                <w:szCs w:val="24"/>
              </w:rPr>
              <w:t>LINKEDIN</w:t>
            </w:r>
          </w:p>
        </w:tc>
        <w:tc>
          <w:tcPr>
            <w:tcW w:w="2783"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hAnsi="Arial" w:cs="Arial"/>
                <w:b/>
                <w:bCs/>
                <w:color w:val="FFFFFF"/>
                <w:sz w:val="24"/>
                <w:szCs w:val="24"/>
              </w:rPr>
              <w:t>JORNADAS</w:t>
            </w:r>
          </w:p>
        </w:tc>
      </w:tr>
      <w:tr>
        <w:trPr>
          <w:trHeight w:val="621"/>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hAnsi="Arial" w:cs="Arial"/>
                <w:bCs/>
                <w:sz w:val="24"/>
                <w:szCs w:val="24"/>
              </w:rPr>
              <w:t>@programaoblatasdaniela</w:t>
            </w: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lang w:val="pt-PT"/>
              </w:rPr>
            </w:pPr>
            <w:r>
              <w:rPr>
                <w:rFonts w:ascii="Arial" w:hAnsi="Arial" w:cs="Arial"/>
                <w:bCs/>
                <w:sz w:val="24"/>
                <w:szCs w:val="24"/>
                <w:lang w:val="pt-PT"/>
              </w:rPr>
              <w:t>linkedin.com/company/programa-daniela-oblatas/</w:t>
            </w: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ind w:left="-291"/>
              <w:jc w:val="center"/>
              <w:textAlignment w:val="baseline"/>
              <w:rPr>
                <w:rFonts w:ascii="Arial" w:hAnsi="Arial" w:cs="Arial"/>
                <w:sz w:val="24"/>
                <w:szCs w:val="24"/>
              </w:rPr>
            </w:pPr>
            <w:r>
              <w:rPr>
                <w:rFonts w:ascii="Arial" w:hAnsi="Arial" w:cs="Arial"/>
                <w:bCs/>
                <w:sz w:val="24"/>
                <w:szCs w:val="24"/>
              </w:rPr>
              <w:t>jornadastratadaniela.com/</w:t>
            </w:r>
          </w:p>
        </w:tc>
      </w:tr>
      <w:tr>
        <w:trPr>
          <w:trHeight w:val="621"/>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271 seguidores/as</w:t>
            </w:r>
          </w:p>
          <w:p>
            <w:pPr>
              <w:suppressAutoHyphens/>
              <w:autoSpaceDN w:val="0"/>
              <w:spacing w:after="0" w:line="240" w:lineRule="auto"/>
              <w:jc w:val="center"/>
              <w:textAlignment w:val="baseline"/>
              <w:rPr>
                <w:rFonts w:ascii="Arial" w:hAnsi="Arial" w:cs="Arial"/>
                <w:sz w:val="24"/>
                <w:szCs w:val="24"/>
              </w:rPr>
            </w:pPr>
            <w:r>
              <w:rPr>
                <w:rFonts w:ascii="Arial" w:eastAsia="Times New Roman" w:hAnsi="Arial" w:cs="Arial"/>
                <w:color w:val="000000"/>
                <w:sz w:val="24"/>
                <w:szCs w:val="24"/>
              </w:rPr>
              <w:t>51 publicaciones</w:t>
            </w: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160 seguidores/as</w:t>
            </w:r>
          </w:p>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50 publicaciones</w:t>
            </w: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ind w:left="-291"/>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5 Ediciones</w:t>
            </w:r>
          </w:p>
        </w:tc>
      </w:tr>
    </w:tbl>
    <w:p>
      <w:pPr>
        <w:suppressAutoHyphens/>
        <w:autoSpaceDN w:val="0"/>
        <w:spacing w:after="0"/>
        <w:jc w:val="both"/>
        <w:textAlignment w:val="baseline"/>
        <w:rPr>
          <w:rFonts w:ascii="Arial" w:eastAsia="Times New Roman" w:hAnsi="Arial" w:cs="Arial"/>
          <w:sz w:val="24"/>
          <w:szCs w:val="24"/>
        </w:rPr>
      </w:pPr>
    </w:p>
    <w:p>
      <w:p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Otros de los puntos a destacar durante el ejercicio 2025, ha sido la creación de nuevas redes sociales para mejorar las acciones de difusión y para adaptarse a las nuevas plataformas digitales. Páginas como </w:t>
      </w:r>
      <w:r>
        <w:rPr>
          <w:rFonts w:ascii="Arial" w:eastAsia="Times New Roman" w:hAnsi="Arial" w:cs="Arial"/>
          <w:b/>
          <w:sz w:val="24"/>
          <w:szCs w:val="24"/>
        </w:rPr>
        <w:t>Instagram, Linkedin y Facebook,</w:t>
      </w:r>
      <w:r>
        <w:rPr>
          <w:rFonts w:ascii="Arial" w:eastAsia="Times New Roman" w:hAnsi="Arial" w:cs="Arial"/>
          <w:sz w:val="24"/>
          <w:szCs w:val="24"/>
        </w:rPr>
        <w:t xml:space="preserve"> han sido creadas durante el mes de agosto del presente año y desde entonces, de forma semanal, se han realizado publicaciones de las acciones, actividades y mensajes de sensibilización.</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Es importante destacar, que anteriormente existía una página de Facebook diferente que sustituir por otra, facilitando la interconexión y publicaciones entre</w:t>
      </w:r>
      <w:r>
        <w:rPr>
          <w:rFonts w:ascii="Arial" w:eastAsia="Times New Roman" w:hAnsi="Arial" w:cs="Arial"/>
          <w:b/>
          <w:sz w:val="24"/>
          <w:szCs w:val="24"/>
        </w:rPr>
        <w:t xml:space="preserve"> </w:t>
      </w:r>
      <w:r>
        <w:rPr>
          <w:rFonts w:ascii="Arial" w:eastAsia="Times New Roman" w:hAnsi="Arial" w:cs="Arial"/>
          <w:sz w:val="24"/>
          <w:szCs w:val="24"/>
        </w:rPr>
        <w:t xml:space="preserve">Instagram-Linkedin-Facebook, proporcionando a la persona encargada de llevar las redes una mejora de gestión del tiempo y simultaneidad en las publicaciones. </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160" w:line="360" w:lineRule="auto"/>
        <w:jc w:val="both"/>
        <w:textAlignment w:val="baseline"/>
        <w:rPr>
          <w:rFonts w:ascii="Arial" w:eastAsia="Times New Roman" w:hAnsi="Arial" w:cs="Arial"/>
          <w:sz w:val="24"/>
          <w:szCs w:val="24"/>
        </w:rPr>
      </w:pPr>
      <w:r>
        <w:rPr>
          <w:rFonts w:ascii="Arial" w:eastAsia="Times New Roman" w:hAnsi="Arial" w:cs="Arial"/>
          <w:sz w:val="24"/>
          <w:szCs w:val="24"/>
        </w:rPr>
        <w:t>Por otro lado, Linkedin, fue una apuesta innovadora, que ha posibilitado incluso, el contacto de un centro de enseñanza solicitando charla de sensibilización</w:t>
      </w:r>
    </w:p>
    <w:p>
      <w:pPr>
        <w:numPr>
          <w:ilvl w:val="0"/>
          <w:numId w:val="120"/>
        </w:numPr>
        <w:suppressAutoHyphens/>
        <w:autoSpaceDN w:val="0"/>
        <w:spacing w:after="160" w:line="360" w:lineRule="auto"/>
        <w:jc w:val="both"/>
        <w:textAlignment w:val="baseline"/>
        <w:rPr>
          <w:rFonts w:ascii="Arial" w:hAnsi="Arial" w:cs="Arial"/>
          <w:sz w:val="24"/>
          <w:szCs w:val="24"/>
        </w:rPr>
      </w:pPr>
      <w:r>
        <w:rPr>
          <w:rFonts w:ascii="Arial" w:hAnsi="Arial" w:cs="Arial"/>
          <w:b/>
          <w:sz w:val="24"/>
          <w:szCs w:val="24"/>
        </w:rPr>
        <w:t xml:space="preserve">Medios de comunicación y sensibilización: </w:t>
      </w:r>
      <w:r>
        <w:rPr>
          <w:rFonts w:ascii="Arial" w:eastAsia="Times New Roman" w:hAnsi="Arial" w:cs="Arial"/>
          <w:color w:val="000000"/>
          <w:sz w:val="24"/>
          <w:szCs w:val="24"/>
        </w:rPr>
        <w:t>a fecha 22 de diciembre de 2025.</w:t>
      </w:r>
    </w:p>
    <w:p>
      <w:pPr>
        <w:suppressAutoHyphens/>
        <w:autoSpaceDN w:val="0"/>
        <w:spacing w:after="160" w:line="360" w:lineRule="auto"/>
        <w:jc w:val="both"/>
        <w:textAlignment w:val="baseline"/>
        <w:rPr>
          <w:rFonts w:ascii="Arial" w:hAnsi="Arial" w:cs="Arial"/>
          <w:sz w:val="24"/>
          <w:szCs w:val="24"/>
        </w:rPr>
      </w:pPr>
      <w:r>
        <w:rPr>
          <w:rFonts w:ascii="Arial" w:hAnsi="Arial" w:cs="Arial"/>
          <w:sz w:val="24"/>
          <w:szCs w:val="24"/>
        </w:rPr>
        <w:t>Principalmente, ha sido la responsable del área de formación y sensibilización quien ha dado cobertura y visibilidad a la situación de las mujeres en contextos de prostitución y de las víctimas de trata con fines de explotación sexual a través de diversos medios de comunicación, como plataformas de podcasts, YouTube, prensa digital y difusión del programa en plataformas web. Esto ha permitido ampliar el alcance hacia la población general y ha contribuido a visibilizar realidades y problemáticas que, en muchos casos, no son abordadas por los propios medios de comunicación de manera clara, rigurosa y veraz.</w:t>
      </w:r>
    </w:p>
    <w:p>
      <w:pPr>
        <w:suppressAutoHyphens/>
        <w:autoSpaceDN w:val="0"/>
        <w:spacing w:after="160" w:line="360" w:lineRule="auto"/>
        <w:jc w:val="both"/>
        <w:textAlignment w:val="baseline"/>
        <w:rPr>
          <w:rFonts w:ascii="Arial" w:hAnsi="Arial" w:cs="Arial"/>
          <w:sz w:val="24"/>
          <w:szCs w:val="24"/>
        </w:rPr>
      </w:pPr>
      <w:r>
        <w:rPr>
          <w:rFonts w:ascii="Arial" w:hAnsi="Arial" w:cs="Arial"/>
          <w:sz w:val="24"/>
          <w:szCs w:val="24"/>
        </w:rPr>
        <w:t>Por otro lado, cabe señalar que las acciones de difusión realizadas en el marco de las Jornadas no se recogen en este apartado al ser un proyecto independiente. A continuación, se presentan las acciones generales en medios de comunicación y sólo dejando las vinculadas a las Jornadas aquellas en las que se llegó a contar con la participación de la responsable del área de sensibilización:</w:t>
      </w:r>
    </w:p>
    <w:tbl>
      <w:tblPr>
        <w:tblW w:w="8437" w:type="dxa"/>
        <w:tblInd w:w="-5" w:type="dxa"/>
        <w:tblCellMar>
          <w:left w:w="10" w:type="dxa"/>
          <w:right w:w="10" w:type="dxa"/>
        </w:tblCellMar>
        <w:tblLook w:val="0000" w:firstRow="0" w:lastRow="0" w:firstColumn="0" w:lastColumn="0" w:noHBand="0" w:noVBand="0"/>
      </w:tblPr>
      <w:tblGrid>
        <w:gridCol w:w="1674"/>
        <w:gridCol w:w="2101"/>
        <w:gridCol w:w="1985"/>
        <w:gridCol w:w="1342"/>
        <w:gridCol w:w="1984"/>
      </w:tblGrid>
      <w:tr>
        <w:trPr>
          <w:trHeight w:val="315"/>
        </w:trPr>
        <w:tc>
          <w:tcPr>
            <w:tcW w:w="1786"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jc w:val="center"/>
              <w:textAlignment w:val="baseline"/>
              <w:rPr>
                <w:rFonts w:ascii="Arial" w:hAnsi="Arial" w:cs="Arial"/>
                <w:b/>
                <w:bCs/>
                <w:color w:val="FFFFFF"/>
                <w:sz w:val="24"/>
                <w:szCs w:val="24"/>
              </w:rPr>
            </w:pPr>
            <w:r>
              <w:rPr>
                <w:rFonts w:ascii="Arial" w:hAnsi="Arial" w:cs="Arial"/>
                <w:b/>
                <w:bCs/>
                <w:color w:val="FFFFFF"/>
                <w:sz w:val="24"/>
                <w:szCs w:val="24"/>
              </w:rPr>
              <w:t>INSTITUCIÓN</w:t>
            </w:r>
          </w:p>
        </w:tc>
        <w:tc>
          <w:tcPr>
            <w:tcW w:w="1480" w:type="dxa"/>
            <w:tcBorders>
              <w:top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spacing w:line="240" w:lineRule="auto"/>
              <w:jc w:val="center"/>
              <w:textAlignment w:val="baseline"/>
              <w:rPr>
                <w:rFonts w:ascii="Arial" w:hAnsi="Arial" w:cs="Arial"/>
                <w:b/>
                <w:bCs/>
                <w:color w:val="FFFFFF"/>
                <w:sz w:val="24"/>
                <w:szCs w:val="24"/>
              </w:rPr>
            </w:pPr>
            <w:r>
              <w:rPr>
                <w:rFonts w:ascii="Arial" w:hAnsi="Arial" w:cs="Arial"/>
                <w:b/>
                <w:bCs/>
                <w:color w:val="FFFFFF"/>
                <w:sz w:val="24"/>
                <w:szCs w:val="24"/>
              </w:rPr>
              <w:t>DESTINATARIOS</w:t>
            </w:r>
          </w:p>
        </w:tc>
        <w:tc>
          <w:tcPr>
            <w:tcW w:w="1985" w:type="dxa"/>
            <w:tcBorders>
              <w:top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spacing w:line="240" w:lineRule="auto"/>
              <w:jc w:val="center"/>
              <w:textAlignment w:val="baseline"/>
              <w:rPr>
                <w:rFonts w:ascii="Arial" w:hAnsi="Arial" w:cs="Arial"/>
                <w:b/>
                <w:bCs/>
                <w:color w:val="FFFFFF"/>
                <w:sz w:val="24"/>
                <w:szCs w:val="24"/>
              </w:rPr>
            </w:pPr>
            <w:r>
              <w:rPr>
                <w:rFonts w:ascii="Arial" w:hAnsi="Arial" w:cs="Arial"/>
                <w:b/>
                <w:bCs/>
                <w:color w:val="FFFFFF"/>
                <w:sz w:val="24"/>
                <w:szCs w:val="24"/>
              </w:rPr>
              <w:t>TEMÁTICA</w:t>
            </w:r>
          </w:p>
        </w:tc>
        <w:tc>
          <w:tcPr>
            <w:tcW w:w="1202" w:type="dxa"/>
            <w:tcBorders>
              <w:top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spacing w:line="240" w:lineRule="auto"/>
              <w:jc w:val="center"/>
              <w:textAlignment w:val="baseline"/>
              <w:rPr>
                <w:rFonts w:ascii="Arial" w:hAnsi="Arial" w:cs="Arial"/>
                <w:b/>
                <w:bCs/>
                <w:color w:val="FFFFFF"/>
                <w:sz w:val="24"/>
                <w:szCs w:val="24"/>
              </w:rPr>
            </w:pPr>
            <w:r>
              <w:rPr>
                <w:rFonts w:ascii="Arial" w:hAnsi="Arial" w:cs="Arial"/>
                <w:b/>
                <w:bCs/>
                <w:color w:val="FFFFFF"/>
                <w:sz w:val="24"/>
                <w:szCs w:val="24"/>
              </w:rPr>
              <w:t>FECHA</w:t>
            </w:r>
          </w:p>
        </w:tc>
        <w:tc>
          <w:tcPr>
            <w:tcW w:w="1984" w:type="dxa"/>
            <w:tcBorders>
              <w:top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suppressAutoHyphens/>
              <w:autoSpaceDN w:val="0"/>
              <w:spacing w:line="240" w:lineRule="auto"/>
              <w:jc w:val="center"/>
              <w:textAlignment w:val="baseline"/>
              <w:rPr>
                <w:rFonts w:ascii="Arial" w:hAnsi="Arial" w:cs="Arial"/>
                <w:b/>
                <w:bCs/>
                <w:color w:val="FFFFFF"/>
                <w:sz w:val="24"/>
                <w:szCs w:val="24"/>
              </w:rPr>
            </w:pPr>
            <w:r>
              <w:rPr>
                <w:rFonts w:ascii="Arial" w:hAnsi="Arial" w:cs="Arial"/>
                <w:b/>
                <w:bCs/>
                <w:color w:val="FFFFFF"/>
                <w:sz w:val="24"/>
                <w:szCs w:val="24"/>
              </w:rPr>
              <w:t>LOCALIZACIÓN</w:t>
            </w:r>
          </w:p>
        </w:tc>
      </w:tr>
      <w:tr>
        <w:trPr>
          <w:trHeight w:val="315"/>
        </w:trPr>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Radio Guinigüada</w:t>
            </w:r>
          </w:p>
        </w:tc>
        <w:tc>
          <w:tcPr>
            <w:tcW w:w="1480" w:type="dxa"/>
            <w:vMerge w:val="restart"/>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Población  </w:t>
            </w:r>
          </w:p>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General</w:t>
            </w:r>
          </w:p>
        </w:tc>
        <w:tc>
          <w:tcPr>
            <w:tcW w:w="1985"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Información  </w:t>
            </w:r>
          </w:p>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Proyecto</w:t>
            </w:r>
          </w:p>
        </w:tc>
        <w:tc>
          <w:tcPr>
            <w:tcW w:w="120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24/02/2025</w:t>
            </w:r>
          </w:p>
        </w:tc>
        <w:tc>
          <w:tcPr>
            <w:tcW w:w="1984"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Las Palmas de Gran Canaria</w:t>
            </w:r>
          </w:p>
        </w:tc>
      </w:tr>
      <w:tr>
        <w:trPr>
          <w:trHeight w:val="264"/>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TV Canarias, noticias</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val="restart"/>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 Día Mundial contra la Trata de Personas </w:t>
            </w: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29/07/2025</w:t>
            </w:r>
          </w:p>
        </w:tc>
        <w:tc>
          <w:tcPr>
            <w:tcW w:w="198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Presencial, sede Programa Oblatas Daniela</w:t>
            </w:r>
          </w:p>
        </w:tc>
      </w:tr>
      <w:tr>
        <w:trPr>
          <w:trHeight w:val="264"/>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Radio COPE</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30/07/2025</w:t>
            </w:r>
          </w:p>
        </w:tc>
        <w:tc>
          <w:tcPr>
            <w:tcW w:w="1984" w:type="dxa"/>
            <w:vMerge w:val="restart"/>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Vía Telefónica</w:t>
            </w:r>
          </w:p>
        </w:tc>
      </w:tr>
      <w:tr>
        <w:trPr>
          <w:trHeight w:val="264"/>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Radio Onda Cero</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30/07/2025</w:t>
            </w:r>
          </w:p>
        </w:tc>
        <w:tc>
          <w:tcPr>
            <w:tcW w:w="1984"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r>
      <w:tr>
        <w:trPr>
          <w:trHeight w:val="264"/>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Canarias Radio</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30/07/2025</w:t>
            </w:r>
          </w:p>
        </w:tc>
        <w:tc>
          <w:tcPr>
            <w:tcW w:w="1984"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r>
      <w:tr>
        <w:trPr>
          <w:trHeight w:val="264"/>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RNE</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val="restart"/>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Jornadas  </w:t>
            </w:r>
          </w:p>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Sensibilización </w:t>
            </w: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15/09/2025</w:t>
            </w:r>
          </w:p>
        </w:tc>
        <w:tc>
          <w:tcPr>
            <w:tcW w:w="1984"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r>
      <w:tr>
        <w:trPr>
          <w:trHeight w:val="456"/>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Radio Las Palmas</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18/09/2025</w:t>
            </w:r>
          </w:p>
        </w:tc>
        <w:tc>
          <w:tcPr>
            <w:tcW w:w="19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Presencial, Oficinas Radio Las Palmas</w:t>
            </w:r>
          </w:p>
        </w:tc>
      </w:tr>
      <w:tr>
        <w:trPr>
          <w:trHeight w:val="264"/>
        </w:trPr>
        <w:tc>
          <w:tcPr>
            <w:tcW w:w="178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lastRenderedPageBreak/>
              <w:t>TVE Canarias</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22/09/2025</w:t>
            </w:r>
          </w:p>
        </w:tc>
        <w:tc>
          <w:tcPr>
            <w:tcW w:w="19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Online, TVE Sede Tenerife</w:t>
            </w:r>
          </w:p>
        </w:tc>
      </w:tr>
      <w:tr>
        <w:trPr>
          <w:trHeight w:val="264"/>
        </w:trPr>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Radio Telde</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22/09/2025</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Vía Telefónica</w:t>
            </w:r>
          </w:p>
        </w:tc>
      </w:tr>
      <w:tr>
        <w:trPr>
          <w:trHeight w:val="456"/>
        </w:trPr>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RNE</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23/09/2025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Presencial, Oficinas RNE, Estudios María Daniela</w:t>
            </w:r>
          </w:p>
        </w:tc>
      </w:tr>
      <w:tr>
        <w:trPr>
          <w:trHeight w:val="264"/>
        </w:trPr>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b/>
                <w:color w:val="000000"/>
                <w:sz w:val="24"/>
                <w:szCs w:val="24"/>
                <w:lang w:eastAsia="es-ES"/>
              </w:rPr>
            </w:pPr>
            <w:r>
              <w:rPr>
                <w:rFonts w:ascii="Arial" w:eastAsia="Times New Roman" w:hAnsi="Arial" w:cs="Arial"/>
                <w:b/>
                <w:color w:val="000000"/>
                <w:sz w:val="24"/>
                <w:szCs w:val="24"/>
                <w:lang w:eastAsia="es-ES"/>
              </w:rPr>
              <w:t>Onda Cero</w:t>
            </w:r>
          </w:p>
        </w:tc>
        <w:tc>
          <w:tcPr>
            <w:tcW w:w="1480" w:type="dxa"/>
            <w:vMerge/>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985" w:type="dxa"/>
            <w:vMerge/>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23/09/2025</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Presencial</w:t>
            </w:r>
          </w:p>
        </w:tc>
      </w:tr>
    </w:tbl>
    <w:p>
      <w:pPr>
        <w:suppressAutoHyphens/>
        <w:autoSpaceDN w:val="0"/>
        <w:spacing w:after="160"/>
        <w:jc w:val="both"/>
        <w:textAlignment w:val="baseline"/>
        <w:rPr>
          <w:rFonts w:ascii="Arial" w:hAnsi="Arial" w:cs="Arial"/>
          <w:sz w:val="24"/>
          <w:szCs w:val="24"/>
        </w:rPr>
      </w:pPr>
      <w:r>
        <w:rPr>
          <w:rFonts w:ascii="Arial" w:hAnsi="Arial" w:cs="Arial"/>
          <w:sz w:val="24"/>
          <w:szCs w:val="24"/>
        </w:rPr>
        <w:t xml:space="preserve"> </w:t>
      </w:r>
    </w:p>
    <w:p>
      <w:pPr>
        <w:suppressAutoHyphens/>
        <w:autoSpaceDN w:val="0"/>
        <w:spacing w:after="160"/>
        <w:jc w:val="both"/>
        <w:textAlignment w:val="baseline"/>
        <w:rPr>
          <w:rFonts w:ascii="Arial" w:hAnsi="Arial" w:cs="Arial"/>
          <w:sz w:val="24"/>
          <w:szCs w:val="24"/>
        </w:rPr>
      </w:pPr>
    </w:p>
    <w:p>
      <w:pPr>
        <w:suppressAutoHyphens/>
        <w:autoSpaceDN w:val="0"/>
        <w:spacing w:after="160" w:line="360" w:lineRule="auto"/>
        <w:jc w:val="both"/>
        <w:textAlignment w:val="baseline"/>
        <w:rPr>
          <w:rFonts w:ascii="Arial" w:hAnsi="Arial" w:cs="Arial"/>
          <w:sz w:val="24"/>
          <w:szCs w:val="24"/>
        </w:rPr>
      </w:pPr>
      <w:r>
        <w:rPr>
          <w:rFonts w:ascii="Arial" w:hAnsi="Arial" w:cs="Arial"/>
          <w:sz w:val="24"/>
          <w:szCs w:val="24"/>
        </w:rPr>
        <w:t xml:space="preserve">A continuación, se indica los </w:t>
      </w:r>
      <w:r>
        <w:rPr>
          <w:rFonts w:ascii="Arial" w:hAnsi="Arial" w:cs="Arial"/>
          <w:b/>
          <w:sz w:val="24"/>
          <w:szCs w:val="24"/>
        </w:rPr>
        <w:t>enlaces webs</w:t>
      </w:r>
      <w:r>
        <w:rPr>
          <w:rFonts w:ascii="Arial" w:hAnsi="Arial" w:cs="Arial"/>
          <w:sz w:val="24"/>
          <w:szCs w:val="24"/>
        </w:rPr>
        <w:t xml:space="preserve"> conocidos y proporcionados para poder acceder a las acciones realizadas: </w:t>
      </w:r>
    </w:p>
    <w:tbl>
      <w:tblPr>
        <w:tblW w:w="9209" w:type="dxa"/>
        <w:jc w:val="center"/>
        <w:tblLayout w:type="fixed"/>
        <w:tblCellMar>
          <w:left w:w="10" w:type="dxa"/>
          <w:right w:w="10" w:type="dxa"/>
        </w:tblCellMar>
        <w:tblLook w:val="0000" w:firstRow="0" w:lastRow="0" w:firstColumn="0" w:lastColumn="0" w:noHBand="0" w:noVBand="0"/>
      </w:tblPr>
      <w:tblGrid>
        <w:gridCol w:w="3828"/>
        <w:gridCol w:w="3305"/>
        <w:gridCol w:w="2076"/>
      </w:tblGrid>
      <w:tr>
        <w:trPr>
          <w:jc w:val="center"/>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160"/>
              <w:jc w:val="center"/>
              <w:textAlignment w:val="baseline"/>
              <w:rPr>
                <w:rFonts w:ascii="Arial" w:hAnsi="Arial" w:cs="Arial"/>
                <w:sz w:val="20"/>
                <w:szCs w:val="20"/>
              </w:rPr>
            </w:pPr>
            <w:r>
              <w:rPr>
                <w:rFonts w:ascii="Arial" w:hAnsi="Arial" w:cs="Arial"/>
                <w:b/>
                <w:color w:val="FFFFFF"/>
                <w:sz w:val="20"/>
                <w:szCs w:val="20"/>
                <w:shd w:val="clear" w:color="auto" w:fill="660066"/>
              </w:rPr>
              <w:t>ENLACES</w:t>
            </w:r>
          </w:p>
        </w:tc>
      </w:tr>
      <w:tr>
        <w:trPr>
          <w:trHeight w:val="353"/>
          <w:jc w:val="center"/>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160"/>
              <w:jc w:val="center"/>
              <w:textAlignment w:val="baseline"/>
              <w:rPr>
                <w:rFonts w:ascii="Arial" w:hAnsi="Arial" w:cs="Arial"/>
                <w:sz w:val="20"/>
                <w:szCs w:val="20"/>
              </w:rPr>
            </w:pPr>
            <w:r>
              <w:rPr>
                <w:rFonts w:ascii="Arial" w:hAnsi="Arial" w:cs="Arial"/>
                <w:b/>
                <w:color w:val="FFFFFF"/>
                <w:sz w:val="20"/>
                <w:szCs w:val="20"/>
              </w:rPr>
              <w:t>RADIO Y PODCAST</w:t>
            </w:r>
          </w:p>
        </w:tc>
      </w:tr>
      <w:tr>
        <w:trPr>
          <w:jc w:val="center"/>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
                <w:bCs/>
                <w:sz w:val="20"/>
                <w:szCs w:val="20"/>
              </w:rPr>
            </w:pPr>
            <w:r>
              <w:rPr>
                <w:rFonts w:ascii="Arial" w:hAnsi="Arial" w:cs="Arial"/>
                <w:b/>
                <w:bCs/>
                <w:sz w:val="20"/>
                <w:szCs w:val="20"/>
              </w:rPr>
              <w:t>Radio Las Palmas (2025). Prostitución en la cultura: de la romantización a la denuncia.</w:t>
            </w:r>
          </w:p>
        </w:tc>
        <w:tc>
          <w:tcPr>
            <w:tcW w:w="53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Cs/>
                <w:sz w:val="20"/>
                <w:szCs w:val="20"/>
                <w:lang w:val="pt-PT"/>
              </w:rPr>
            </w:pPr>
            <w:r>
              <w:rPr>
                <w:rFonts w:ascii="Arial" w:hAnsi="Arial" w:cs="Arial"/>
                <w:bCs/>
                <w:sz w:val="20"/>
                <w:szCs w:val="20"/>
                <w:lang w:val="pt-PT"/>
              </w:rPr>
              <w:t>www.radiolaspalmas.com/cultura/2025/09/20/prostitucion-en-la-cultura--de-la-romantizacion-a-la denuncia/n13777.html</w:t>
            </w:r>
          </w:p>
        </w:tc>
      </w:tr>
      <w:tr>
        <w:trPr>
          <w:trHeight w:val="657"/>
          <w:jc w:val="center"/>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
                <w:bCs/>
                <w:sz w:val="20"/>
                <w:szCs w:val="20"/>
              </w:rPr>
            </w:pPr>
            <w:r>
              <w:rPr>
                <w:rFonts w:ascii="Arial" w:hAnsi="Arial" w:cs="Arial"/>
                <w:b/>
                <w:bCs/>
                <w:sz w:val="20"/>
                <w:szCs w:val="20"/>
              </w:rPr>
              <w:t xml:space="preserve">Spotify. Episodio sobre trata y explotación sexual. </w:t>
            </w:r>
          </w:p>
        </w:tc>
        <w:tc>
          <w:tcPr>
            <w:tcW w:w="53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Cs/>
                <w:sz w:val="20"/>
                <w:szCs w:val="20"/>
              </w:rPr>
            </w:pPr>
            <w:r>
              <w:rPr>
                <w:rFonts w:ascii="Arial" w:hAnsi="Arial" w:cs="Arial"/>
                <w:bCs/>
                <w:sz w:val="20"/>
                <w:szCs w:val="20"/>
              </w:rPr>
              <w:t xml:space="preserve">open.spotify.com/episode/1Qt7ftKhrrs7jinYJYX8VP </w:t>
            </w:r>
          </w:p>
          <w:p>
            <w:pPr>
              <w:suppressAutoHyphens/>
              <w:autoSpaceDN w:val="0"/>
              <w:spacing w:after="160"/>
              <w:jc w:val="both"/>
              <w:textAlignment w:val="baseline"/>
              <w:rPr>
                <w:rFonts w:ascii="Arial" w:hAnsi="Arial" w:cs="Arial"/>
                <w:color w:val="000000"/>
                <w:sz w:val="20"/>
                <w:szCs w:val="20"/>
              </w:rPr>
            </w:pPr>
          </w:p>
        </w:tc>
      </w:tr>
      <w:tr>
        <w:trPr>
          <w:trHeight w:val="535"/>
          <w:jc w:val="center"/>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line="240" w:lineRule="auto"/>
              <w:jc w:val="both"/>
              <w:textAlignment w:val="baseline"/>
              <w:rPr>
                <w:rFonts w:ascii="Arial" w:hAnsi="Arial" w:cs="Arial"/>
                <w:b/>
                <w:bCs/>
                <w:sz w:val="20"/>
                <w:szCs w:val="20"/>
              </w:rPr>
            </w:pPr>
            <w:r>
              <w:rPr>
                <w:rFonts w:ascii="Arial" w:hAnsi="Arial" w:cs="Arial"/>
                <w:b/>
                <w:bCs/>
                <w:sz w:val="20"/>
                <w:szCs w:val="20"/>
              </w:rPr>
              <w:t>iVoox. Sansofé.</w:t>
            </w:r>
          </w:p>
        </w:tc>
        <w:tc>
          <w:tcPr>
            <w:tcW w:w="3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ind w:right="-852"/>
              <w:jc w:val="both"/>
              <w:textAlignment w:val="baseline"/>
              <w:rPr>
                <w:rFonts w:ascii="Arial" w:hAnsi="Arial" w:cs="Arial"/>
                <w:sz w:val="20"/>
                <w:szCs w:val="20"/>
              </w:rPr>
            </w:pPr>
            <w:r>
              <w:rPr>
                <w:rFonts w:ascii="Arial" w:hAnsi="Arial" w:cs="Arial"/>
                <w:bCs/>
                <w:sz w:val="20"/>
                <w:szCs w:val="20"/>
              </w:rPr>
              <w:t xml:space="preserve">ivoox.com/sansofe-resumen-semanal-2025-02-28-audios mp3_rf_140845871_1.html </w:t>
            </w: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pPr>
              <w:tabs>
                <w:tab w:val="left" w:pos="1560"/>
              </w:tabs>
              <w:suppressAutoHyphens/>
              <w:autoSpaceDN w:val="0"/>
              <w:spacing w:before="120" w:after="120"/>
              <w:ind w:right="-852"/>
              <w:jc w:val="both"/>
              <w:textAlignment w:val="baseline"/>
              <w:rPr>
                <w:rFonts w:ascii="Arial" w:hAnsi="Arial" w:cs="Arial"/>
                <w:sz w:val="20"/>
                <w:szCs w:val="20"/>
              </w:rPr>
            </w:pPr>
            <w:r>
              <w:rPr>
                <w:rFonts w:ascii="Arial" w:hAnsi="Arial" w:cs="Arial"/>
                <w:sz w:val="20"/>
                <w:szCs w:val="20"/>
              </w:rPr>
              <w:t xml:space="preserve">        64 oyentes</w:t>
            </w:r>
          </w:p>
        </w:tc>
      </w:tr>
      <w:tr>
        <w:trPr>
          <w:jc w:val="center"/>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160"/>
              <w:jc w:val="center"/>
              <w:textAlignment w:val="baseline"/>
              <w:rPr>
                <w:rFonts w:ascii="Arial" w:hAnsi="Arial" w:cs="Arial"/>
                <w:sz w:val="20"/>
                <w:szCs w:val="20"/>
              </w:rPr>
            </w:pPr>
            <w:r>
              <w:rPr>
                <w:rFonts w:ascii="Arial" w:hAnsi="Arial" w:cs="Arial"/>
                <w:b/>
                <w:color w:val="FFFFFF"/>
                <w:sz w:val="20"/>
                <w:szCs w:val="20"/>
              </w:rPr>
              <w:t>PERIÓDICO DIGITAL</w:t>
            </w:r>
          </w:p>
        </w:tc>
      </w:tr>
      <w:tr>
        <w:trPr>
          <w:jc w:val="center"/>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
                <w:bCs/>
                <w:sz w:val="20"/>
                <w:szCs w:val="20"/>
              </w:rPr>
            </w:pPr>
            <w:r>
              <w:rPr>
                <w:rFonts w:ascii="Arial" w:hAnsi="Arial" w:cs="Arial"/>
                <w:b/>
                <w:bCs/>
                <w:sz w:val="20"/>
                <w:szCs w:val="20"/>
              </w:rPr>
              <w:t>Grave, invisibilizada y difícil de detectar: la trata con fines de explotación sexual. Canarias7</w:t>
            </w:r>
          </w:p>
        </w:tc>
        <w:tc>
          <w:tcPr>
            <w:tcW w:w="53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Cs/>
                <w:sz w:val="20"/>
                <w:szCs w:val="20"/>
              </w:rPr>
            </w:pPr>
            <w:r>
              <w:rPr>
                <w:rFonts w:ascii="Arial" w:hAnsi="Arial" w:cs="Arial"/>
                <w:bCs/>
                <w:sz w:val="20"/>
                <w:szCs w:val="20"/>
              </w:rPr>
              <w:t>www.canarias7.es/sociedad/grave-invisibilizada-dificil-detectar-trata-fines-explotacion-20250729141442-nt.html</w:t>
            </w:r>
          </w:p>
        </w:tc>
      </w:tr>
      <w:tr>
        <w:trPr>
          <w:jc w:val="center"/>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b/>
                <w:bCs/>
                <w:sz w:val="20"/>
                <w:szCs w:val="20"/>
              </w:rPr>
            </w:pPr>
            <w:r>
              <w:rPr>
                <w:rFonts w:ascii="Arial" w:hAnsi="Arial" w:cs="Arial"/>
                <w:b/>
                <w:bCs/>
                <w:sz w:val="20"/>
                <w:szCs w:val="20"/>
              </w:rPr>
              <w:t xml:space="preserve">Digital Faro Canarias. Víctimas invisibles: la trata de personas con fines de explotación sexual.  </w:t>
            </w:r>
          </w:p>
        </w:tc>
        <w:tc>
          <w:tcPr>
            <w:tcW w:w="53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tabs>
                <w:tab w:val="left" w:pos="1560"/>
              </w:tabs>
              <w:suppressAutoHyphens/>
              <w:autoSpaceDN w:val="0"/>
              <w:spacing w:before="120" w:after="120"/>
              <w:jc w:val="both"/>
              <w:textAlignment w:val="baseline"/>
              <w:rPr>
                <w:rFonts w:ascii="Arial" w:hAnsi="Arial" w:cs="Arial"/>
                <w:sz w:val="20"/>
                <w:szCs w:val="20"/>
              </w:rPr>
            </w:pPr>
            <w:r>
              <w:rPr>
                <w:rFonts w:ascii="Arial" w:hAnsi="Arial" w:cs="Arial"/>
                <w:bCs/>
                <w:sz w:val="20"/>
                <w:szCs w:val="20"/>
              </w:rPr>
              <w:t xml:space="preserve">www.digitalfarocanarias.com/index.php/2025/07/29/victimas-invisibles-la-trata-de-personas-con-fines-de-explotacion-sexual-sigue-creciendo-a-la-sombra-en-canarias/ </w:t>
            </w:r>
          </w:p>
        </w:tc>
      </w:tr>
    </w:tbl>
    <w:p>
      <w:pPr>
        <w:suppressAutoHyphens/>
        <w:autoSpaceDN w:val="0"/>
        <w:spacing w:after="160"/>
        <w:jc w:val="both"/>
        <w:textAlignment w:val="baseline"/>
        <w:rPr>
          <w:rFonts w:ascii="Arial" w:hAnsi="Arial" w:cs="Arial"/>
          <w:color w:val="000000"/>
          <w:sz w:val="24"/>
          <w:szCs w:val="24"/>
        </w:rPr>
      </w:pPr>
      <w:r>
        <w:rPr>
          <w:rFonts w:ascii="Arial" w:hAnsi="Arial" w:cs="Arial"/>
          <w:color w:val="000000"/>
          <w:sz w:val="24"/>
          <w:szCs w:val="24"/>
        </w:rPr>
        <w:t xml:space="preserve"> </w:t>
      </w:r>
    </w:p>
    <w:p>
      <w:pPr>
        <w:suppressAutoHyphens/>
        <w:autoSpaceDN w:val="0"/>
        <w:spacing w:after="160" w:line="360" w:lineRule="auto"/>
        <w:jc w:val="both"/>
        <w:textAlignment w:val="baseline"/>
        <w:rPr>
          <w:rFonts w:ascii="Arial" w:hAnsi="Arial" w:cs="Arial"/>
          <w:color w:val="000000"/>
          <w:sz w:val="24"/>
          <w:szCs w:val="24"/>
        </w:rPr>
      </w:pPr>
      <w:r>
        <w:rPr>
          <w:rFonts w:ascii="Arial" w:hAnsi="Arial" w:cs="Arial"/>
          <w:color w:val="000000"/>
          <w:sz w:val="24"/>
          <w:szCs w:val="24"/>
        </w:rPr>
        <w:t xml:space="preserve">Por último, es importante señalar que no es posible la cuantificación de número de oyentes, ya que no sólo deben considerarse las descargas o los datos reflejados en las distintas plataformas, sino también las personas que acceden a los contenidos a través de emisiones en radio abierta y en directo.  </w:t>
      </w:r>
    </w:p>
    <w:p>
      <w:pPr>
        <w:suppressAutoHyphens/>
        <w:autoSpaceDN w:val="0"/>
        <w:spacing w:after="0" w:line="360" w:lineRule="auto"/>
        <w:jc w:val="both"/>
        <w:textAlignment w:val="baseline"/>
        <w:rPr>
          <w:rFonts w:ascii="Arial" w:hAnsi="Arial" w:cs="Arial"/>
          <w:sz w:val="24"/>
          <w:szCs w:val="24"/>
        </w:rPr>
      </w:pPr>
      <w:r>
        <w:rPr>
          <w:rFonts w:ascii="Arial" w:hAnsi="Arial" w:cs="Arial"/>
          <w:color w:val="000000"/>
          <w:sz w:val="24"/>
          <w:szCs w:val="24"/>
        </w:rPr>
        <w:lastRenderedPageBreak/>
        <w:t>4.- En cuanto a las</w:t>
      </w:r>
      <w:r>
        <w:rPr>
          <w:rFonts w:ascii="Arial" w:hAnsi="Arial" w:cs="Arial"/>
          <w:b/>
          <w:color w:val="000000"/>
          <w:sz w:val="24"/>
          <w:szCs w:val="24"/>
        </w:rPr>
        <w:t xml:space="preserve"> </w:t>
      </w:r>
      <w:r>
        <w:rPr>
          <w:rFonts w:ascii="Arial" w:hAnsi="Arial" w:cs="Arial"/>
          <w:b/>
          <w:i/>
          <w:color w:val="000000"/>
          <w:sz w:val="24"/>
          <w:szCs w:val="24"/>
        </w:rPr>
        <w:t>Actividades de análisis, reflexión y formación del equipo del Programa Oblatas Daniela en materia de violencia de género por prostitución y trata con fines de explotación</w:t>
      </w:r>
      <w:r>
        <w:rPr>
          <w:rFonts w:ascii="Arial" w:hAnsi="Arial" w:cs="Arial"/>
          <w:b/>
          <w:color w:val="000000"/>
          <w:sz w:val="24"/>
          <w:szCs w:val="24"/>
        </w:rPr>
        <w:t xml:space="preserve">, </w:t>
      </w:r>
      <w:r>
        <w:rPr>
          <w:rFonts w:ascii="Arial" w:hAnsi="Arial" w:cs="Arial"/>
          <w:color w:val="000000"/>
          <w:sz w:val="24"/>
          <w:szCs w:val="24"/>
        </w:rPr>
        <w:t xml:space="preserve">el equipo interdisciplinar ha podido realizar, diversas formaciones orientadas a la mejora de la calidad profesional y al fortalecimiento de los conocimientos específicos vinculados a su ámbito de intervención.   </w:t>
      </w:r>
    </w:p>
    <w:p>
      <w:pPr>
        <w:suppressAutoHyphens/>
        <w:autoSpaceDN w:val="0"/>
        <w:spacing w:after="0" w:line="360" w:lineRule="auto"/>
        <w:jc w:val="both"/>
        <w:textAlignment w:val="baseline"/>
        <w:rPr>
          <w:rFonts w:ascii="Arial" w:hAnsi="Arial" w:cs="Arial"/>
          <w:color w:val="000000"/>
          <w:sz w:val="24"/>
          <w:szCs w:val="24"/>
        </w:rPr>
      </w:pPr>
      <w:r>
        <w:rPr>
          <w:rFonts w:ascii="Arial" w:hAnsi="Arial" w:cs="Arial"/>
          <w:color w:val="000000"/>
          <w:sz w:val="24"/>
          <w:szCs w:val="24"/>
        </w:rPr>
        <w:t xml:space="preserve">Por otro lado, se han mantenido las acciones de autocuidado dirigidas a las distintas áreas del Programa, garantizando además la flexibilidad necesaria para facilitar la asistencia presencial a las actividades.   </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color w:val="000000"/>
          <w:sz w:val="24"/>
          <w:szCs w:val="24"/>
        </w:rPr>
      </w:pPr>
      <w:r>
        <w:rPr>
          <w:rFonts w:ascii="Arial" w:hAnsi="Arial" w:cs="Arial"/>
          <w:color w:val="000000"/>
          <w:sz w:val="24"/>
          <w:szCs w:val="24"/>
        </w:rPr>
        <w:t xml:space="preserve"> Las formaciones recibidas han estado principalmente relacionadas con los ámbitos social, laboral, psicológico, jurídico y de coordinación.</w:t>
      </w:r>
    </w:p>
    <w:p>
      <w:pPr>
        <w:suppressAutoHyphens/>
        <w:autoSpaceDN w:val="0"/>
        <w:spacing w:after="0" w:line="360" w:lineRule="auto"/>
        <w:textAlignment w:val="baseline"/>
        <w:rPr>
          <w:rFonts w:ascii="Arial" w:hAnsi="Arial" w:cs="Arial"/>
          <w:color w:val="000000"/>
          <w:sz w:val="24"/>
          <w:szCs w:val="24"/>
          <w:lang w:eastAsia="es-ES"/>
        </w:rPr>
      </w:pPr>
    </w:p>
    <w:p>
      <w:pPr>
        <w:suppressAutoHyphens/>
        <w:autoSpaceDN w:val="0"/>
        <w:spacing w:after="0" w:line="360" w:lineRule="auto"/>
        <w:ind w:left="709"/>
        <w:textAlignment w:val="baseline"/>
        <w:rPr>
          <w:rFonts w:ascii="Arial" w:hAnsi="Arial" w:cs="Arial"/>
          <w:sz w:val="24"/>
          <w:szCs w:val="24"/>
        </w:rPr>
      </w:pPr>
      <w:r>
        <w:rPr>
          <w:rFonts w:ascii="Arial" w:hAnsi="Arial" w:cs="Arial"/>
          <w:noProof/>
          <w:color w:val="000000"/>
          <w:sz w:val="24"/>
          <w:szCs w:val="24"/>
          <w:lang w:eastAsia="es-ES"/>
        </w:rPr>
        <w:drawing>
          <wp:inline distT="0" distB="0" distL="0" distR="0">
            <wp:extent cx="4886325" cy="2114550"/>
            <wp:effectExtent l="0" t="0" r="9525" b="0"/>
            <wp:docPr id="10"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suppressAutoHyphens/>
        <w:autoSpaceDN w:val="0"/>
        <w:spacing w:after="0" w:line="360" w:lineRule="auto"/>
        <w:jc w:val="both"/>
        <w:textAlignment w:val="baseline"/>
        <w:rPr>
          <w:rFonts w:ascii="Arial" w:hAnsi="Arial" w:cs="Arial"/>
          <w:color w:val="000000"/>
          <w:sz w:val="24"/>
          <w:szCs w:val="24"/>
        </w:rPr>
      </w:pPr>
    </w:p>
    <w:p>
      <w:pPr>
        <w:numPr>
          <w:ilvl w:val="1"/>
          <w:numId w:val="114"/>
        </w:numPr>
        <w:suppressAutoHyphens/>
        <w:autoSpaceDN w:val="0"/>
        <w:spacing w:after="0" w:line="360" w:lineRule="auto"/>
        <w:ind w:left="709"/>
        <w:jc w:val="both"/>
        <w:textAlignment w:val="baseline"/>
        <w:rPr>
          <w:rFonts w:ascii="Arial" w:hAnsi="Arial" w:cs="Arial"/>
          <w:sz w:val="24"/>
          <w:szCs w:val="24"/>
        </w:rPr>
      </w:pPr>
      <w:r>
        <w:rPr>
          <w:rFonts w:ascii="Arial" w:hAnsi="Arial" w:cs="Arial"/>
          <w:color w:val="000000"/>
          <w:sz w:val="24"/>
          <w:szCs w:val="24"/>
        </w:rPr>
        <w:t xml:space="preserve">Se han realizado un total de </w:t>
      </w:r>
      <w:r>
        <w:rPr>
          <w:rFonts w:ascii="Arial" w:hAnsi="Arial" w:cs="Arial"/>
          <w:b/>
          <w:bCs/>
          <w:color w:val="000000"/>
          <w:sz w:val="24"/>
          <w:szCs w:val="24"/>
        </w:rPr>
        <w:t>24 acciones</w:t>
      </w:r>
      <w:r>
        <w:rPr>
          <w:rFonts w:ascii="Arial" w:hAnsi="Arial" w:cs="Arial"/>
          <w:color w:val="000000"/>
          <w:sz w:val="24"/>
          <w:szCs w:val="24"/>
        </w:rPr>
        <w:t>.</w:t>
      </w:r>
    </w:p>
    <w:p>
      <w:pPr>
        <w:numPr>
          <w:ilvl w:val="1"/>
          <w:numId w:val="114"/>
        </w:numPr>
        <w:suppressAutoHyphens/>
        <w:autoSpaceDN w:val="0"/>
        <w:spacing w:after="0" w:line="360" w:lineRule="auto"/>
        <w:ind w:left="709"/>
        <w:jc w:val="both"/>
        <w:textAlignment w:val="baseline"/>
        <w:rPr>
          <w:rFonts w:ascii="Arial" w:hAnsi="Arial" w:cs="Arial"/>
          <w:sz w:val="24"/>
          <w:szCs w:val="24"/>
        </w:rPr>
      </w:pPr>
      <w:r>
        <w:rPr>
          <w:rFonts w:ascii="Arial" w:hAnsi="Arial" w:cs="Arial"/>
          <w:b/>
          <w:bCs/>
          <w:color w:val="000000"/>
          <w:sz w:val="24"/>
          <w:szCs w:val="24"/>
        </w:rPr>
        <w:t>15 entidades</w:t>
      </w:r>
      <w:r>
        <w:rPr>
          <w:rFonts w:ascii="Arial" w:hAnsi="Arial" w:cs="Arial"/>
          <w:color w:val="000000"/>
          <w:sz w:val="24"/>
          <w:szCs w:val="24"/>
        </w:rPr>
        <w:t xml:space="preserve"> han impartido formación al equipo del Programa.</w:t>
      </w:r>
    </w:p>
    <w:p>
      <w:pPr>
        <w:numPr>
          <w:ilvl w:val="1"/>
          <w:numId w:val="114"/>
        </w:numPr>
        <w:suppressAutoHyphens/>
        <w:autoSpaceDN w:val="0"/>
        <w:spacing w:after="0" w:line="360" w:lineRule="auto"/>
        <w:ind w:left="709"/>
        <w:jc w:val="both"/>
        <w:textAlignment w:val="baseline"/>
        <w:rPr>
          <w:rFonts w:ascii="Arial" w:hAnsi="Arial" w:cs="Arial"/>
          <w:sz w:val="24"/>
          <w:szCs w:val="24"/>
        </w:rPr>
      </w:pPr>
      <w:r>
        <w:rPr>
          <w:rFonts w:ascii="Arial" w:hAnsi="Arial" w:cs="Arial"/>
          <w:bCs/>
          <w:color w:val="000000"/>
          <w:sz w:val="24"/>
          <w:szCs w:val="24"/>
        </w:rPr>
        <w:t>8 acciones formativas</w:t>
      </w:r>
      <w:r>
        <w:rPr>
          <w:rFonts w:ascii="Arial" w:hAnsi="Arial" w:cs="Arial"/>
          <w:color w:val="000000"/>
          <w:sz w:val="24"/>
          <w:szCs w:val="24"/>
        </w:rPr>
        <w:t xml:space="preserve"> se desarrollaron en modalidad online y </w:t>
      </w:r>
      <w:r>
        <w:rPr>
          <w:rFonts w:ascii="Arial" w:hAnsi="Arial" w:cs="Arial"/>
          <w:bCs/>
          <w:color w:val="000000"/>
          <w:sz w:val="24"/>
          <w:szCs w:val="24"/>
        </w:rPr>
        <w:t>7 de forma presencial</w:t>
      </w:r>
      <w:r>
        <w:rPr>
          <w:rFonts w:ascii="Arial" w:hAnsi="Arial" w:cs="Arial"/>
          <w:color w:val="000000"/>
          <w:sz w:val="24"/>
          <w:szCs w:val="24"/>
        </w:rPr>
        <w:t>.</w:t>
      </w:r>
    </w:p>
    <w:p>
      <w:pPr>
        <w:numPr>
          <w:ilvl w:val="1"/>
          <w:numId w:val="114"/>
        </w:numPr>
        <w:suppressAutoHyphens/>
        <w:autoSpaceDN w:val="0"/>
        <w:spacing w:after="0" w:line="360" w:lineRule="auto"/>
        <w:ind w:left="709"/>
        <w:jc w:val="both"/>
        <w:textAlignment w:val="baseline"/>
        <w:rPr>
          <w:rFonts w:ascii="Arial" w:hAnsi="Arial" w:cs="Arial"/>
          <w:sz w:val="24"/>
          <w:szCs w:val="24"/>
        </w:rPr>
      </w:pPr>
      <w:r>
        <w:rPr>
          <w:rFonts w:ascii="Arial" w:hAnsi="Arial" w:cs="Arial"/>
          <w:color w:val="000000"/>
          <w:sz w:val="24"/>
          <w:szCs w:val="24"/>
        </w:rPr>
        <w:t xml:space="preserve">Las acciones formativas provienen, mayoritariamente, de la </w:t>
      </w:r>
      <w:r>
        <w:rPr>
          <w:rFonts w:ascii="Arial" w:hAnsi="Arial" w:cs="Arial"/>
          <w:bCs/>
          <w:color w:val="000000"/>
          <w:sz w:val="24"/>
          <w:szCs w:val="24"/>
        </w:rPr>
        <w:t>Congregación Oblatas del Santísimo Redentor</w:t>
      </w:r>
      <w:r>
        <w:rPr>
          <w:rFonts w:ascii="Arial" w:hAnsi="Arial" w:cs="Arial"/>
          <w:color w:val="000000"/>
          <w:sz w:val="24"/>
          <w:szCs w:val="24"/>
        </w:rPr>
        <w:t xml:space="preserve">, </w:t>
      </w:r>
      <w:r>
        <w:rPr>
          <w:rFonts w:ascii="Arial" w:hAnsi="Arial" w:cs="Arial"/>
          <w:bCs/>
          <w:color w:val="000000"/>
          <w:sz w:val="24"/>
          <w:szCs w:val="24"/>
        </w:rPr>
        <w:t>Administraciones Públicas</w:t>
      </w:r>
      <w:r>
        <w:rPr>
          <w:rFonts w:ascii="Arial" w:hAnsi="Arial" w:cs="Arial"/>
          <w:color w:val="000000"/>
          <w:sz w:val="24"/>
          <w:szCs w:val="24"/>
        </w:rPr>
        <w:t xml:space="preserve">, </w:t>
      </w:r>
      <w:r>
        <w:rPr>
          <w:rFonts w:ascii="Arial" w:hAnsi="Arial" w:cs="Arial"/>
          <w:bCs/>
          <w:color w:val="000000"/>
          <w:sz w:val="24"/>
          <w:szCs w:val="24"/>
        </w:rPr>
        <w:t>ONGs</w:t>
      </w:r>
      <w:r>
        <w:rPr>
          <w:rFonts w:ascii="Arial" w:hAnsi="Arial" w:cs="Arial"/>
          <w:color w:val="000000"/>
          <w:sz w:val="24"/>
          <w:szCs w:val="24"/>
        </w:rPr>
        <w:t xml:space="preserve"> </w:t>
      </w:r>
      <w:r>
        <w:rPr>
          <w:rFonts w:ascii="Arial" w:hAnsi="Arial" w:cs="Arial"/>
          <w:sz w:val="24"/>
          <w:szCs w:val="24"/>
        </w:rPr>
        <w:t xml:space="preserve">y </w:t>
      </w:r>
      <w:r>
        <w:rPr>
          <w:rFonts w:ascii="Arial" w:hAnsi="Arial" w:cs="Arial"/>
          <w:bCs/>
          <w:sz w:val="24"/>
          <w:szCs w:val="24"/>
        </w:rPr>
        <w:t>entidades del ámbito laboral</w:t>
      </w:r>
      <w:r>
        <w:rPr>
          <w:rFonts w:ascii="Arial" w:hAnsi="Arial" w:cs="Arial"/>
          <w:sz w:val="24"/>
          <w:szCs w:val="24"/>
        </w:rPr>
        <w:t>.</w:t>
      </w:r>
    </w:p>
    <w:p>
      <w:pPr>
        <w:numPr>
          <w:ilvl w:val="1"/>
          <w:numId w:val="114"/>
        </w:numPr>
        <w:suppressAutoHyphens/>
        <w:autoSpaceDN w:val="0"/>
        <w:spacing w:after="0" w:line="360" w:lineRule="auto"/>
        <w:ind w:left="709"/>
        <w:jc w:val="both"/>
        <w:textAlignment w:val="baseline"/>
        <w:rPr>
          <w:rFonts w:ascii="Arial" w:hAnsi="Arial" w:cs="Arial"/>
          <w:color w:val="000000"/>
          <w:sz w:val="24"/>
          <w:szCs w:val="24"/>
        </w:rPr>
      </w:pPr>
      <w:r>
        <w:rPr>
          <w:rFonts w:ascii="Arial" w:hAnsi="Arial" w:cs="Arial"/>
          <w:color w:val="000000"/>
          <w:sz w:val="24"/>
          <w:szCs w:val="24"/>
        </w:rPr>
        <w:t>Las acciones formativas se han desarrollado en diversos espacios, incluyendo jornadas, seminarios, mesas de debate, formaciones puntuales o de corta duración, así como ferias de empleo.</w:t>
      </w:r>
    </w:p>
    <w:p>
      <w:pPr>
        <w:suppressAutoHyphens/>
        <w:autoSpaceDN w:val="0"/>
        <w:spacing w:after="0" w:line="360" w:lineRule="auto"/>
        <w:jc w:val="both"/>
        <w:textAlignment w:val="baseline"/>
        <w:rPr>
          <w:rFonts w:ascii="Arial" w:hAnsi="Arial" w:cs="Arial"/>
          <w:color w:val="000000"/>
          <w:sz w:val="24"/>
          <w:szCs w:val="24"/>
        </w:rPr>
      </w:pPr>
    </w:p>
    <w:p>
      <w:pPr>
        <w:suppressAutoHyphens/>
        <w:autoSpaceDN w:val="0"/>
        <w:spacing w:after="0" w:line="360" w:lineRule="auto"/>
        <w:jc w:val="both"/>
        <w:textAlignment w:val="baseline"/>
        <w:rPr>
          <w:rFonts w:ascii="Arial" w:hAnsi="Arial" w:cs="Arial"/>
          <w:color w:val="000000"/>
          <w:sz w:val="24"/>
          <w:szCs w:val="24"/>
        </w:rPr>
      </w:pPr>
      <w:r>
        <w:rPr>
          <w:rFonts w:ascii="Arial" w:hAnsi="Arial" w:cs="Arial"/>
          <w:color w:val="000000"/>
          <w:sz w:val="24"/>
          <w:szCs w:val="24"/>
        </w:rPr>
        <w:t xml:space="preserve">Cabe señalar, que Oblatas Provincia Europa ha promovido en todo momento acciones formativas internas, dirigidas no sólo a optimizar el desempeño profesional, sino también a consolidar entornos de trabajo saludables, fomentando la cohesión de los equipos y fortaleciendo las relaciones entre profesionales de los distintos proyectos a nivel estatal. </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color w:val="000000"/>
          <w:sz w:val="24"/>
          <w:szCs w:val="24"/>
        </w:rPr>
      </w:pPr>
      <w:r>
        <w:rPr>
          <w:rFonts w:ascii="Arial" w:hAnsi="Arial" w:cs="Arial"/>
          <w:color w:val="000000"/>
          <w:sz w:val="24"/>
          <w:szCs w:val="24"/>
        </w:rPr>
        <w:t>En la siguiente tabla, se indican las acciones formativas a las que se acude:</w:t>
      </w:r>
    </w:p>
    <w:p>
      <w:pPr>
        <w:suppressAutoHyphens/>
        <w:autoSpaceDN w:val="0"/>
        <w:spacing w:after="0"/>
        <w:jc w:val="both"/>
        <w:textAlignment w:val="baseline"/>
        <w:rPr>
          <w:rFonts w:ascii="Arial" w:hAnsi="Arial" w:cs="Arial"/>
          <w:color w:val="000000"/>
          <w:sz w:val="24"/>
          <w:szCs w:val="24"/>
        </w:rPr>
      </w:pPr>
    </w:p>
    <w:tbl>
      <w:tblPr>
        <w:tblW w:w="9639" w:type="dxa"/>
        <w:jc w:val="center"/>
        <w:tblCellMar>
          <w:left w:w="10" w:type="dxa"/>
          <w:right w:w="10" w:type="dxa"/>
        </w:tblCellMar>
        <w:tblLook w:val="0000" w:firstRow="0" w:lastRow="0" w:firstColumn="0" w:lastColumn="0" w:noHBand="0" w:noVBand="0"/>
      </w:tblPr>
      <w:tblGrid>
        <w:gridCol w:w="2405"/>
        <w:gridCol w:w="1701"/>
        <w:gridCol w:w="3969"/>
        <w:gridCol w:w="1564"/>
      </w:tblGrid>
      <w:tr>
        <w:trPr>
          <w:trHeight w:val="264"/>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bookmarkStart w:id="1" w:name="OLE_LINK1"/>
            <w:r>
              <w:rPr>
                <w:rFonts w:ascii="Arial" w:eastAsia="Times New Roman" w:hAnsi="Arial" w:cs="Arial"/>
                <w:b/>
                <w:bCs/>
                <w:color w:val="FFFFFF"/>
                <w:sz w:val="20"/>
                <w:szCs w:val="20"/>
                <w:lang w:eastAsia="es-ES"/>
              </w:rPr>
              <w:t>INSTITUCIÓN</w:t>
            </w:r>
          </w:p>
        </w:tc>
        <w:tc>
          <w:tcPr>
            <w:tcW w:w="1701" w:type="dxa"/>
            <w:tcBorders>
              <w:top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 xml:space="preserve">PRESENCIAL  </w:t>
            </w:r>
          </w:p>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ONLINE</w:t>
            </w:r>
          </w:p>
        </w:tc>
        <w:tc>
          <w:tcPr>
            <w:tcW w:w="3969" w:type="dxa"/>
            <w:tcBorders>
              <w:top w:val="single" w:sz="4" w:space="0" w:color="000000"/>
              <w:left w:val="single" w:sz="4" w:space="0" w:color="000000"/>
              <w:bottom w:val="single" w:sz="4" w:space="0" w:color="000000"/>
              <w:right w:val="single" w:sz="4" w:space="0" w:color="000000"/>
            </w:tcBorders>
            <w:shd w:val="clear" w:color="auto" w:fill="660066"/>
            <w:tcMar>
              <w:top w:w="0" w:type="dxa"/>
              <w:left w:w="70" w:type="dxa"/>
              <w:bottom w:w="0" w:type="dxa"/>
              <w:right w:w="70" w:type="dxa"/>
            </w:tcMar>
            <w:vAlign w:val="center"/>
          </w:tcPr>
          <w:p>
            <w:pPr>
              <w:autoSpaceDN w:val="0"/>
              <w:spacing w:after="0" w:line="240" w:lineRule="auto"/>
              <w:jc w:val="center"/>
              <w:textAlignment w:val="baseline"/>
              <w:rPr>
                <w:rFonts w:ascii="Arial" w:hAnsi="Arial" w:cs="Arial"/>
                <w:b/>
                <w:bCs/>
                <w:color w:val="FFFFFF"/>
                <w:sz w:val="20"/>
                <w:szCs w:val="20"/>
              </w:rPr>
            </w:pPr>
            <w:r>
              <w:rPr>
                <w:rFonts w:ascii="Arial" w:hAnsi="Arial" w:cs="Arial"/>
                <w:b/>
                <w:bCs/>
                <w:color w:val="FFFFFF"/>
                <w:sz w:val="20"/>
                <w:szCs w:val="20"/>
              </w:rPr>
              <w:t>TEMÁTICA</w:t>
            </w:r>
          </w:p>
        </w:tc>
        <w:tc>
          <w:tcPr>
            <w:tcW w:w="1564" w:type="dxa"/>
            <w:tcBorders>
              <w:top w:val="single" w:sz="4" w:space="0" w:color="000000"/>
              <w:left w:val="single" w:sz="4" w:space="0" w:color="000000"/>
              <w:bottom w:val="single" w:sz="4" w:space="0" w:color="000000"/>
              <w:right w:val="single" w:sz="4" w:space="0" w:color="000000"/>
            </w:tcBorders>
            <w:shd w:val="clear" w:color="auto" w:fill="660066"/>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FECHA</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Fundación</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Serra-Schönthal</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Acercamiento a mujeres en situación de prostitución deslocalizada para reforzar sus derechos.</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29/01/2025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Congregación Hermanas Oblatas del Santísimo Redentor</w:t>
            </w:r>
          </w:p>
        </w:tc>
        <w:tc>
          <w:tcPr>
            <w:tcW w:w="170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Presentación de la dinamización provincial.</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05/02/2025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Asociación</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Profesionales de la Orientación</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Sociolaboral de España</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Curso de Recursos del Coaching aplicados a la Orientación Sociolaboral</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Del 16/01/2025 al 05/03/2025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Médicos del Mundo</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Presentación III Informe de Barreras al SCS en poblaciones vulnerables.</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07/04/25</w:t>
            </w:r>
          </w:p>
        </w:tc>
      </w:tr>
      <w:tr>
        <w:trPr>
          <w:trHeight w:val="264"/>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EAPN Canarias</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Taller "Formación de Personas Formadoras de RedL@b".</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08/04/2025</w:t>
            </w:r>
          </w:p>
        </w:tc>
      </w:tr>
      <w:tr>
        <w:trPr>
          <w:trHeight w:val="375"/>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APRAMP</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Jornada Internacional de buenas prácticas contra la trata con fines de explotación sexual. Hablan las supervivientes.</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16/04/2025</w:t>
            </w:r>
          </w:p>
        </w:tc>
      </w:tr>
      <w:tr>
        <w:trPr>
          <w:trHeight w:val="375"/>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Fundación Mapfre Canarias</w:t>
            </w:r>
          </w:p>
          <w:p>
            <w:pPr>
              <w:autoSpaceDN w:val="0"/>
              <w:spacing w:after="0" w:line="240" w:lineRule="auto"/>
              <w:jc w:val="center"/>
              <w:rPr>
                <w:rFonts w:ascii="Arial" w:eastAsia="Times New Roman" w:hAnsi="Arial" w:cs="Arial"/>
                <w:color w:val="000000"/>
                <w:sz w:val="20"/>
                <w:szCs w:val="20"/>
                <w:lang w:eastAsia="es-ES"/>
              </w:rPr>
            </w:pP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sz w:val="20"/>
                <w:szCs w:val="20"/>
              </w:rPr>
            </w:pPr>
            <w:r>
              <w:rPr>
                <w:rFonts w:ascii="Arial" w:hAnsi="Arial" w:cs="Arial"/>
                <w:sz w:val="20"/>
                <w:szCs w:val="20"/>
              </w:rPr>
              <w:t>Jornadas “Construyendo entornos seguros e inclusivos: prevención de la violencia en poblaciones vulnerables”</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24/09/2025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Comunidad de Oblatas del Stmo. Redentor Las Palmas</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Jornadas de sensibilización contra la trata con fines de explotación sexual “Prostitución en la cultura”</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22-23-24/09/2025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Oblatas Provincia Europa, grupo de Administración</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“Elaboración de presupuestos”</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12/10/2025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CHARTER 100: II Cumbre.</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Liderazgo femenino desde Canarias</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04/10/2025</w:t>
            </w:r>
          </w:p>
        </w:tc>
      </w:tr>
      <w:tr>
        <w:trPr>
          <w:trHeight w:val="264"/>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lastRenderedPageBreak/>
              <w:t>Cabildo</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Insular de Gran Canaria</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Regulación emocional y trauma</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20-21-22/10/2025</w:t>
            </w:r>
          </w:p>
        </w:tc>
      </w:tr>
      <w:tr>
        <w:trPr>
          <w:trHeight w:val="264"/>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hAnsi="Arial" w:cs="Arial"/>
                <w:sz w:val="20"/>
                <w:szCs w:val="20"/>
              </w:rPr>
            </w:pPr>
            <w:r>
              <w:rPr>
                <w:rFonts w:ascii="Arial" w:hAnsi="Arial" w:cs="Arial"/>
                <w:sz w:val="20"/>
                <w:szCs w:val="20"/>
              </w:rPr>
              <w:t>Cabildo Insular de Gran Canaria</w:t>
            </w:r>
          </w:p>
          <w:p>
            <w:pPr>
              <w:autoSpaceDN w:val="0"/>
              <w:spacing w:after="0" w:line="240" w:lineRule="auto"/>
              <w:jc w:val="center"/>
              <w:rPr>
                <w:rFonts w:ascii="Arial" w:hAnsi="Arial" w:cs="Arial"/>
                <w:sz w:val="20"/>
                <w:szCs w:val="20"/>
              </w:rPr>
            </w:pPr>
            <w:r>
              <w:rPr>
                <w:rFonts w:ascii="Arial" w:hAnsi="Arial" w:cs="Arial"/>
                <w:sz w:val="20"/>
                <w:szCs w:val="20"/>
              </w:rPr>
              <w:t>CEP</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sz w:val="20"/>
                <w:szCs w:val="20"/>
              </w:rPr>
            </w:pPr>
            <w:r>
              <w:rPr>
                <w:rFonts w:ascii="Arial" w:hAnsi="Arial" w:cs="Arial"/>
                <w:sz w:val="20"/>
                <w:szCs w:val="20"/>
              </w:rPr>
              <w:t>Jornadas sobre Ciberseguridad organizada por Solidaridad y Cooperación</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24/10/2025</w:t>
            </w:r>
          </w:p>
        </w:tc>
      </w:tr>
      <w:tr>
        <w:trPr>
          <w:trHeight w:val="264"/>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SCE</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II Congreso de empleo de Canarias</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14/11/2025</w:t>
            </w:r>
          </w:p>
        </w:tc>
      </w:tr>
      <w:tr>
        <w:trPr>
          <w:trHeight w:val="264"/>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Red COE</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Curso Perspectiva de género y lenguaje inclusivo en orientación laboral, intermediación y prospección</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28/10/2025 al 11/11/2025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Delegación del Gobierno en Canarias</w:t>
            </w:r>
          </w:p>
          <w:p>
            <w:pPr>
              <w:autoSpaceDN w:val="0"/>
              <w:spacing w:after="0" w:line="240" w:lineRule="auto"/>
              <w:jc w:val="center"/>
              <w:rPr>
                <w:rFonts w:ascii="Arial" w:eastAsia="Times New Roman" w:hAnsi="Arial" w:cs="Arial"/>
                <w:color w:val="000000"/>
                <w:sz w:val="20"/>
                <w:szCs w:val="20"/>
                <w:lang w:eastAsia="es-E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sz w:val="20"/>
                <w:szCs w:val="20"/>
              </w:rPr>
            </w:pPr>
            <w:r>
              <w:rPr>
                <w:rFonts w:ascii="Arial" w:hAnsi="Arial" w:cs="Arial"/>
                <w:sz w:val="20"/>
                <w:szCs w:val="20"/>
              </w:rPr>
              <w:t>Jornadas sobre violencia vicaria “No estamos locas, pero nos hacen la vida imposible”</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06/11/2025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Oblatas</w:t>
            </w:r>
          </w:p>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Provincia Europa</w:t>
            </w:r>
          </w:p>
        </w:tc>
        <w:tc>
          <w:tcPr>
            <w:tcW w:w="1701"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V Jornada Internacional sobre Trata con fines de Explotación Sexual” (Experiencias y reflexiones en el acompañamiento a las víctimas).</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13/11/2025</w:t>
            </w:r>
          </w:p>
        </w:tc>
      </w:tr>
      <w:tr>
        <w:trPr>
          <w:trHeight w:val="264"/>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Servicio Canario de Empleo</w:t>
            </w:r>
          </w:p>
        </w:tc>
        <w:tc>
          <w:tcPr>
            <w:tcW w:w="170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II Congreso de Empleo de Canarias</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14/11/2025</w:t>
            </w:r>
          </w:p>
        </w:tc>
      </w:tr>
      <w:tr>
        <w:trPr>
          <w:trHeight w:val="621"/>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 xml:space="preserve"> </w:t>
            </w:r>
          </w:p>
          <w:p>
            <w:pPr>
              <w:suppressAutoHyphens/>
              <w:autoSpaceDN w:val="0"/>
              <w:jc w:val="center"/>
              <w:textAlignment w:val="baseline"/>
              <w:rPr>
                <w:rFonts w:ascii="Arial" w:hAnsi="Arial" w:cs="Arial"/>
                <w:sz w:val="20"/>
                <w:szCs w:val="20"/>
              </w:rPr>
            </w:pPr>
            <w:r>
              <w:rPr>
                <w:rFonts w:ascii="Arial" w:hAnsi="Arial" w:cs="Arial"/>
                <w:sz w:val="20"/>
                <w:szCs w:val="20"/>
              </w:rPr>
              <w:t>La Sur/Feminicidio.net</w:t>
            </w:r>
          </w:p>
          <w:p>
            <w:pPr>
              <w:suppressAutoHyphens/>
              <w:autoSpaceDN w:val="0"/>
              <w:jc w:val="center"/>
              <w:textAlignment w:val="baseline"/>
              <w:rPr>
                <w:rFonts w:ascii="Arial" w:hAnsi="Arial" w:cs="Arial"/>
                <w:sz w:val="20"/>
                <w:szCs w:val="20"/>
              </w:rPr>
            </w:pPr>
          </w:p>
          <w:p>
            <w:pPr>
              <w:autoSpaceDN w:val="0"/>
              <w:spacing w:after="0" w:line="240" w:lineRule="auto"/>
              <w:jc w:val="center"/>
              <w:rPr>
                <w:rFonts w:ascii="Arial" w:eastAsia="Times New Roman" w:hAnsi="Arial" w:cs="Arial"/>
                <w:color w:val="000000"/>
                <w:sz w:val="20"/>
                <w:szCs w:val="20"/>
                <w:lang w:eastAsia="es-ES"/>
              </w:rPr>
            </w:pP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sz w:val="20"/>
                <w:szCs w:val="20"/>
              </w:rPr>
            </w:pPr>
            <w:r>
              <w:rPr>
                <w:rFonts w:ascii="Arial" w:hAnsi="Arial" w:cs="Arial"/>
                <w:sz w:val="20"/>
                <w:szCs w:val="20"/>
              </w:rPr>
              <w:t>“Una visión amplia del sistema prostitucional”.</w:t>
            </w:r>
          </w:p>
          <w:p>
            <w:pPr>
              <w:suppressAutoHyphens/>
              <w:autoSpaceDN w:val="0"/>
              <w:jc w:val="both"/>
              <w:textAlignment w:val="baseline"/>
              <w:rPr>
                <w:rFonts w:ascii="Arial" w:hAnsi="Arial" w:cs="Arial"/>
                <w:sz w:val="20"/>
                <w:szCs w:val="20"/>
              </w:rPr>
            </w:pP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20/11/2025</w:t>
            </w:r>
          </w:p>
        </w:tc>
      </w:tr>
      <w:tr>
        <w:trPr>
          <w:trHeight w:val="528"/>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Comunidad de Oblatas del Stmo. Redentor Las Palmas</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Formación anual sobre SdPI (safeguarding).</w:t>
            </w:r>
          </w:p>
        </w:tc>
        <w:tc>
          <w:tcPr>
            <w:tcW w:w="15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27/11/2025</w:t>
            </w:r>
          </w:p>
        </w:tc>
      </w:tr>
      <w:tr>
        <w:trPr>
          <w:trHeight w:val="792"/>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Fiscalía</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Reunión entre la fiscal y entidades del sector.</w:t>
            </w:r>
          </w:p>
        </w:tc>
        <w:tc>
          <w:tcPr>
            <w:tcW w:w="156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27/11/2025</w:t>
            </w:r>
          </w:p>
        </w:tc>
      </w:tr>
      <w:tr>
        <w:trPr>
          <w:trHeight w:val="792"/>
          <w:jc w:val="center"/>
        </w:trPr>
        <w:tc>
          <w:tcPr>
            <w:tcW w:w="24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hAnsi="Arial" w:cs="Arial"/>
                <w:sz w:val="20"/>
                <w:szCs w:val="20"/>
              </w:rPr>
            </w:pPr>
            <w:r>
              <w:rPr>
                <w:rFonts w:ascii="Arial" w:hAnsi="Arial" w:cs="Arial"/>
                <w:sz w:val="20"/>
                <w:szCs w:val="20"/>
              </w:rPr>
              <w:t>Canarias Ahora, ULPGC</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sz w:val="20"/>
                <w:szCs w:val="20"/>
              </w:rPr>
            </w:pPr>
            <w:r>
              <w:rPr>
                <w:rFonts w:ascii="Arial" w:hAnsi="Arial" w:cs="Arial"/>
                <w:sz w:val="20"/>
                <w:szCs w:val="20"/>
              </w:rPr>
              <w:t>Jornadas “Mujeres conectadas. Estrategias contra el cibermachismo”.</w:t>
            </w:r>
          </w:p>
        </w:tc>
        <w:tc>
          <w:tcPr>
            <w:tcW w:w="156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27/11/2025</w:t>
            </w:r>
          </w:p>
        </w:tc>
      </w:tr>
      <w:tr>
        <w:trPr>
          <w:trHeight w:val="792"/>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hAnsi="Arial" w:cs="Arial"/>
                <w:sz w:val="20"/>
                <w:szCs w:val="20"/>
              </w:rPr>
            </w:pPr>
            <w:r>
              <w:rPr>
                <w:rFonts w:ascii="Arial" w:hAnsi="Arial" w:cs="Arial"/>
                <w:sz w:val="20"/>
                <w:szCs w:val="20"/>
              </w:rPr>
              <w:t>La Sur/Feminicidio.net</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Online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both"/>
              <w:rPr>
                <w:rFonts w:ascii="Arial" w:hAnsi="Arial" w:cs="Arial"/>
                <w:sz w:val="20"/>
                <w:szCs w:val="20"/>
              </w:rPr>
            </w:pPr>
            <w:r>
              <w:rPr>
                <w:rFonts w:ascii="Arial" w:hAnsi="Arial" w:cs="Arial"/>
                <w:sz w:val="20"/>
                <w:szCs w:val="20"/>
              </w:rPr>
              <w:t>“Transformaciones recientes de los sistemas de explotación sexual”.</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02/12/2025</w:t>
            </w:r>
          </w:p>
        </w:tc>
      </w:tr>
      <w:tr>
        <w:trPr>
          <w:trHeight w:val="792"/>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Gesplan</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Presencial</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pPr>
              <w:suppressAutoHyphens/>
              <w:autoSpaceDN w:val="0"/>
              <w:jc w:val="both"/>
              <w:textAlignment w:val="baseline"/>
              <w:rPr>
                <w:rFonts w:ascii="Arial" w:hAnsi="Arial" w:cs="Arial"/>
                <w:color w:val="000000"/>
                <w:sz w:val="20"/>
                <w:szCs w:val="20"/>
              </w:rPr>
            </w:pPr>
            <w:r>
              <w:rPr>
                <w:rFonts w:ascii="Arial" w:hAnsi="Arial" w:cs="Arial"/>
                <w:color w:val="000000"/>
                <w:sz w:val="20"/>
                <w:szCs w:val="20"/>
              </w:rPr>
              <w:t>Jornadas “Mujeres que habitan. Perspectiva de Género y Migración en el territorio canario”.</w:t>
            </w:r>
          </w:p>
        </w:tc>
        <w:tc>
          <w:tcPr>
            <w:tcW w:w="156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pPr>
              <w:autoSpaceDN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04/12/2025</w:t>
            </w:r>
          </w:p>
        </w:tc>
      </w:tr>
      <w:bookmarkEnd w:id="1"/>
    </w:tbl>
    <w:p>
      <w:pPr>
        <w:suppressAutoHyphens/>
        <w:autoSpaceDN w:val="0"/>
        <w:spacing w:after="0"/>
        <w:jc w:val="both"/>
        <w:textAlignment w:val="baseline"/>
        <w:rPr>
          <w:rFonts w:ascii="Arial" w:hAnsi="Arial" w:cs="Arial"/>
          <w:color w:val="000000"/>
          <w:sz w:val="24"/>
          <w:szCs w:val="24"/>
        </w:rPr>
      </w:pPr>
    </w:p>
    <w:p>
      <w:pPr>
        <w:suppressAutoHyphens/>
        <w:autoSpaceDN w:val="0"/>
        <w:spacing w:after="0"/>
        <w:jc w:val="both"/>
        <w:textAlignment w:val="baseline"/>
        <w:rPr>
          <w:rFonts w:ascii="Arial" w:hAnsi="Arial" w:cs="Arial"/>
          <w:color w:val="000000"/>
          <w:sz w:val="24"/>
          <w:szCs w:val="24"/>
        </w:rPr>
      </w:pPr>
      <w:r>
        <w:rPr>
          <w:rFonts w:ascii="Arial" w:hAnsi="Arial" w:cs="Arial"/>
          <w:color w:val="000000"/>
          <w:sz w:val="24"/>
          <w:szCs w:val="24"/>
        </w:rPr>
        <w:t>Es interesante destacar que la presencia reiterada de temáticas vinculadas a ciberseguridad, cibermachismo y nuevas formas de explotación</w:t>
      </w:r>
      <w:r>
        <w:rPr>
          <w:rFonts w:ascii="Arial" w:hAnsi="Arial" w:cs="Arial"/>
          <w:b/>
          <w:color w:val="000000"/>
          <w:sz w:val="24"/>
          <w:szCs w:val="24"/>
        </w:rPr>
        <w:t xml:space="preserve">, </w:t>
      </w:r>
      <w:r>
        <w:rPr>
          <w:rFonts w:ascii="Arial" w:hAnsi="Arial" w:cs="Arial"/>
          <w:color w:val="000000"/>
          <w:sz w:val="24"/>
          <w:szCs w:val="24"/>
        </w:rPr>
        <w:t>evidencian una actualización constante frente a realidades cambiantes y poco visibilizadas.</w:t>
      </w:r>
    </w:p>
    <w:p>
      <w:pPr>
        <w:suppressAutoHyphens/>
        <w:autoSpaceDN w:val="0"/>
        <w:spacing w:after="0"/>
        <w:jc w:val="both"/>
        <w:textAlignment w:val="baseline"/>
        <w:rPr>
          <w:rFonts w:ascii="Arial" w:hAnsi="Arial" w:cs="Arial"/>
          <w:color w:val="000000"/>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color w:val="000000"/>
          <w:sz w:val="24"/>
          <w:szCs w:val="24"/>
        </w:rPr>
        <w:lastRenderedPageBreak/>
        <w:t xml:space="preserve">5.- </w:t>
      </w:r>
      <w:r>
        <w:rPr>
          <w:rFonts w:ascii="Arial" w:hAnsi="Arial" w:cs="Arial"/>
          <w:bCs/>
          <w:color w:val="000000"/>
          <w:sz w:val="24"/>
          <w:szCs w:val="24"/>
        </w:rPr>
        <w:t>Con respecto a la</w:t>
      </w:r>
      <w:r>
        <w:rPr>
          <w:rFonts w:ascii="Arial" w:hAnsi="Arial" w:cs="Arial"/>
          <w:b/>
          <w:bCs/>
          <w:color w:val="000000"/>
          <w:sz w:val="24"/>
          <w:szCs w:val="24"/>
        </w:rPr>
        <w:t xml:space="preserve"> </w:t>
      </w:r>
      <w:r>
        <w:rPr>
          <w:rFonts w:ascii="Arial" w:hAnsi="Arial" w:cs="Arial"/>
          <w:b/>
          <w:bCs/>
          <w:i/>
          <w:color w:val="000000"/>
          <w:sz w:val="24"/>
          <w:szCs w:val="24"/>
        </w:rPr>
        <w:t>Participación en espacios y encuentros formativos en materia de violencia de género por prostitución y trata con fines de explotación</w:t>
      </w:r>
      <w:r>
        <w:rPr>
          <w:rFonts w:ascii="Arial" w:hAnsi="Arial" w:cs="Arial"/>
          <w:b/>
          <w:bCs/>
          <w:color w:val="000000"/>
          <w:sz w:val="24"/>
          <w:szCs w:val="24"/>
        </w:rPr>
        <w:t>,</w:t>
      </w:r>
      <w:r>
        <w:rPr>
          <w:rFonts w:ascii="Arial" w:hAnsi="Arial" w:cs="Arial"/>
          <w:color w:val="000000"/>
          <w:sz w:val="24"/>
          <w:szCs w:val="24"/>
        </w:rPr>
        <w:t xml:space="preserve"> se ha desarrollado tanto en respuesta a las solicitudes realizadas por distintas entidades como por iniciativa propia del Programa Oblatas Daniela. La coordinación del equipo profesional de la Entidad ha resultado clave para dar respuesta a todas las personas y recursos interesados, así como para favorecer la creación de sinergias, el establecimiento de espacios de encuentro y el fortalecimiento del conocimiento mutuo entre entidades. </w:t>
      </w:r>
    </w:p>
    <w:p>
      <w:pPr>
        <w:suppressAutoHyphens/>
        <w:autoSpaceDN w:val="0"/>
        <w:spacing w:after="0" w:line="360" w:lineRule="auto"/>
        <w:jc w:val="both"/>
        <w:textAlignment w:val="baseline"/>
        <w:rPr>
          <w:rFonts w:ascii="Arial" w:hAnsi="Arial" w:cs="Arial"/>
          <w:color w:val="000000"/>
          <w:sz w:val="24"/>
          <w:szCs w:val="24"/>
        </w:rPr>
      </w:pPr>
      <w:r>
        <w:rPr>
          <w:rFonts w:ascii="Arial" w:hAnsi="Arial" w:cs="Arial"/>
          <w:color w:val="000000"/>
          <w:sz w:val="24"/>
          <w:szCs w:val="24"/>
        </w:rPr>
        <w:t xml:space="preserve"> </w:t>
      </w: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En este apartado se distinguen dos líneas principales de actuación. Por un lado, se incluyen las actividades vinculadas a la participación en encuentros formativos, a través de reuniones y acciones de trabajo en red; por otro lado, se recogen las acciones de sensibilización que, aunque no se encuadran en otros apartados, forman parte de las sinergias generadas y de la mejora del trabajo colaborativo, así como del acercamiento de actividades entre el área de sensibilización y las mujeres interesadas en participar en las acciones de la entidad. Todas estas actuaciones se desarrollan en el marco de la violencia de género vinculada a la prostitución y la TFES.</w:t>
      </w:r>
      <w:r>
        <w:rPr>
          <w:rFonts w:ascii="Arial" w:hAnsi="Arial" w:cs="Arial"/>
          <w:color w:val="000000"/>
          <w:sz w:val="24"/>
          <w:szCs w:val="24"/>
        </w:rPr>
        <w:t xml:space="preserve">    </w:t>
      </w: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  </w:t>
      </w:r>
    </w:p>
    <w:p>
      <w:pPr>
        <w:numPr>
          <w:ilvl w:val="0"/>
          <w:numId w:val="121"/>
        </w:numPr>
        <w:suppressAutoHyphens/>
        <w:autoSpaceDN w:val="0"/>
        <w:spacing w:after="0" w:line="360" w:lineRule="auto"/>
        <w:jc w:val="both"/>
        <w:textAlignment w:val="baseline"/>
        <w:rPr>
          <w:rFonts w:ascii="Arial" w:hAnsi="Arial" w:cs="Arial"/>
          <w:sz w:val="24"/>
          <w:szCs w:val="24"/>
        </w:rPr>
      </w:pPr>
      <w:r>
        <w:rPr>
          <w:rFonts w:ascii="Arial" w:hAnsi="Arial" w:cs="Arial"/>
          <w:b/>
          <w:sz w:val="24"/>
          <w:szCs w:val="24"/>
        </w:rPr>
        <w:t xml:space="preserve">Otras Actividades de Sensibilización: </w:t>
      </w:r>
      <w:r>
        <w:rPr>
          <w:rFonts w:ascii="Arial" w:hAnsi="Arial" w:cs="Arial"/>
          <w:sz w:val="24"/>
          <w:szCs w:val="24"/>
        </w:rPr>
        <w:t xml:space="preserve">se han realizado un total de 5 acciones, repartidas entre Gran Canaria, Fuerteventura y de forma Online.    Dichas acciones se han realizado dirigidos a población en general, voluntariado y mujeres de la </w:t>
      </w:r>
      <w:r>
        <w:rPr>
          <w:rFonts w:ascii="Arial" w:hAnsi="Arial" w:cs="Arial"/>
          <w:color w:val="000000"/>
          <w:sz w:val="24"/>
          <w:szCs w:val="24"/>
        </w:rPr>
        <w:t>Casa de Acogida Daniela.</w:t>
      </w:r>
    </w:p>
    <w:p>
      <w:pPr>
        <w:suppressAutoHyphens/>
        <w:autoSpaceDN w:val="0"/>
        <w:spacing w:after="0"/>
        <w:ind w:left="360"/>
        <w:jc w:val="both"/>
        <w:textAlignment w:val="baseline"/>
        <w:rPr>
          <w:rFonts w:ascii="Arial" w:hAnsi="Arial" w:cs="Arial"/>
          <w:sz w:val="24"/>
          <w:szCs w:val="24"/>
        </w:rPr>
      </w:pPr>
    </w:p>
    <w:tbl>
      <w:tblPr>
        <w:tblW w:w="9220" w:type="dxa"/>
        <w:jc w:val="center"/>
        <w:tblLayout w:type="fixed"/>
        <w:tblCellMar>
          <w:left w:w="10" w:type="dxa"/>
          <w:right w:w="10" w:type="dxa"/>
        </w:tblCellMar>
        <w:tblLook w:val="0000" w:firstRow="0" w:lastRow="0" w:firstColumn="0" w:lastColumn="0" w:noHBand="0" w:noVBand="0"/>
      </w:tblPr>
      <w:tblGrid>
        <w:gridCol w:w="1575"/>
        <w:gridCol w:w="1539"/>
        <w:gridCol w:w="1848"/>
        <w:gridCol w:w="2410"/>
        <w:gridCol w:w="1848"/>
      </w:tblGrid>
      <w:tr>
        <w:trPr>
          <w:trHeight w:val="237"/>
          <w:jc w:val="center"/>
        </w:trPr>
        <w:tc>
          <w:tcPr>
            <w:tcW w:w="1575"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b/>
                <w:color w:val="FFFFFF"/>
                <w:sz w:val="20"/>
                <w:szCs w:val="20"/>
              </w:rPr>
            </w:pPr>
            <w:r>
              <w:rPr>
                <w:rFonts w:ascii="Arial" w:hAnsi="Arial" w:cs="Arial"/>
                <w:b/>
                <w:color w:val="FFFFFF"/>
                <w:sz w:val="20"/>
                <w:szCs w:val="20"/>
              </w:rPr>
              <w:t>ENTIDAD</w:t>
            </w:r>
          </w:p>
        </w:tc>
        <w:tc>
          <w:tcPr>
            <w:tcW w:w="153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 w:type="dxa"/>
              <w:bottom w:w="0" w:type="dxa"/>
              <w:right w:w="10" w:type="dxa"/>
            </w:tcMar>
            <w:vAlign w:val="center"/>
          </w:tcPr>
          <w:p>
            <w:pPr>
              <w:suppressAutoHyphens/>
              <w:autoSpaceDN w:val="0"/>
              <w:spacing w:after="0" w:line="240" w:lineRule="auto"/>
              <w:jc w:val="center"/>
              <w:textAlignment w:val="baseline"/>
              <w:rPr>
                <w:rFonts w:ascii="Arial" w:hAnsi="Arial" w:cs="Arial"/>
                <w:b/>
                <w:color w:val="FFFFFF"/>
                <w:sz w:val="20"/>
                <w:szCs w:val="20"/>
              </w:rPr>
            </w:pPr>
            <w:r>
              <w:rPr>
                <w:rFonts w:ascii="Arial" w:hAnsi="Arial" w:cs="Arial"/>
                <w:b/>
                <w:color w:val="FFFFFF"/>
                <w:sz w:val="20"/>
                <w:szCs w:val="20"/>
              </w:rPr>
              <w:t>DESTINATARIOS</w:t>
            </w:r>
          </w:p>
        </w:tc>
        <w:tc>
          <w:tcPr>
            <w:tcW w:w="1848"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0"/>
                <w:szCs w:val="20"/>
              </w:rPr>
            </w:pPr>
            <w:r>
              <w:rPr>
                <w:rFonts w:ascii="Arial" w:eastAsia="Times New Roman" w:hAnsi="Arial" w:cs="Arial"/>
                <w:b/>
                <w:bCs/>
                <w:color w:val="FFFFFF"/>
                <w:sz w:val="20"/>
                <w:szCs w:val="20"/>
                <w:lang w:eastAsia="es-ES"/>
              </w:rPr>
              <w:t>TIPOLOGÍA</w:t>
            </w:r>
          </w:p>
        </w:tc>
        <w:tc>
          <w:tcPr>
            <w:tcW w:w="2410"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tabs>
                <w:tab w:val="left" w:pos="1008"/>
              </w:tabs>
              <w:suppressAutoHyphens/>
              <w:autoSpaceDN w:val="0"/>
              <w:spacing w:after="0" w:line="240" w:lineRule="auto"/>
              <w:jc w:val="center"/>
              <w:textAlignment w:val="baseline"/>
              <w:rPr>
                <w:rFonts w:ascii="Arial" w:hAnsi="Arial" w:cs="Arial"/>
                <w:sz w:val="20"/>
                <w:szCs w:val="20"/>
              </w:rPr>
            </w:pPr>
            <w:r>
              <w:rPr>
                <w:rFonts w:ascii="Arial" w:eastAsia="Times New Roman" w:hAnsi="Arial" w:cs="Arial"/>
                <w:b/>
                <w:bCs/>
                <w:color w:val="FFFFFF"/>
                <w:sz w:val="20"/>
                <w:szCs w:val="20"/>
                <w:lang w:eastAsia="es-ES"/>
              </w:rPr>
              <w:t>LOCALIZACIÓN</w:t>
            </w:r>
          </w:p>
        </w:tc>
        <w:tc>
          <w:tcPr>
            <w:tcW w:w="1848"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0"/>
                <w:szCs w:val="20"/>
              </w:rPr>
            </w:pPr>
            <w:r>
              <w:rPr>
                <w:rFonts w:ascii="Arial" w:eastAsia="Times New Roman" w:hAnsi="Arial" w:cs="Arial"/>
                <w:b/>
                <w:bCs/>
                <w:color w:val="FFFFFF"/>
                <w:sz w:val="20"/>
                <w:szCs w:val="20"/>
                <w:lang w:eastAsia="es-ES"/>
              </w:rPr>
              <w:t>FECHA</w:t>
            </w:r>
          </w:p>
        </w:tc>
      </w:tr>
      <w:tr>
        <w:trPr>
          <w:trHeight w:val="237"/>
          <w:jc w:val="center"/>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Centro de Salud Canalejas</w:t>
            </w:r>
          </w:p>
        </w:tc>
        <w:tc>
          <w:tcPr>
            <w:tcW w:w="1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Público General</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 xml:space="preserve">Stand de Sensibilización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Las Palmas de G.C.</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02/04/2025</w:t>
            </w:r>
          </w:p>
        </w:tc>
      </w:tr>
      <w:tr>
        <w:trPr>
          <w:trHeight w:val="1157"/>
          <w:jc w:val="center"/>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 xml:space="preserve">Programa Oblatas Daniela </w:t>
            </w:r>
          </w:p>
        </w:tc>
        <w:tc>
          <w:tcPr>
            <w:tcW w:w="1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Acogida Daniela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 xml:space="preserve">Cineforum "Adolescencia" </w:t>
            </w:r>
          </w:p>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 xml:space="preserve"> Sensibilización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Las Palmas de G.C.</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29/04/2025</w:t>
            </w:r>
          </w:p>
        </w:tc>
      </w:tr>
      <w:tr>
        <w:trPr>
          <w:trHeight w:val="237"/>
          <w:jc w:val="center"/>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Sic4change</w:t>
            </w:r>
          </w:p>
        </w:tc>
        <w:tc>
          <w:tcPr>
            <w:tcW w:w="1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 xml:space="preserve"> Entidad  </w:t>
            </w:r>
          </w:p>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Solicitante</w:t>
            </w:r>
          </w:p>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Participación sobre Estudio</w:t>
            </w:r>
          </w:p>
          <w:p>
            <w:pPr>
              <w:suppressAutoHyphens/>
              <w:autoSpaceDN w:val="0"/>
              <w:jc w:val="center"/>
              <w:textAlignment w:val="baseline"/>
              <w:rPr>
                <w:rFonts w:ascii="Arial" w:hAnsi="Arial" w:cs="Arial"/>
                <w:color w:val="000000"/>
                <w:sz w:val="20"/>
                <w:szCs w:val="20"/>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lastRenderedPageBreak/>
              <w:t xml:space="preserve">Sensibilización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Las Palmas de G.C.</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30/04/2025</w:t>
            </w:r>
          </w:p>
        </w:tc>
      </w:tr>
      <w:tr>
        <w:trPr>
          <w:trHeight w:val="237"/>
          <w:jc w:val="center"/>
        </w:trPr>
        <w:tc>
          <w:tcPr>
            <w:tcW w:w="15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 xml:space="preserve">Programa Oblatas Daniela </w:t>
            </w:r>
          </w:p>
        </w:tc>
        <w:tc>
          <w:tcPr>
            <w:tcW w:w="1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Voluntaria Fuerteventura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 xml:space="preserve">Sensibilización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Online</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07/05/2025</w:t>
            </w:r>
          </w:p>
        </w:tc>
      </w:tr>
      <w:tr>
        <w:trPr>
          <w:trHeight w:val="237"/>
          <w:jc w:val="center"/>
        </w:trPr>
        <w:tc>
          <w:tcPr>
            <w:tcW w:w="15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p>
        </w:tc>
        <w:tc>
          <w:tcPr>
            <w:tcW w:w="1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 xml:space="preserve">Voluntariado Pastoral </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 xml:space="preserve">Voluntariado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Tafira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08/10/2025</w:t>
            </w:r>
          </w:p>
        </w:tc>
      </w:tr>
      <w:tr>
        <w:trPr>
          <w:trHeight w:val="1288"/>
          <w:jc w:val="center"/>
        </w:trPr>
        <w:tc>
          <w:tcPr>
            <w:tcW w:w="9220" w:type="dxa"/>
            <w:gridSpan w:val="5"/>
            <w:tcBorders>
              <w:top w:val="single" w:sz="4" w:space="0" w:color="000000"/>
            </w:tcBorders>
            <w:shd w:val="clear" w:color="auto" w:fill="auto"/>
            <w:tcMar>
              <w:top w:w="0" w:type="dxa"/>
              <w:left w:w="108" w:type="dxa"/>
              <w:bottom w:w="0" w:type="dxa"/>
              <w:right w:w="108" w:type="dxa"/>
            </w:tcMar>
            <w:vAlign w:val="center"/>
          </w:tcPr>
          <w:p>
            <w:pPr>
              <w:suppressAutoHyphens/>
              <w:autoSpaceDN w:val="0"/>
              <w:ind w:left="884"/>
              <w:jc w:val="center"/>
              <w:textAlignment w:val="baseline"/>
              <w:rPr>
                <w:rFonts w:ascii="Arial" w:hAnsi="Arial" w:cs="Arial"/>
                <w:b/>
                <w:color w:val="000000"/>
                <w:sz w:val="20"/>
                <w:szCs w:val="20"/>
              </w:rPr>
            </w:pPr>
            <w:r>
              <w:rPr>
                <w:rFonts w:ascii="Arial" w:hAnsi="Arial" w:cs="Arial"/>
                <w:b/>
                <w:color w:val="000000"/>
                <w:sz w:val="20"/>
                <w:szCs w:val="20"/>
              </w:rPr>
              <w:t xml:space="preserve"> </w:t>
            </w:r>
          </w:p>
          <w:p>
            <w:pPr>
              <w:numPr>
                <w:ilvl w:val="0"/>
                <w:numId w:val="121"/>
              </w:numPr>
              <w:suppressAutoHyphens/>
              <w:autoSpaceDN w:val="0"/>
              <w:spacing w:line="360" w:lineRule="auto"/>
              <w:jc w:val="both"/>
              <w:textAlignment w:val="baseline"/>
              <w:rPr>
                <w:rFonts w:ascii="Arial" w:hAnsi="Arial" w:cs="Arial"/>
                <w:b/>
                <w:color w:val="000000"/>
                <w:sz w:val="20"/>
                <w:szCs w:val="20"/>
              </w:rPr>
            </w:pPr>
            <w:r>
              <w:rPr>
                <w:rFonts w:ascii="Arial" w:hAnsi="Arial" w:cs="Arial"/>
                <w:b/>
                <w:color w:val="000000"/>
                <w:sz w:val="20"/>
                <w:szCs w:val="20"/>
              </w:rPr>
              <w:t xml:space="preserve">Otras Actividades: Participación de personal de Programa Oblatas Daniela en encuentros formativos, reuniones y trabajo en red: </w:t>
            </w:r>
          </w:p>
          <w:p>
            <w:pPr>
              <w:suppressAutoHyphens/>
              <w:autoSpaceDN w:val="0"/>
              <w:spacing w:line="360" w:lineRule="auto"/>
              <w:jc w:val="both"/>
              <w:textAlignment w:val="baseline"/>
              <w:rPr>
                <w:rFonts w:ascii="Arial" w:hAnsi="Arial" w:cs="Arial"/>
                <w:color w:val="000000"/>
                <w:sz w:val="20"/>
                <w:szCs w:val="20"/>
              </w:rPr>
            </w:pPr>
            <w:r>
              <w:rPr>
                <w:rFonts w:ascii="Arial" w:hAnsi="Arial" w:cs="Arial"/>
                <w:color w:val="000000"/>
                <w:sz w:val="20"/>
                <w:szCs w:val="20"/>
              </w:rPr>
              <w:t>Durante 2025, las acciones referidas a reuniones y la mejora de sinergias ha sido notable en comparación con el periodo 2024:</w:t>
            </w:r>
          </w:p>
        </w:tc>
      </w:tr>
      <w:tr>
        <w:trPr>
          <w:trHeight w:val="237"/>
          <w:jc w:val="center"/>
        </w:trPr>
        <w:tc>
          <w:tcPr>
            <w:tcW w:w="3114" w:type="dxa"/>
            <w:gridSpan w:val="2"/>
            <w:tcBorders>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0"/>
                <w:szCs w:val="20"/>
              </w:rPr>
            </w:pPr>
            <w:r>
              <w:rPr>
                <w:rFonts w:ascii="Arial" w:hAnsi="Arial" w:cs="Arial"/>
                <w:b/>
                <w:color w:val="FFFFFF"/>
                <w:sz w:val="20"/>
                <w:szCs w:val="20"/>
              </w:rPr>
              <w:t>ACCIÓN</w:t>
            </w:r>
          </w:p>
        </w:tc>
        <w:tc>
          <w:tcPr>
            <w:tcW w:w="1848" w:type="dxa"/>
            <w:tcBorders>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0"/>
                <w:szCs w:val="20"/>
              </w:rPr>
            </w:pPr>
            <w:r>
              <w:rPr>
                <w:rFonts w:ascii="Arial" w:eastAsia="Times New Roman" w:hAnsi="Arial" w:cs="Arial"/>
                <w:b/>
                <w:color w:val="FFFFFF"/>
                <w:sz w:val="20"/>
                <w:szCs w:val="20"/>
                <w:lang w:eastAsia="es-ES"/>
              </w:rPr>
              <w:t>LUGAR DE REALIZACIÓN</w:t>
            </w:r>
          </w:p>
        </w:tc>
        <w:tc>
          <w:tcPr>
            <w:tcW w:w="2410" w:type="dxa"/>
            <w:tcBorders>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tabs>
                <w:tab w:val="left" w:pos="1008"/>
              </w:tabs>
              <w:suppressAutoHyphens/>
              <w:autoSpaceDN w:val="0"/>
              <w:spacing w:after="0" w:line="240" w:lineRule="auto"/>
              <w:jc w:val="center"/>
              <w:textAlignment w:val="baseline"/>
              <w:rPr>
                <w:rFonts w:ascii="Arial" w:hAnsi="Arial" w:cs="Arial"/>
                <w:sz w:val="20"/>
                <w:szCs w:val="20"/>
              </w:rPr>
            </w:pPr>
            <w:r>
              <w:rPr>
                <w:rFonts w:ascii="Arial" w:eastAsia="Times New Roman" w:hAnsi="Arial" w:cs="Arial"/>
                <w:b/>
                <w:bCs/>
                <w:color w:val="FFFFFF"/>
                <w:sz w:val="20"/>
                <w:szCs w:val="20"/>
                <w:lang w:eastAsia="es-ES"/>
              </w:rPr>
              <w:t>TOTAL ASISTENTES</w:t>
            </w:r>
          </w:p>
        </w:tc>
        <w:tc>
          <w:tcPr>
            <w:tcW w:w="1848" w:type="dxa"/>
            <w:tcBorders>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0"/>
                <w:szCs w:val="20"/>
              </w:rPr>
            </w:pPr>
            <w:r>
              <w:rPr>
                <w:rFonts w:ascii="Arial" w:eastAsia="Times New Roman" w:hAnsi="Arial" w:cs="Arial"/>
                <w:b/>
                <w:color w:val="FFFFFF"/>
                <w:sz w:val="20"/>
                <w:szCs w:val="20"/>
                <w:lang w:eastAsia="es-ES"/>
              </w:rPr>
              <w:t>FECHA</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prospección Jaira de Ana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autoSpaceDN w:val="0"/>
              <w:spacing w:after="0" w:line="240" w:lineRule="auto"/>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08/01/2025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prospección San Juan de Dios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09/01/2025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prospección Residencia de ancianos desamparados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09/01/2025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grupo Ley Integral - RECTP</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14/01/2025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UCRIF</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Comisaria distrito Las Palmas Centro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22/01/2025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Guardia Civil</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Programa Oblatas Daniela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23/01/2025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Pleno RECTP</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23/01/2025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Tendiendo Puentes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7</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23/01/2025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Programas Asistenciales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Dirección General - Salud Pública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11/02/2025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Banco de Alimentos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20/02/2025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-Prevención y Sensibilización</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Museo Pérez Galdós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20/02/2025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lastRenderedPageBreak/>
              <w:t>Reunión Cabildo Red Violencia de Género - Área Jurídica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Museo Pérez Galdós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21/02/2025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Protocolo Sanitario "Tendiendo Puentes"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Online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8</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21/02/2025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TC - Ikual, Programa Oblatas Daniela y Programa Oblatas La Casita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Online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23/04/2025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-Prevención y Sensibilización</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Museo Pérez Galdós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24/04/2025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Trabajo Social</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09/05/2025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-Prevención y Sensibilización</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Museo Pérez Galdós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06/06/2025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-Prevención y Sensibilización</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Cabildo GC - OIAC</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12/06/2025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Unidad Técnica de Inclusión Social (UTIS)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Centro Cívico Polivalente Lomo Apolinario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12/06/2025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EnRedContigo</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EnRedContigo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18/06/2025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Unidad Técnica de Inclusión Social (UTIS)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Plaza de la Música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03/07/2025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UCRIF</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Comisaria distrito Las Palmas Centro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22/07/2025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Mesa Técnica Juventud migrante</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La Grada C/ Manuel González Martín 27, Las Palmas de Gran Canaria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19</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23/07/2025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UTIS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Plaza de la Música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18/09/2025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Trabajo Social</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Museo Pérez Galdós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24/09/2025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lastRenderedPageBreak/>
              <w:t>Reunión EnRed.Contigo</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Centro Lugo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02/10/2025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Red de Empleabilidad Canaria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Sede Centras Servicio Canario de Empleo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30/09/2025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Reunión-Prospección "Grupo Anfi"</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Barranco de la Verga, S/N. Arguineguín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02/10/2025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Reunión-Prospección "Galletas Bandama"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 proyecto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03/10/2025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Cruz Roja- dudas sobre AES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Oficinas Cruz Roja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06/10/2025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Consulado de Colombia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Oficinas del Consulado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08/10/2025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Unidad Técnica de Inclusión Social (UTIS)</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Plaza de la Música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09/10/2025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Proyecto Moneiba- Proyecto Hombre</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Online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17/10/2025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UCRIF</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Comisaria distrito Las Palmas Centro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22/10/2025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EnRed.Contigo</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Centro Lugo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02/10/2025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18</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13/05/2025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10/06/2025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19</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08/07/2025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18</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16/09/2025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Cabildo de Las Palmas de Gran Canaria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19</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14/10/2025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20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11/11/2025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lastRenderedPageBreak/>
              <w:t>Reunión Cabildo Red Violencia de Género -Prevención y Sensibilización</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Casa Museo Pérez Galdós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9</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11/12/2025</w:t>
            </w:r>
          </w:p>
        </w:tc>
      </w:tr>
      <w:tr>
        <w:trPr>
          <w:trHeight w:val="23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Reunión Cabildo Red Violencia de Género - Psicología</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Espacio Digital de Schaman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sz w:val="20"/>
                <w:szCs w:val="20"/>
              </w:rPr>
            </w:pPr>
            <w:r>
              <w:rPr>
                <w:rFonts w:ascii="Arial" w:hAnsi="Arial" w:cs="Arial"/>
                <w:sz w:val="20"/>
                <w:szCs w:val="20"/>
              </w:rPr>
              <w:t>16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jc w:val="center"/>
              <w:textAlignment w:val="baseline"/>
              <w:rPr>
                <w:rFonts w:ascii="Arial" w:hAnsi="Arial" w:cs="Arial"/>
                <w:color w:val="000000"/>
                <w:sz w:val="20"/>
                <w:szCs w:val="20"/>
              </w:rPr>
            </w:pPr>
            <w:r>
              <w:rPr>
                <w:rFonts w:ascii="Arial" w:hAnsi="Arial" w:cs="Arial"/>
                <w:color w:val="000000"/>
                <w:sz w:val="20"/>
                <w:szCs w:val="20"/>
              </w:rPr>
              <w:t>16/12/2025</w:t>
            </w:r>
          </w:p>
        </w:tc>
      </w:tr>
    </w:tbl>
    <w:p>
      <w:pPr>
        <w:suppressAutoHyphens/>
        <w:autoSpaceDN w:val="0"/>
        <w:spacing w:after="0"/>
        <w:jc w:val="both"/>
        <w:textAlignment w:val="baseline"/>
        <w:rPr>
          <w:rFonts w:ascii="Arial" w:hAnsi="Arial" w:cs="Arial"/>
          <w:color w:val="000000"/>
          <w:sz w:val="24"/>
          <w:szCs w:val="24"/>
        </w:rPr>
      </w:pPr>
    </w:p>
    <w:p>
      <w:pPr>
        <w:suppressAutoHyphens/>
        <w:autoSpaceDN w:val="0"/>
        <w:spacing w:before="100" w:after="100"/>
        <w:ind w:left="-567" w:right="-1419"/>
        <w:textAlignment w:val="baseline"/>
        <w:rPr>
          <w:rFonts w:ascii="Arial" w:eastAsia="Times New Roman" w:hAnsi="Arial" w:cs="Arial"/>
          <w:sz w:val="24"/>
          <w:szCs w:val="24"/>
          <w:lang w:eastAsia="es-ES"/>
        </w:rPr>
      </w:pPr>
      <w:r>
        <w:rPr>
          <w:rFonts w:ascii="Arial" w:eastAsia="Times New Roman" w:hAnsi="Arial" w:cs="Arial"/>
          <w:noProof/>
          <w:sz w:val="24"/>
          <w:szCs w:val="24"/>
          <w:lang w:eastAsia="es-ES"/>
        </w:rPr>
        <w:drawing>
          <wp:inline distT="0" distB="0" distL="0" distR="0">
            <wp:extent cx="3124203" cy="2505712"/>
            <wp:effectExtent l="0" t="0" r="0" b="0"/>
            <wp:docPr id="62"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Pr>
          <w:rFonts w:ascii="Arial" w:eastAsia="Times New Roman" w:hAnsi="Arial" w:cs="Arial"/>
          <w:sz w:val="24"/>
          <w:szCs w:val="24"/>
          <w:lang w:eastAsia="es-ES"/>
        </w:rPr>
        <w:t xml:space="preserve">   </w:t>
      </w:r>
      <w:r>
        <w:rPr>
          <w:rFonts w:ascii="Arial" w:eastAsia="Times New Roman" w:hAnsi="Arial" w:cs="Arial"/>
          <w:noProof/>
          <w:sz w:val="24"/>
          <w:szCs w:val="24"/>
          <w:lang w:eastAsia="es-ES"/>
        </w:rPr>
        <w:drawing>
          <wp:inline distT="0" distB="0" distL="0" distR="0">
            <wp:extent cx="3199769" cy="2514600"/>
            <wp:effectExtent l="0" t="0" r="0" b="0"/>
            <wp:docPr id="12"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autoSpaceDN w:val="0"/>
        <w:spacing w:before="100" w:after="10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A lo largo del 2025, se han desarrollado numerosas reuniones con </w:t>
      </w:r>
      <w:r>
        <w:rPr>
          <w:rFonts w:ascii="Arial" w:eastAsia="Times New Roman" w:hAnsi="Arial" w:cs="Arial"/>
          <w:bCs/>
          <w:sz w:val="24"/>
          <w:szCs w:val="24"/>
          <w:lang w:eastAsia="es-ES"/>
        </w:rPr>
        <w:t>entidades clave del ámbito social, sanitario, policial, jurídico y de empleo</w:t>
      </w:r>
      <w:r>
        <w:rPr>
          <w:rFonts w:ascii="Arial" w:eastAsia="Times New Roman" w:hAnsi="Arial" w:cs="Arial"/>
          <w:sz w:val="24"/>
          <w:szCs w:val="24"/>
          <w:lang w:eastAsia="es-ES"/>
        </w:rPr>
        <w:t xml:space="preserve">, incluyendo Administraciones Públicas, cuerpos y fuerzas de seguridad del Estado, redes especializadas y entidades del tercer sector. Esta diversidad de acciones y entidades participantes pone de manifiesto una </w:t>
      </w:r>
      <w:r>
        <w:rPr>
          <w:rFonts w:ascii="Arial" w:eastAsia="Times New Roman" w:hAnsi="Arial" w:cs="Arial"/>
          <w:bCs/>
          <w:sz w:val="24"/>
          <w:szCs w:val="24"/>
          <w:lang w:eastAsia="es-ES"/>
        </w:rPr>
        <w:t>apuesta clara por la coordinación interinstitucional y la intervención multidisciplinar</w:t>
      </w:r>
      <w:r>
        <w:rPr>
          <w:rFonts w:ascii="Arial" w:eastAsia="Times New Roman" w:hAnsi="Arial" w:cs="Arial"/>
          <w:sz w:val="24"/>
          <w:szCs w:val="24"/>
          <w:lang w:eastAsia="es-ES"/>
        </w:rPr>
        <w:t>, necesaria para la detección, derivación y acompañamiento de las mujeres atendidas.</w:t>
      </w:r>
    </w:p>
    <w:p>
      <w:pPr>
        <w:autoSpaceDN w:val="0"/>
        <w:spacing w:before="100" w:after="100" w:line="360" w:lineRule="auto"/>
        <w:jc w:val="both"/>
        <w:rPr>
          <w:rFonts w:ascii="Arial" w:hAnsi="Arial" w:cs="Arial"/>
          <w:sz w:val="24"/>
          <w:szCs w:val="24"/>
        </w:rPr>
      </w:pPr>
    </w:p>
    <w:p>
      <w:pPr>
        <w:autoSpaceDN w:val="0"/>
        <w:spacing w:before="100" w:after="100" w:line="360" w:lineRule="auto"/>
        <w:jc w:val="both"/>
        <w:rPr>
          <w:rFonts w:ascii="Arial" w:hAnsi="Arial" w:cs="Arial"/>
          <w:sz w:val="24"/>
          <w:szCs w:val="24"/>
        </w:rPr>
      </w:pPr>
      <w:r>
        <w:rPr>
          <w:rFonts w:ascii="Arial" w:eastAsia="Times New Roman" w:hAnsi="Arial" w:cs="Arial"/>
          <w:sz w:val="24"/>
          <w:szCs w:val="24"/>
          <w:lang w:eastAsia="es-ES"/>
        </w:rPr>
        <w:t xml:space="preserve">Como punto a destacar, resulta relevante la </w:t>
      </w:r>
      <w:r>
        <w:rPr>
          <w:rFonts w:ascii="Arial" w:eastAsia="Times New Roman" w:hAnsi="Arial" w:cs="Arial"/>
          <w:bCs/>
          <w:sz w:val="24"/>
          <w:szCs w:val="24"/>
          <w:lang w:eastAsia="es-ES"/>
        </w:rPr>
        <w:t>continuidad y periodicidad de la participación en ciertas entidades y redes de forma estable durante el año</w:t>
      </w:r>
      <w:r>
        <w:rPr>
          <w:rFonts w:ascii="Arial" w:eastAsia="Times New Roman" w:hAnsi="Arial" w:cs="Arial"/>
          <w:sz w:val="24"/>
          <w:szCs w:val="24"/>
          <w:lang w:eastAsia="es-ES"/>
        </w:rPr>
        <w:t xml:space="preserve">, como la Red de Violencia de Género del Cabildo de Gran Canaria, UTIS, UCRIF o espacios de empleabilidad, lo que refuerza la consolidación de sinergias, el conocimiento mutuo entre recursos y la mejora de los protocolos de intervención y derivación. También, las acciones de </w:t>
      </w:r>
      <w:r>
        <w:rPr>
          <w:rFonts w:ascii="Arial" w:eastAsia="Times New Roman" w:hAnsi="Arial" w:cs="Arial"/>
          <w:bCs/>
          <w:sz w:val="24"/>
          <w:szCs w:val="24"/>
          <w:lang w:eastAsia="es-ES"/>
        </w:rPr>
        <w:t>prospección con entidades y empresas</w:t>
      </w:r>
      <w:r>
        <w:rPr>
          <w:rFonts w:ascii="Arial" w:eastAsia="Times New Roman" w:hAnsi="Arial" w:cs="Arial"/>
          <w:sz w:val="24"/>
          <w:szCs w:val="24"/>
          <w:lang w:eastAsia="es-ES"/>
        </w:rPr>
        <w:t xml:space="preserve"> reflejan un trabajo continúo orientado a la ampliación de oportunidades de inserción sociolaboral.</w:t>
      </w:r>
    </w:p>
    <w:p>
      <w:pPr>
        <w:shd w:val="clear" w:color="auto" w:fill="B2A1C7" w:themeFill="accent4" w:themeFillTint="99"/>
        <w:suppressAutoHyphens/>
        <w:autoSpaceDN w:val="0"/>
        <w:spacing w:after="0" w:line="360" w:lineRule="auto"/>
        <w:jc w:val="both"/>
        <w:textAlignment w:val="baseline"/>
        <w:rPr>
          <w:rFonts w:ascii="Arial" w:hAnsi="Arial" w:cs="Arial"/>
          <w:b/>
          <w:bCs/>
          <w:sz w:val="24"/>
          <w:szCs w:val="24"/>
        </w:rPr>
      </w:pPr>
      <w:r>
        <w:rPr>
          <w:rFonts w:ascii="Arial" w:hAnsi="Arial" w:cs="Arial"/>
          <w:b/>
          <w:bCs/>
          <w:sz w:val="24"/>
          <w:szCs w:val="24"/>
        </w:rPr>
        <w:lastRenderedPageBreak/>
        <w:t>F. EVALUACIÓN DE LA INTERVENCIÓN</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En el balance anual realizado, los objetivos alcanzados pueden valorarse de forma satisfactoria, llegando incluso a superar las previsiones iniciales planteadas a comienzos de año.</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En primer lugar, la incorporación de una persona responsable del área de formación y sensibilización ha supuesto un elemento clave para el desarrollo de las acciones, permitiendo reforzar y ampliar las acciones realizadas. Además, de la generación de propuestas de contenido innovadoras, el impulso de nuevas vías de comunicación a través de redes sociales y el fortalecimiento del papel de la entidad como referente a nivel comunicativo, de formación y sensibilización.  </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Todo ello, ha favorecido que la población canaria, los medios de comunicación y las administraciones públicas puedan conocer de primera mano, a través de charlas, comunicaciones y ponencias, la realidad de las mujeres en contextos de prostitución y de las víctimas de trata con fines de explotación sexual.</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En segundo lugar, se ha producido un incremento significativo del número de centros y de perfiles profesionales interesados en recibir formación. Este hecho, pone de manifiesto una mayor sensibilización y una demanda más especializada, orientada a la aplicación práctica de los contenidos en el trabajo cotidiano o ante la aparición de situaciones relacionadas con esta realidad.</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En tercer lugar, se ha logrado una mejora sustancial en los contenidos impartidos en los centros educativos, incorporando enfoques más adaptados a los contextos actuales, con un carácter más digitalizado y el uso de recursos multimedia que facilitan la comprensión y el interés del alumnado.</w:t>
      </w:r>
    </w:p>
    <w:p>
      <w:pPr>
        <w:suppressAutoHyphens/>
        <w:autoSpaceDN w:val="0"/>
        <w:spacing w:after="0" w:line="360" w:lineRule="auto"/>
        <w:jc w:val="both"/>
        <w:textAlignment w:val="baseline"/>
        <w:rPr>
          <w:rFonts w:ascii="Arial" w:hAnsi="Arial" w:cs="Arial"/>
          <w:sz w:val="24"/>
          <w:szCs w:val="24"/>
        </w:rPr>
      </w:pP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Por otro lado, resulta relevante el aumento de la participación del equipo profesional de Programa Oblatas Daniela en reuniones, redes y espacios de trabajo colaborativo, lo </w:t>
      </w:r>
      <w:r>
        <w:rPr>
          <w:rFonts w:ascii="Arial" w:hAnsi="Arial" w:cs="Arial"/>
          <w:sz w:val="24"/>
          <w:szCs w:val="24"/>
        </w:rPr>
        <w:lastRenderedPageBreak/>
        <w:t>que ha permitido no solo dar a conocer la labor de la entidad, sino también las acciones, actividades, trabajo y necesidades existentes en otros ámbitos de intervención.  Todo ello, repercute de manera directa en la mejora de los procesos de acompañamiento y orientación, con el objetivo último de avanzar hacia una intervención más eficaz y centrada en las mujeres, que constituyen el eje central del trabajo diario del Programa.</w:t>
      </w:r>
    </w:p>
    <w:p>
      <w:p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Finalmente, de cara al próximo ejercicio, se identifican los siguientes aspectos de mejora y líneas de actuación prioritarias:</w:t>
      </w:r>
    </w:p>
    <w:p>
      <w:pPr>
        <w:suppressAutoHyphens/>
        <w:autoSpaceDN w:val="0"/>
        <w:spacing w:after="0" w:line="360" w:lineRule="auto"/>
        <w:jc w:val="both"/>
        <w:textAlignment w:val="baseline"/>
        <w:rPr>
          <w:rFonts w:ascii="Arial" w:hAnsi="Arial" w:cs="Arial"/>
          <w:sz w:val="24"/>
          <w:szCs w:val="24"/>
        </w:rPr>
      </w:pPr>
    </w:p>
    <w:p>
      <w:pPr>
        <w:numPr>
          <w:ilvl w:val="0"/>
          <w:numId w:val="122"/>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Cuestionarios de evaluación: reforzar el control en la entrega y recogida de valoraciones, así como ampliar la información recabada, con el fin de realizar análisis más exhaustivos que permitan mejorar las acciones de sensibilización y formación.</w:t>
      </w:r>
    </w:p>
    <w:p>
      <w:pPr>
        <w:numPr>
          <w:ilvl w:val="0"/>
          <w:numId w:val="122"/>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Formaciones y charlas de sensibilización: a partir de la experiencia adquirida, se plantea el desarrollo de nuevas temáticas que ofrezcan perspectivas complementarias sobre la prostitución y la trata, incorporando contenidos específicos relacionados con los riesgos de la Inteligencia Artificial, el uso de nuevas redes sociales y la utilización de materiales audiovisuales y documentales como herramienta para el debate entre alumnado y profesionales.</w:t>
      </w:r>
    </w:p>
    <w:p>
      <w:pPr>
        <w:numPr>
          <w:ilvl w:val="0"/>
          <w:numId w:val="122"/>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Reuniones y trabajo en red: incrementar y consolidar la participación en redes impulsadas por las Administraciones Públicas y en aquellos espacios que contribuyan a mejorar los mecanismos de coordinación y actuación conjunta entre entidades.</w:t>
      </w:r>
    </w:p>
    <w:p>
      <w:pPr>
        <w:numPr>
          <w:ilvl w:val="0"/>
          <w:numId w:val="122"/>
        </w:numPr>
        <w:suppressAutoHyphens/>
        <w:autoSpaceDN w:val="0"/>
        <w:spacing w:after="0" w:line="360" w:lineRule="auto"/>
        <w:jc w:val="both"/>
        <w:textAlignment w:val="baseline"/>
        <w:rPr>
          <w:rFonts w:ascii="Arial" w:hAnsi="Arial" w:cs="Arial"/>
          <w:sz w:val="24"/>
          <w:szCs w:val="24"/>
        </w:rPr>
      </w:pPr>
      <w:r>
        <w:rPr>
          <w:rFonts w:ascii="Arial" w:hAnsi="Arial" w:cs="Arial"/>
          <w:sz w:val="24"/>
          <w:szCs w:val="24"/>
        </w:rPr>
        <w:t xml:space="preserve">Acciones de sensibilización de mayor alcance: promover actividades de mayor envergadura dirigidas a un público general, especialmente a personas con escaso conocimiento del contexto o interesadas en ampliar su formación y experiencia, tales como Cinefórum, mesas de debate u otras iniciativas similares. </w:t>
      </w:r>
    </w:p>
    <w:p>
      <w:pPr>
        <w:suppressAutoHyphens/>
        <w:autoSpaceDN w:val="0"/>
        <w:spacing w:line="360" w:lineRule="auto"/>
        <w:ind w:left="720"/>
        <w:textAlignment w:val="baseline"/>
        <w:rPr>
          <w:rFonts w:ascii="Arial" w:hAnsi="Arial" w:cs="Arial"/>
          <w:sz w:val="24"/>
          <w:szCs w:val="24"/>
        </w:rPr>
      </w:pPr>
    </w:p>
    <w:p>
      <w:pPr>
        <w:rPr>
          <w:rFonts w:ascii="Arial" w:eastAsia="Times New Roman" w:hAnsi="Arial" w:cs="Arial"/>
          <w:sz w:val="24"/>
          <w:szCs w:val="24"/>
        </w:rPr>
      </w:pPr>
    </w:p>
    <w:p>
      <w:pPr>
        <w:rPr>
          <w:rFonts w:ascii="Arial" w:eastAsia="Times New Roman" w:hAnsi="Arial" w:cs="Arial"/>
          <w:sz w:val="24"/>
          <w:szCs w:val="24"/>
        </w:rPr>
      </w:pPr>
    </w:p>
    <w:p>
      <w:pPr>
        <w:rPr>
          <w:rFonts w:ascii="Arial" w:eastAsia="Times New Roman" w:hAnsi="Arial" w:cs="Arial"/>
          <w:sz w:val="24"/>
          <w:szCs w:val="24"/>
        </w:rPr>
      </w:pPr>
    </w:p>
    <w:p>
      <w:pPr>
        <w:shd w:val="clear" w:color="auto" w:fill="365F91" w:themeFill="accent1" w:themeFillShade="BF"/>
        <w:spacing w:after="0"/>
        <w:jc w:val="center"/>
        <w:outlineLvl w:val="0"/>
        <w:rPr>
          <w:rFonts w:ascii="Arial" w:eastAsia="Times New Roman" w:hAnsi="Arial" w:cs="Arial"/>
          <w:b/>
          <w:color w:val="FFFFFF" w:themeColor="background1"/>
          <w:sz w:val="24"/>
          <w:szCs w:val="24"/>
        </w:rPr>
      </w:pPr>
      <w:r>
        <w:rPr>
          <w:rFonts w:ascii="Arial" w:eastAsia="Times New Roman" w:hAnsi="Arial" w:cs="Arial"/>
          <w:b/>
          <w:color w:val="FFFFFF" w:themeColor="background1"/>
          <w:sz w:val="24"/>
          <w:szCs w:val="24"/>
        </w:rPr>
        <w:lastRenderedPageBreak/>
        <w:t>AREA PSICOLÓGICA</w:t>
      </w:r>
    </w:p>
    <w:p>
      <w:pPr>
        <w:autoSpaceDE w:val="0"/>
        <w:autoSpaceDN w:val="0"/>
        <w:adjustRightInd w:val="0"/>
        <w:spacing w:after="0"/>
        <w:jc w:val="both"/>
        <w:rPr>
          <w:rFonts w:ascii="Arial" w:eastAsia="Times New Roman" w:hAnsi="Arial" w:cs="Arial"/>
          <w:b/>
          <w:bCs/>
          <w:sz w:val="24"/>
          <w:szCs w:val="24"/>
        </w:rPr>
      </w:pPr>
    </w:p>
    <w:p>
      <w:pPr>
        <w:shd w:val="clear" w:color="auto" w:fill="CCC0D9" w:themeFill="accent4" w:themeFillTint="66"/>
        <w:autoSpaceDE w:val="0"/>
        <w:autoSpaceDN w:val="0"/>
        <w:adjustRightInd w:val="0"/>
        <w:spacing w:after="0" w:line="360" w:lineRule="auto"/>
        <w:jc w:val="both"/>
        <w:outlineLvl w:val="0"/>
        <w:rPr>
          <w:rFonts w:ascii="Arial" w:eastAsia="Times New Roman" w:hAnsi="Arial" w:cs="Arial"/>
          <w:b/>
          <w:bCs/>
          <w:sz w:val="24"/>
          <w:szCs w:val="24"/>
        </w:rPr>
      </w:pPr>
      <w:r>
        <w:rPr>
          <w:rFonts w:ascii="Arial" w:eastAsia="Times New Roman" w:hAnsi="Arial" w:cs="Arial"/>
          <w:b/>
          <w:bCs/>
          <w:sz w:val="24"/>
          <w:szCs w:val="24"/>
        </w:rPr>
        <w:t xml:space="preserve">A - OBJETIVO GENERAL: </w:t>
      </w:r>
    </w:p>
    <w:p>
      <w:pPr>
        <w:autoSpaceDE w:val="0"/>
        <w:autoSpaceDN w:val="0"/>
        <w:adjustRightInd w:val="0"/>
        <w:spacing w:line="360" w:lineRule="auto"/>
        <w:jc w:val="both"/>
        <w:rPr>
          <w:rFonts w:ascii="Arial" w:eastAsia="Times New Roman" w:hAnsi="Arial" w:cs="Arial"/>
          <w:sz w:val="24"/>
          <w:szCs w:val="24"/>
        </w:rPr>
      </w:pPr>
    </w:p>
    <w:p>
      <w:p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Ofrecer atención psicológica a las mujeres, especialmente en riesgo o víctimas de violencia de género, especialmente por prostitución y/o trata con fines de explotación sexual.</w:t>
      </w:r>
    </w:p>
    <w:p>
      <w:pPr>
        <w:shd w:val="clear" w:color="auto" w:fill="CCC0D9" w:themeFill="accent4" w:themeFillTint="66"/>
        <w:autoSpaceDE w:val="0"/>
        <w:autoSpaceDN w:val="0"/>
        <w:adjustRightInd w:val="0"/>
        <w:spacing w:line="360" w:lineRule="auto"/>
        <w:jc w:val="both"/>
        <w:outlineLvl w:val="0"/>
        <w:rPr>
          <w:rFonts w:ascii="Arial" w:eastAsia="Times New Roman" w:hAnsi="Arial" w:cs="Arial"/>
          <w:b/>
          <w:bCs/>
          <w:sz w:val="24"/>
          <w:szCs w:val="24"/>
        </w:rPr>
      </w:pPr>
      <w:r>
        <w:rPr>
          <w:rFonts w:ascii="Arial" w:eastAsia="Times New Roman" w:hAnsi="Arial" w:cs="Arial"/>
          <w:b/>
          <w:bCs/>
          <w:sz w:val="24"/>
          <w:szCs w:val="24"/>
        </w:rPr>
        <w:t>B - OBJETIVOS ESPECÍFICOS:</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Promover un vínculo que permita identificar la funcionalidad y disponibilidad del equipo técnico del área. </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Asesorar sobre las cuestiones psicológicas básicas que plantee cada usuaria. </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Acompañar psicológicamente los diferentes momentos vitales que la mujer solicite. </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Realizar una intervención psicológica individual. </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Intervenir en contextos de prostitución (calle, clubs, pisos). </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Asesorar técnicamente al equipo interdisciplinar.</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Participar en foros de coordinación y/o mesas técnicas. </w:t>
      </w:r>
    </w:p>
    <w:p>
      <w:pPr>
        <w:numPr>
          <w:ilvl w:val="0"/>
          <w:numId w:val="39"/>
        </w:numPr>
        <w:tabs>
          <w:tab w:val="num" w:pos="720"/>
        </w:tabs>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 xml:space="preserve">Asistir a formaciones de especialización.  </w:t>
      </w:r>
    </w:p>
    <w:p>
      <w:pPr>
        <w:autoSpaceDE w:val="0"/>
        <w:autoSpaceDN w:val="0"/>
        <w:adjustRightInd w:val="0"/>
        <w:spacing w:after="0"/>
        <w:ind w:left="720"/>
        <w:jc w:val="both"/>
        <w:rPr>
          <w:rFonts w:ascii="Arial" w:eastAsia="Times New Roman" w:hAnsi="Arial" w:cs="Arial"/>
          <w:sz w:val="24"/>
          <w:szCs w:val="24"/>
        </w:rPr>
      </w:pPr>
    </w:p>
    <w:p>
      <w:pPr>
        <w:shd w:val="clear" w:color="auto" w:fill="CCC0D9" w:themeFill="accent4" w:themeFillTint="66"/>
        <w:autoSpaceDE w:val="0"/>
        <w:autoSpaceDN w:val="0"/>
        <w:adjustRightInd w:val="0"/>
        <w:jc w:val="both"/>
        <w:outlineLvl w:val="0"/>
        <w:rPr>
          <w:rFonts w:ascii="Arial" w:eastAsia="Times New Roman" w:hAnsi="Arial" w:cs="Arial"/>
          <w:b/>
          <w:bCs/>
          <w:sz w:val="24"/>
          <w:szCs w:val="24"/>
        </w:rPr>
      </w:pPr>
      <w:r>
        <w:rPr>
          <w:rFonts w:ascii="Arial" w:eastAsia="Times New Roman" w:hAnsi="Arial" w:cs="Arial"/>
          <w:b/>
          <w:bCs/>
          <w:sz w:val="24"/>
          <w:szCs w:val="24"/>
          <w:shd w:val="clear" w:color="auto" w:fill="CCC0D9" w:themeFill="accent4" w:themeFillTint="66"/>
        </w:rPr>
        <w:t>C - OBJETIVOS OPERATIVOS</w:t>
      </w:r>
      <w:r>
        <w:rPr>
          <w:rFonts w:ascii="Arial" w:eastAsia="Times New Roman" w:hAnsi="Arial" w:cs="Arial"/>
          <w:b/>
          <w:bCs/>
          <w:sz w:val="24"/>
          <w:szCs w:val="24"/>
        </w:rPr>
        <w:t>:</w:t>
      </w:r>
    </w:p>
    <w:tbl>
      <w:tblPr>
        <w:tblStyle w:val="Tablaconcuadrcula222"/>
        <w:tblW w:w="9209" w:type="dxa"/>
        <w:jc w:val="center"/>
        <w:tblLook w:val="04A0" w:firstRow="1" w:lastRow="0" w:firstColumn="1" w:lastColumn="0" w:noHBand="0" w:noVBand="1"/>
      </w:tblPr>
      <w:tblGrid>
        <w:gridCol w:w="4753"/>
        <w:gridCol w:w="4456"/>
      </w:tblGrid>
      <w:tr>
        <w:trPr>
          <w:jc w:val="center"/>
        </w:trPr>
        <w:tc>
          <w:tcPr>
            <w:tcW w:w="4753" w:type="dxa"/>
            <w:shd w:val="clear" w:color="auto" w:fill="DDD9C3" w:themeFill="background2" w:themeFillShade="E6"/>
            <w:vAlign w:val="center"/>
          </w:tcPr>
          <w:p>
            <w:pPr>
              <w:autoSpaceDE w:val="0"/>
              <w:autoSpaceDN w:val="0"/>
              <w:adjustRightInd w:val="0"/>
              <w:spacing w:after="0" w:line="240" w:lineRule="auto"/>
              <w:jc w:val="center"/>
              <w:rPr>
                <w:rFonts w:ascii="Arial" w:hAnsi="Arial" w:cs="Arial"/>
                <w:b/>
              </w:rPr>
            </w:pPr>
            <w:r>
              <w:rPr>
                <w:rFonts w:ascii="Arial" w:hAnsi="Arial" w:cs="Arial"/>
                <w:b/>
              </w:rPr>
              <w:t>OBJETIVOS ESPECÍFICOS</w:t>
            </w:r>
          </w:p>
        </w:tc>
        <w:tc>
          <w:tcPr>
            <w:tcW w:w="4456" w:type="dxa"/>
            <w:shd w:val="clear" w:color="auto" w:fill="DDD9C3" w:themeFill="background2" w:themeFillShade="E6"/>
            <w:vAlign w:val="center"/>
          </w:tcPr>
          <w:p>
            <w:pPr>
              <w:autoSpaceDE w:val="0"/>
              <w:autoSpaceDN w:val="0"/>
              <w:adjustRightInd w:val="0"/>
              <w:spacing w:after="0" w:line="240" w:lineRule="auto"/>
              <w:jc w:val="center"/>
              <w:rPr>
                <w:rFonts w:ascii="Arial" w:hAnsi="Arial" w:cs="Arial"/>
                <w:b/>
              </w:rPr>
            </w:pPr>
            <w:r>
              <w:rPr>
                <w:rFonts w:ascii="Arial" w:hAnsi="Arial" w:cs="Arial"/>
                <w:b/>
              </w:rPr>
              <w:t>OBJETIVOS OPERATIVOS</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rPr>
            </w:pPr>
            <w:r>
              <w:rPr>
                <w:rFonts w:ascii="Arial" w:hAnsi="Arial" w:cs="Arial"/>
              </w:rPr>
              <w:t xml:space="preserve">Promover un vínculo que permita identificar la funcionalidad y disponibilidad del equipo técnico del área. </w:t>
            </w:r>
          </w:p>
        </w:tc>
        <w:tc>
          <w:tcPr>
            <w:tcW w:w="4456" w:type="dxa"/>
            <w:vAlign w:val="center"/>
          </w:tcPr>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Coincidir con las mujeres en al menos un encuentro.</w:t>
            </w:r>
          </w:p>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 xml:space="preserve">Exponer las funciones del área. </w:t>
            </w:r>
          </w:p>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 xml:space="preserve">Ofrecer una cita formal. </w:t>
            </w:r>
          </w:p>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Proporcionar medio de contacto.</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rPr>
            </w:pPr>
            <w:r>
              <w:rPr>
                <w:rFonts w:ascii="Arial" w:hAnsi="Arial" w:cs="Arial"/>
              </w:rPr>
              <w:t xml:space="preserve">Asesorar sobre las cuestiones psicológicas básicas que plantee cada usuaria. </w:t>
            </w:r>
          </w:p>
          <w:p>
            <w:pPr>
              <w:autoSpaceDE w:val="0"/>
              <w:autoSpaceDN w:val="0"/>
              <w:adjustRightInd w:val="0"/>
              <w:spacing w:after="0" w:line="240" w:lineRule="auto"/>
              <w:ind w:left="386"/>
              <w:jc w:val="both"/>
              <w:rPr>
                <w:rFonts w:ascii="Arial" w:hAnsi="Arial" w:cs="Arial"/>
                <w:i/>
              </w:rPr>
            </w:pPr>
          </w:p>
        </w:tc>
        <w:tc>
          <w:tcPr>
            <w:tcW w:w="4456" w:type="dxa"/>
            <w:vAlign w:val="center"/>
          </w:tcPr>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Recoger el 100% de las demandas realizadas por la usuaria.</w:t>
            </w:r>
          </w:p>
          <w:p>
            <w:pPr>
              <w:numPr>
                <w:ilvl w:val="0"/>
                <w:numId w:val="41"/>
              </w:numPr>
              <w:autoSpaceDE w:val="0"/>
              <w:autoSpaceDN w:val="0"/>
              <w:adjustRightInd w:val="0"/>
              <w:spacing w:after="0" w:line="240" w:lineRule="auto"/>
              <w:ind w:left="318"/>
              <w:contextualSpacing/>
              <w:jc w:val="both"/>
              <w:rPr>
                <w:rFonts w:ascii="Arial" w:hAnsi="Arial" w:cs="Arial"/>
                <w:i/>
              </w:rPr>
            </w:pPr>
            <w:r>
              <w:rPr>
                <w:rFonts w:ascii="Arial" w:hAnsi="Arial" w:cs="Arial"/>
              </w:rPr>
              <w:t>Dar respuesta al 100% de las demandas efectuadas por la misma.</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rPr>
            </w:pPr>
            <w:r>
              <w:rPr>
                <w:rFonts w:ascii="Arial" w:hAnsi="Arial" w:cs="Arial"/>
              </w:rPr>
              <w:lastRenderedPageBreak/>
              <w:t xml:space="preserve">Acompañar psicológicamente los diferentes momentos vitales que la mujer solicite. </w:t>
            </w:r>
          </w:p>
          <w:p>
            <w:pPr>
              <w:autoSpaceDE w:val="0"/>
              <w:autoSpaceDN w:val="0"/>
              <w:adjustRightInd w:val="0"/>
              <w:spacing w:after="0" w:line="240" w:lineRule="auto"/>
              <w:ind w:left="386"/>
              <w:jc w:val="both"/>
              <w:rPr>
                <w:rFonts w:ascii="Arial" w:hAnsi="Arial" w:cs="Arial"/>
                <w:i/>
              </w:rPr>
            </w:pPr>
          </w:p>
        </w:tc>
        <w:tc>
          <w:tcPr>
            <w:tcW w:w="4456" w:type="dxa"/>
            <w:vAlign w:val="center"/>
          </w:tcPr>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 xml:space="preserve">Recoger el 100% de las manifestaciones de las mujeres. </w:t>
            </w:r>
          </w:p>
          <w:p>
            <w:pPr>
              <w:numPr>
                <w:ilvl w:val="0"/>
                <w:numId w:val="41"/>
              </w:numPr>
              <w:autoSpaceDE w:val="0"/>
              <w:autoSpaceDN w:val="0"/>
              <w:adjustRightInd w:val="0"/>
              <w:spacing w:after="0" w:line="240" w:lineRule="auto"/>
              <w:ind w:left="318"/>
              <w:contextualSpacing/>
              <w:jc w:val="both"/>
              <w:rPr>
                <w:rFonts w:ascii="Arial" w:hAnsi="Arial" w:cs="Arial"/>
                <w:i/>
              </w:rPr>
            </w:pPr>
            <w:r>
              <w:rPr>
                <w:rFonts w:ascii="Arial" w:hAnsi="Arial" w:cs="Arial"/>
              </w:rPr>
              <w:t>Dar respuesta al 100% de las manifestaciones de las mujeres.</w:t>
            </w:r>
          </w:p>
          <w:p>
            <w:pPr>
              <w:autoSpaceDE w:val="0"/>
              <w:autoSpaceDN w:val="0"/>
              <w:adjustRightInd w:val="0"/>
              <w:spacing w:after="0" w:line="240" w:lineRule="auto"/>
              <w:ind w:left="318"/>
              <w:contextualSpacing/>
              <w:jc w:val="both"/>
              <w:rPr>
                <w:rFonts w:ascii="Arial" w:hAnsi="Arial" w:cs="Arial"/>
                <w:i/>
              </w:rPr>
            </w:pP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i/>
                <w:color w:val="0070C0"/>
              </w:rPr>
            </w:pPr>
            <w:r>
              <w:rPr>
                <w:rFonts w:ascii="Arial" w:hAnsi="Arial" w:cs="Arial"/>
              </w:rPr>
              <w:t xml:space="preserve">Realizar una intervención psicológica. </w:t>
            </w:r>
          </w:p>
        </w:tc>
        <w:tc>
          <w:tcPr>
            <w:tcW w:w="4456" w:type="dxa"/>
            <w:vAlign w:val="center"/>
          </w:tcPr>
          <w:p>
            <w:pPr>
              <w:numPr>
                <w:ilvl w:val="0"/>
                <w:numId w:val="41"/>
              </w:numPr>
              <w:autoSpaceDE w:val="0"/>
              <w:autoSpaceDN w:val="0"/>
              <w:adjustRightInd w:val="0"/>
              <w:spacing w:after="0" w:line="240" w:lineRule="auto"/>
              <w:ind w:left="318"/>
              <w:contextualSpacing/>
              <w:jc w:val="both"/>
              <w:rPr>
                <w:rFonts w:ascii="Arial" w:hAnsi="Arial" w:cs="Arial"/>
              </w:rPr>
            </w:pPr>
            <w:r>
              <w:rPr>
                <w:rFonts w:ascii="Arial" w:hAnsi="Arial" w:cs="Arial"/>
              </w:rPr>
              <w:t xml:space="preserve">Plantear ≥1 objetivos psicoterapéuticos en el 100% de los casos. </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rPr>
            </w:pPr>
            <w:r>
              <w:rPr>
                <w:rFonts w:ascii="Arial" w:hAnsi="Arial" w:cs="Arial"/>
              </w:rPr>
              <w:t xml:space="preserve">Intervenir en contextos de prostitución. </w:t>
            </w:r>
          </w:p>
        </w:tc>
        <w:tc>
          <w:tcPr>
            <w:tcW w:w="4456" w:type="dxa"/>
            <w:vAlign w:val="center"/>
          </w:tcPr>
          <w:p>
            <w:pPr>
              <w:numPr>
                <w:ilvl w:val="0"/>
                <w:numId w:val="41"/>
              </w:numPr>
              <w:autoSpaceDE w:val="0"/>
              <w:autoSpaceDN w:val="0"/>
              <w:adjustRightInd w:val="0"/>
              <w:spacing w:after="0" w:line="240" w:lineRule="auto"/>
              <w:ind w:left="318"/>
              <w:contextualSpacing/>
              <w:jc w:val="both"/>
              <w:rPr>
                <w:rFonts w:ascii="Arial" w:hAnsi="Arial" w:cs="Arial"/>
                <w:i/>
              </w:rPr>
            </w:pPr>
            <w:r>
              <w:rPr>
                <w:rFonts w:ascii="Arial" w:hAnsi="Arial" w:cs="Arial"/>
              </w:rPr>
              <w:t xml:space="preserve">Participar ≥1 en salidas de aproximación al contexto de prostitución. </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rPr>
            </w:pPr>
            <w:r>
              <w:rPr>
                <w:rFonts w:ascii="Arial" w:hAnsi="Arial" w:cs="Arial"/>
              </w:rPr>
              <w:t>Asesorar técnicamente al equipo interdisciplinar.</w:t>
            </w:r>
          </w:p>
          <w:p>
            <w:pPr>
              <w:autoSpaceDE w:val="0"/>
              <w:autoSpaceDN w:val="0"/>
              <w:adjustRightInd w:val="0"/>
              <w:spacing w:after="0" w:line="240" w:lineRule="auto"/>
              <w:ind w:left="386"/>
              <w:jc w:val="both"/>
              <w:rPr>
                <w:rFonts w:ascii="Arial" w:hAnsi="Arial" w:cs="Arial"/>
                <w:i/>
                <w:color w:val="0070C0"/>
              </w:rPr>
            </w:pPr>
          </w:p>
        </w:tc>
        <w:tc>
          <w:tcPr>
            <w:tcW w:w="4456" w:type="dxa"/>
            <w:vAlign w:val="center"/>
          </w:tcPr>
          <w:p>
            <w:pPr>
              <w:numPr>
                <w:ilvl w:val="0"/>
                <w:numId w:val="41"/>
              </w:numPr>
              <w:autoSpaceDE w:val="0"/>
              <w:autoSpaceDN w:val="0"/>
              <w:adjustRightInd w:val="0"/>
              <w:spacing w:after="0" w:line="240" w:lineRule="auto"/>
              <w:ind w:left="360"/>
              <w:contextualSpacing/>
              <w:jc w:val="both"/>
              <w:rPr>
                <w:rFonts w:ascii="Arial" w:hAnsi="Arial" w:cs="Arial"/>
              </w:rPr>
            </w:pPr>
            <w:r>
              <w:rPr>
                <w:rFonts w:ascii="Arial" w:hAnsi="Arial" w:cs="Arial"/>
              </w:rPr>
              <w:t>Recoger el 100% de las cuestiones planteadas por parte del equipo interdisciplinar.</w:t>
            </w:r>
          </w:p>
          <w:p>
            <w:pPr>
              <w:numPr>
                <w:ilvl w:val="0"/>
                <w:numId w:val="41"/>
              </w:numPr>
              <w:autoSpaceDE w:val="0"/>
              <w:autoSpaceDN w:val="0"/>
              <w:adjustRightInd w:val="0"/>
              <w:spacing w:after="0" w:line="240" w:lineRule="auto"/>
              <w:ind w:left="360"/>
              <w:contextualSpacing/>
              <w:jc w:val="both"/>
              <w:rPr>
                <w:rFonts w:ascii="Arial" w:hAnsi="Arial" w:cs="Arial"/>
              </w:rPr>
            </w:pPr>
            <w:r>
              <w:rPr>
                <w:rFonts w:ascii="Arial" w:hAnsi="Arial" w:cs="Arial"/>
              </w:rPr>
              <w:t xml:space="preserve">Dar respuesta al 100% de los planteamientos del equipo. </w:t>
            </w:r>
          </w:p>
          <w:p>
            <w:pPr>
              <w:numPr>
                <w:ilvl w:val="0"/>
                <w:numId w:val="41"/>
              </w:numPr>
              <w:autoSpaceDE w:val="0"/>
              <w:autoSpaceDN w:val="0"/>
              <w:adjustRightInd w:val="0"/>
              <w:spacing w:after="0" w:line="240" w:lineRule="auto"/>
              <w:ind w:left="360"/>
              <w:contextualSpacing/>
              <w:jc w:val="both"/>
              <w:rPr>
                <w:rFonts w:ascii="Arial" w:hAnsi="Arial" w:cs="Arial"/>
              </w:rPr>
            </w:pPr>
            <w:r>
              <w:rPr>
                <w:rFonts w:ascii="Arial" w:hAnsi="Arial" w:cs="Arial"/>
              </w:rPr>
              <w:t>Plantear, si se requiere y a iniciativa del área, observaciones y/o sugerencias técnicas.</w:t>
            </w:r>
          </w:p>
          <w:p>
            <w:pPr>
              <w:numPr>
                <w:ilvl w:val="0"/>
                <w:numId w:val="41"/>
              </w:numPr>
              <w:autoSpaceDE w:val="0"/>
              <w:autoSpaceDN w:val="0"/>
              <w:adjustRightInd w:val="0"/>
              <w:spacing w:after="0" w:line="240" w:lineRule="auto"/>
              <w:ind w:left="360"/>
              <w:contextualSpacing/>
              <w:jc w:val="both"/>
              <w:rPr>
                <w:rFonts w:ascii="Arial" w:hAnsi="Arial" w:cs="Arial"/>
              </w:rPr>
            </w:pPr>
            <w:r>
              <w:rPr>
                <w:rFonts w:ascii="Arial" w:hAnsi="Arial" w:cs="Arial"/>
              </w:rPr>
              <w:t>Implementar intervenciones conjuntas con las demás áreas.</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i/>
              </w:rPr>
            </w:pPr>
            <w:r>
              <w:rPr>
                <w:rFonts w:ascii="Arial" w:hAnsi="Arial" w:cs="Arial"/>
              </w:rPr>
              <w:t xml:space="preserve">Participar en foros de coordinación y/o mesas técnicas. </w:t>
            </w:r>
          </w:p>
        </w:tc>
        <w:tc>
          <w:tcPr>
            <w:tcW w:w="4456" w:type="dxa"/>
            <w:vAlign w:val="center"/>
          </w:tcPr>
          <w:p>
            <w:pPr>
              <w:numPr>
                <w:ilvl w:val="0"/>
                <w:numId w:val="41"/>
              </w:numPr>
              <w:autoSpaceDE w:val="0"/>
              <w:autoSpaceDN w:val="0"/>
              <w:adjustRightInd w:val="0"/>
              <w:spacing w:after="0" w:line="240" w:lineRule="auto"/>
              <w:ind w:left="360"/>
              <w:contextualSpacing/>
              <w:jc w:val="both"/>
              <w:rPr>
                <w:rFonts w:ascii="Arial" w:hAnsi="Arial" w:cs="Arial"/>
                <w:i/>
              </w:rPr>
            </w:pPr>
            <w:r>
              <w:rPr>
                <w:rFonts w:ascii="Arial" w:hAnsi="Arial" w:cs="Arial"/>
              </w:rPr>
              <w:t>Asistir a encuentros a nivel local, provincial, nacional y/o internacional.</w:t>
            </w:r>
          </w:p>
        </w:tc>
      </w:tr>
      <w:tr>
        <w:trPr>
          <w:jc w:val="center"/>
        </w:trPr>
        <w:tc>
          <w:tcPr>
            <w:tcW w:w="4753" w:type="dxa"/>
            <w:vAlign w:val="center"/>
          </w:tcPr>
          <w:p>
            <w:pPr>
              <w:numPr>
                <w:ilvl w:val="0"/>
                <w:numId w:val="40"/>
              </w:numPr>
              <w:autoSpaceDE w:val="0"/>
              <w:autoSpaceDN w:val="0"/>
              <w:adjustRightInd w:val="0"/>
              <w:spacing w:after="0" w:line="240" w:lineRule="auto"/>
              <w:ind w:left="386"/>
              <w:jc w:val="both"/>
              <w:rPr>
                <w:rFonts w:ascii="Arial" w:hAnsi="Arial" w:cs="Arial"/>
              </w:rPr>
            </w:pPr>
            <w:r>
              <w:rPr>
                <w:rFonts w:ascii="Arial" w:hAnsi="Arial" w:cs="Arial"/>
              </w:rPr>
              <w:t xml:space="preserve">Asistir a formaciones de especialización.  </w:t>
            </w:r>
          </w:p>
          <w:p>
            <w:pPr>
              <w:autoSpaceDE w:val="0"/>
              <w:autoSpaceDN w:val="0"/>
              <w:adjustRightInd w:val="0"/>
              <w:spacing w:after="0" w:line="240" w:lineRule="auto"/>
              <w:ind w:left="386"/>
              <w:jc w:val="both"/>
              <w:rPr>
                <w:rFonts w:ascii="Arial" w:hAnsi="Arial" w:cs="Arial"/>
                <w:i/>
                <w:color w:val="0070C0"/>
              </w:rPr>
            </w:pPr>
          </w:p>
        </w:tc>
        <w:tc>
          <w:tcPr>
            <w:tcW w:w="4456" w:type="dxa"/>
            <w:vAlign w:val="center"/>
          </w:tcPr>
          <w:p>
            <w:pPr>
              <w:autoSpaceDE w:val="0"/>
              <w:autoSpaceDN w:val="0"/>
              <w:adjustRightInd w:val="0"/>
              <w:spacing w:after="0" w:line="240" w:lineRule="auto"/>
              <w:jc w:val="both"/>
              <w:rPr>
                <w:rFonts w:ascii="Arial" w:hAnsi="Arial" w:cs="Arial"/>
              </w:rPr>
            </w:pPr>
            <w:r>
              <w:rPr>
                <w:rFonts w:ascii="Arial" w:hAnsi="Arial" w:cs="Arial"/>
              </w:rPr>
              <w:t xml:space="preserve">• Participar ≥1 acción formativa de especialización. </w:t>
            </w:r>
          </w:p>
        </w:tc>
      </w:tr>
    </w:tbl>
    <w:p>
      <w:pPr>
        <w:autoSpaceDE w:val="0"/>
        <w:autoSpaceDN w:val="0"/>
        <w:adjustRightInd w:val="0"/>
        <w:ind w:left="360"/>
        <w:contextualSpacing/>
        <w:jc w:val="both"/>
        <w:rPr>
          <w:rFonts w:ascii="Arial" w:eastAsia="Times New Roman" w:hAnsi="Arial" w:cs="Arial"/>
          <w:color w:val="2E74B5"/>
          <w:sz w:val="24"/>
          <w:szCs w:val="24"/>
        </w:rPr>
      </w:pPr>
    </w:p>
    <w:p>
      <w:pPr>
        <w:autoSpaceDE w:val="0"/>
        <w:autoSpaceDN w:val="0"/>
        <w:adjustRightInd w:val="0"/>
        <w:ind w:left="360"/>
        <w:contextualSpacing/>
        <w:jc w:val="both"/>
        <w:rPr>
          <w:rFonts w:ascii="Arial" w:eastAsia="Times New Roman" w:hAnsi="Arial" w:cs="Arial"/>
          <w:color w:val="2E74B5"/>
          <w:sz w:val="24"/>
          <w:szCs w:val="24"/>
        </w:rPr>
      </w:pPr>
    </w:p>
    <w:p>
      <w:pPr>
        <w:shd w:val="clear" w:color="auto" w:fill="B2A1C7" w:themeFill="accent4" w:themeFillTint="99"/>
        <w:autoSpaceDE w:val="0"/>
        <w:autoSpaceDN w:val="0"/>
        <w:adjustRightInd w:val="0"/>
        <w:jc w:val="both"/>
        <w:outlineLvl w:val="0"/>
        <w:rPr>
          <w:rFonts w:ascii="Arial" w:eastAsia="Times New Roman" w:hAnsi="Arial" w:cs="Arial"/>
          <w:b/>
          <w:sz w:val="24"/>
          <w:szCs w:val="24"/>
        </w:rPr>
      </w:pPr>
      <w:r>
        <w:rPr>
          <w:rFonts w:ascii="Arial" w:eastAsia="Times New Roman" w:hAnsi="Arial" w:cs="Arial"/>
          <w:b/>
          <w:sz w:val="24"/>
          <w:szCs w:val="24"/>
        </w:rPr>
        <w:t>D</w:t>
      </w:r>
      <w:r>
        <w:rPr>
          <w:rFonts w:ascii="Arial" w:eastAsia="Times New Roman" w:hAnsi="Arial" w:cs="Arial"/>
          <w:b/>
          <w:sz w:val="24"/>
          <w:szCs w:val="24"/>
          <w:shd w:val="clear" w:color="auto" w:fill="B2A1C7" w:themeFill="accent4" w:themeFillTint="99"/>
        </w:rPr>
        <w:t xml:space="preserve"> - NÚMERO DE MUJERES ATENDIDAS:</w:t>
      </w:r>
    </w:p>
    <w:p>
      <w:pPr>
        <w:autoSpaceDE w:val="0"/>
        <w:autoSpaceDN w:val="0"/>
        <w:adjustRightInd w:val="0"/>
        <w:spacing w:line="360" w:lineRule="auto"/>
        <w:jc w:val="both"/>
        <w:rPr>
          <w:rFonts w:ascii="Arial" w:eastAsia="Times New Roman" w:hAnsi="Arial" w:cs="Arial"/>
          <w:bCs/>
          <w:sz w:val="24"/>
          <w:szCs w:val="24"/>
        </w:rPr>
      </w:pPr>
      <w:r>
        <w:rPr>
          <w:rFonts w:ascii="Arial" w:eastAsia="Times New Roman" w:hAnsi="Arial" w:cs="Arial"/>
          <w:bCs/>
          <w:sz w:val="24"/>
          <w:szCs w:val="24"/>
        </w:rPr>
        <w:t>Durante el año 2025, recibieron atención psicológica 45 mujeres, siendo 2 de ellas menores de edad en el rango de 11 a 16 años.</w:t>
      </w:r>
    </w:p>
    <w:p>
      <w:pPr>
        <w:autoSpaceDE w:val="0"/>
        <w:autoSpaceDN w:val="0"/>
        <w:adjustRightInd w:val="0"/>
        <w:jc w:val="both"/>
        <w:rPr>
          <w:rFonts w:ascii="Arial" w:eastAsia="Times New Roman" w:hAnsi="Arial" w:cs="Arial"/>
          <w:bCs/>
          <w:sz w:val="24"/>
          <w:szCs w:val="24"/>
        </w:rPr>
      </w:pPr>
    </w:p>
    <w:p>
      <w:pPr>
        <w:shd w:val="clear" w:color="auto" w:fill="B2A1C7" w:themeFill="accent4" w:themeFillTint="99"/>
        <w:autoSpaceDE w:val="0"/>
        <w:autoSpaceDN w:val="0"/>
        <w:adjustRightInd w:val="0"/>
        <w:jc w:val="both"/>
        <w:outlineLvl w:val="0"/>
        <w:rPr>
          <w:rFonts w:ascii="Arial" w:eastAsia="Times New Roman" w:hAnsi="Arial" w:cs="Arial"/>
          <w:b/>
          <w:bCs/>
          <w:sz w:val="24"/>
          <w:szCs w:val="24"/>
        </w:rPr>
      </w:pPr>
      <w:r>
        <w:rPr>
          <w:rFonts w:ascii="Arial" w:eastAsia="Times New Roman" w:hAnsi="Arial" w:cs="Arial"/>
          <w:b/>
          <w:bCs/>
          <w:sz w:val="24"/>
          <w:szCs w:val="24"/>
        </w:rPr>
        <w:t>E - METODOLOGÍA:</w:t>
      </w:r>
    </w:p>
    <w:p>
      <w:pPr>
        <w:autoSpaceDE w:val="0"/>
        <w:autoSpaceDN w:val="0"/>
        <w:adjustRightInd w:val="0"/>
        <w:spacing w:after="0"/>
        <w:jc w:val="both"/>
        <w:rPr>
          <w:rFonts w:ascii="Arial" w:eastAsia="Times New Roman" w:hAnsi="Arial" w:cs="Arial"/>
          <w:iCs/>
          <w:sz w:val="24"/>
          <w:szCs w:val="24"/>
        </w:rPr>
      </w:pPr>
      <w:r>
        <w:rPr>
          <w:rFonts w:ascii="Arial" w:eastAsia="Times New Roman" w:hAnsi="Arial" w:cs="Arial"/>
          <w:iCs/>
          <w:sz w:val="24"/>
          <w:szCs w:val="24"/>
        </w:rPr>
        <w:t>La intervención psicológica se desarrolla dentro del circuito interno de la entidad, recibiendo a las mujeres derivadas por el área social, que actúa como primer punto de contacto. Tras la derivación, se realiza una evaluación psicológica individual en la que se valoran necesidades, límites y potencialidades, así como el estado emocional, los recursos personales, la presencia de trauma, el nivel de motivación y los factores de riesgo o protección.</w:t>
      </w:r>
    </w:p>
    <w:p>
      <w:pPr>
        <w:autoSpaceDE w:val="0"/>
        <w:autoSpaceDN w:val="0"/>
        <w:adjustRightInd w:val="0"/>
        <w:spacing w:after="0"/>
        <w:jc w:val="both"/>
        <w:rPr>
          <w:rFonts w:ascii="Arial" w:eastAsia="Times New Roman" w:hAnsi="Arial" w:cs="Arial"/>
          <w:iCs/>
          <w:sz w:val="24"/>
          <w:szCs w:val="24"/>
        </w:rPr>
      </w:pPr>
    </w:p>
    <w:p>
      <w:pPr>
        <w:autoSpaceDE w:val="0"/>
        <w:autoSpaceDN w:val="0"/>
        <w:adjustRightInd w:val="0"/>
        <w:spacing w:after="0"/>
        <w:jc w:val="both"/>
        <w:rPr>
          <w:rFonts w:ascii="Arial" w:eastAsia="Times New Roman" w:hAnsi="Arial" w:cs="Arial"/>
          <w:iCs/>
          <w:sz w:val="24"/>
          <w:szCs w:val="24"/>
        </w:rPr>
      </w:pPr>
      <w:r>
        <w:rPr>
          <w:rFonts w:ascii="Arial" w:eastAsia="Times New Roman" w:hAnsi="Arial" w:cs="Arial"/>
          <w:iCs/>
          <w:sz w:val="24"/>
          <w:szCs w:val="24"/>
        </w:rPr>
        <w:t>En algunos casos, las mujeres han vivido episodios traumáticos muy recientes. Cuando esto ocurre, la intervención inicial se centra en proporcionar primer auxilio psicológico, entendido como una atención breve y de emergencia orientada a ofrecer seguridad, contención emocional y estabilización inmediata.</w:t>
      </w:r>
    </w:p>
    <w:p>
      <w:pPr>
        <w:autoSpaceDE w:val="0"/>
        <w:autoSpaceDN w:val="0"/>
        <w:adjustRightInd w:val="0"/>
        <w:spacing w:after="0" w:line="360" w:lineRule="auto"/>
        <w:jc w:val="both"/>
        <w:rPr>
          <w:rFonts w:ascii="Arial" w:eastAsia="Times New Roman" w:hAnsi="Arial" w:cs="Arial"/>
          <w:b/>
          <w:iCs/>
          <w:sz w:val="24"/>
          <w:szCs w:val="24"/>
        </w:rPr>
      </w:pPr>
      <w:r>
        <w:rPr>
          <w:rFonts w:ascii="Arial" w:eastAsia="Times New Roman" w:hAnsi="Arial" w:cs="Arial"/>
          <w:b/>
          <w:iCs/>
          <w:sz w:val="24"/>
          <w:szCs w:val="24"/>
        </w:rPr>
        <w:lastRenderedPageBreak/>
        <w:t xml:space="preserve">La elección de los instrumentos y técnicas no es estándar: cada mujer es única y posee un recorrido vital propio, por lo que solo a partir de una buena valoración de sus necesidades, circunstancias y potencialidades es posible estructurar una intervención psicológica ad hoc, siempre distinta y adaptada a su proceso personal. </w:t>
      </w:r>
    </w:p>
    <w:p>
      <w:pPr>
        <w:autoSpaceDE w:val="0"/>
        <w:autoSpaceDN w:val="0"/>
        <w:adjustRightInd w:val="0"/>
        <w:spacing w:after="0" w:line="360" w:lineRule="auto"/>
        <w:jc w:val="both"/>
        <w:rPr>
          <w:rFonts w:ascii="Arial" w:eastAsia="Times New Roman" w:hAnsi="Arial" w:cs="Arial"/>
          <w:b/>
          <w:iCs/>
          <w:sz w:val="24"/>
          <w:szCs w:val="24"/>
        </w:rPr>
      </w:pPr>
    </w:p>
    <w:p>
      <w:pPr>
        <w:autoSpaceDE w:val="0"/>
        <w:autoSpaceDN w:val="0"/>
        <w:adjustRightInd w:val="0"/>
        <w:spacing w:after="0" w:line="360" w:lineRule="auto"/>
        <w:jc w:val="both"/>
        <w:rPr>
          <w:rFonts w:ascii="Arial" w:eastAsia="Times New Roman" w:hAnsi="Arial" w:cs="Arial"/>
          <w:iCs/>
          <w:sz w:val="24"/>
          <w:szCs w:val="24"/>
        </w:rPr>
      </w:pPr>
      <w:r>
        <w:rPr>
          <w:rFonts w:ascii="Arial" w:eastAsia="Times New Roman" w:hAnsi="Arial" w:cs="Arial"/>
          <w:iCs/>
          <w:sz w:val="24"/>
          <w:szCs w:val="24"/>
        </w:rPr>
        <w:t>Cuando se requiere una valoración más precisa, se incorporan tests e instrumentos psicodiagnósticos para obtener una comprensión más detallada del estado psicológico.</w:t>
      </w:r>
    </w:p>
    <w:p>
      <w:pPr>
        <w:autoSpaceDE w:val="0"/>
        <w:autoSpaceDN w:val="0"/>
        <w:adjustRightInd w:val="0"/>
        <w:spacing w:after="0" w:line="360" w:lineRule="auto"/>
        <w:jc w:val="both"/>
        <w:rPr>
          <w:rFonts w:ascii="Arial" w:eastAsia="Times New Roman" w:hAnsi="Arial" w:cs="Arial"/>
          <w:iCs/>
          <w:sz w:val="24"/>
          <w:szCs w:val="24"/>
        </w:rPr>
      </w:pPr>
      <w:r>
        <w:rPr>
          <w:rFonts w:ascii="Arial" w:eastAsia="Times New Roman" w:hAnsi="Arial" w:cs="Arial"/>
          <w:iCs/>
          <w:sz w:val="24"/>
          <w:szCs w:val="24"/>
        </w:rPr>
        <w:t>La metodología integra herramientas, cuestionarios y técnicas procedentes de diferentes enfoques psicoterapéuticos, siempre basadas en la evidencia científica y adaptadas a las características y al ritmo de cada proceso. De forma transversal se incorpora la perspectiva de género, el enfoque de derechos humanos y la protección de la infancia, elementos indispensables en el trabajo con mujeres que han vivido violencia, explotación o trata.</w:t>
      </w:r>
    </w:p>
    <w:p>
      <w:pPr>
        <w:autoSpaceDE w:val="0"/>
        <w:autoSpaceDN w:val="0"/>
        <w:adjustRightInd w:val="0"/>
        <w:spacing w:after="0" w:line="360" w:lineRule="auto"/>
        <w:jc w:val="both"/>
        <w:rPr>
          <w:rFonts w:ascii="Arial" w:eastAsia="Times New Roman" w:hAnsi="Arial" w:cs="Arial"/>
          <w:iCs/>
          <w:sz w:val="24"/>
          <w:szCs w:val="24"/>
        </w:rPr>
      </w:pPr>
    </w:p>
    <w:p>
      <w:pPr>
        <w:autoSpaceDE w:val="0"/>
        <w:autoSpaceDN w:val="0"/>
        <w:adjustRightInd w:val="0"/>
        <w:spacing w:after="0" w:line="360" w:lineRule="auto"/>
        <w:jc w:val="both"/>
        <w:rPr>
          <w:rFonts w:ascii="Arial" w:eastAsia="Times New Roman" w:hAnsi="Arial" w:cs="Arial"/>
          <w:b/>
          <w:iCs/>
          <w:sz w:val="24"/>
          <w:szCs w:val="24"/>
        </w:rPr>
      </w:pPr>
      <w:r>
        <w:rPr>
          <w:rFonts w:ascii="Arial" w:eastAsia="Times New Roman" w:hAnsi="Arial" w:cs="Arial"/>
          <w:b/>
          <w:iCs/>
          <w:sz w:val="24"/>
          <w:szCs w:val="24"/>
        </w:rPr>
        <w:t>Entre los instrumentos y técnicas utilizados se incluyen:</w:t>
      </w:r>
    </w:p>
    <w:p>
      <w:pPr>
        <w:autoSpaceDE w:val="0"/>
        <w:autoSpaceDN w:val="0"/>
        <w:adjustRightInd w:val="0"/>
        <w:spacing w:after="0" w:line="360" w:lineRule="auto"/>
        <w:jc w:val="both"/>
        <w:rPr>
          <w:rFonts w:ascii="Arial" w:eastAsia="Times New Roman" w:hAnsi="Arial" w:cs="Arial"/>
          <w:b/>
          <w:iCs/>
          <w:sz w:val="24"/>
          <w:szCs w:val="24"/>
        </w:rPr>
      </w:pP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Primer auxilio psicológico.</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Pruebas psicodiagnósticas.</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Escucha activa, validación emocional y acompañamiento respetuoso.</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Entrevistas semiestructuradas y guías de exploración del trauma.</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Psychoeducación sobre emociones, trauma, seguridad y regulación.</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Técnicas cognitivo-conductuales, como identificación de pensamientos, reestructuración cognitiva y estrategias de afrontamiento.</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Técnicas psicosomáticas y de regulación corporal, como respiración, relajación, ejercicios posturales y conexión cuerpo–emoción.</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Herramientas de psicología integrativa, como anclaje, estabilización emocional y trabajo con partes internas.</w:t>
      </w:r>
    </w:p>
    <w:p>
      <w:pPr>
        <w:numPr>
          <w:ilvl w:val="0"/>
          <w:numId w:val="63"/>
        </w:numPr>
        <w:autoSpaceDE w:val="0"/>
        <w:autoSpaceDN w:val="0"/>
        <w:adjustRightInd w:val="0"/>
        <w:spacing w:after="0" w:line="360" w:lineRule="auto"/>
        <w:contextualSpacing/>
        <w:jc w:val="both"/>
        <w:rPr>
          <w:rFonts w:ascii="Arial" w:eastAsia="Times New Roman" w:hAnsi="Arial" w:cs="Arial"/>
          <w:iCs/>
          <w:sz w:val="24"/>
          <w:szCs w:val="24"/>
        </w:rPr>
      </w:pPr>
      <w:r>
        <w:rPr>
          <w:rFonts w:ascii="Arial" w:eastAsia="Times New Roman" w:hAnsi="Arial" w:cs="Arial"/>
          <w:iCs/>
          <w:sz w:val="24"/>
          <w:szCs w:val="24"/>
        </w:rPr>
        <w:t>Registros emocionales, diarios terapéuticos y escalas de autoobservación.</w:t>
      </w:r>
    </w:p>
    <w:p>
      <w:pPr>
        <w:autoSpaceDE w:val="0"/>
        <w:autoSpaceDN w:val="0"/>
        <w:adjustRightInd w:val="0"/>
        <w:spacing w:after="0" w:line="360" w:lineRule="auto"/>
        <w:ind w:left="720"/>
        <w:contextualSpacing/>
        <w:jc w:val="both"/>
        <w:rPr>
          <w:rFonts w:ascii="Arial" w:eastAsia="Times New Roman" w:hAnsi="Arial" w:cs="Arial"/>
          <w:iCs/>
          <w:sz w:val="24"/>
          <w:szCs w:val="24"/>
        </w:rPr>
      </w:pPr>
    </w:p>
    <w:p>
      <w:pPr>
        <w:autoSpaceDE w:val="0"/>
        <w:autoSpaceDN w:val="0"/>
        <w:adjustRightInd w:val="0"/>
        <w:spacing w:after="0" w:line="360" w:lineRule="auto"/>
        <w:jc w:val="both"/>
        <w:rPr>
          <w:rFonts w:ascii="Arial" w:eastAsia="Times New Roman" w:hAnsi="Arial" w:cs="Arial"/>
          <w:iCs/>
          <w:sz w:val="24"/>
          <w:szCs w:val="24"/>
        </w:rPr>
      </w:pPr>
      <w:r>
        <w:rPr>
          <w:rFonts w:ascii="Arial" w:eastAsia="Times New Roman" w:hAnsi="Arial" w:cs="Arial"/>
          <w:iCs/>
          <w:sz w:val="24"/>
          <w:szCs w:val="24"/>
        </w:rPr>
        <w:lastRenderedPageBreak/>
        <w:t>Este enfoque global permite intervenir simultáneamente en los planos emocional, cognitivo, corporal y fisiológico, favoreciendo la regulación, el fortalecimiento personal y la recuperación del trauma.</w:t>
      </w:r>
    </w:p>
    <w:p>
      <w:pPr>
        <w:autoSpaceDE w:val="0"/>
        <w:autoSpaceDN w:val="0"/>
        <w:adjustRightInd w:val="0"/>
        <w:spacing w:after="0" w:line="360" w:lineRule="auto"/>
        <w:jc w:val="both"/>
        <w:rPr>
          <w:rFonts w:ascii="Arial" w:eastAsia="Times New Roman" w:hAnsi="Arial" w:cs="Arial"/>
          <w:iCs/>
          <w:sz w:val="24"/>
          <w:szCs w:val="24"/>
        </w:rPr>
      </w:pPr>
    </w:p>
    <w:p>
      <w:pPr>
        <w:autoSpaceDE w:val="0"/>
        <w:autoSpaceDN w:val="0"/>
        <w:adjustRightInd w:val="0"/>
        <w:spacing w:after="0" w:line="360" w:lineRule="auto"/>
        <w:jc w:val="both"/>
        <w:rPr>
          <w:rFonts w:ascii="Arial" w:eastAsiaTheme="minorEastAsia" w:hAnsi="Arial" w:cs="Arial"/>
          <w:sz w:val="24"/>
          <w:szCs w:val="24"/>
          <w:lang w:eastAsia="es-ES"/>
        </w:rPr>
      </w:pPr>
      <w:r>
        <w:rPr>
          <w:rFonts w:ascii="Arial" w:eastAsiaTheme="minorEastAsia" w:hAnsi="Arial" w:cs="Arial"/>
          <w:sz w:val="24"/>
          <w:szCs w:val="24"/>
          <w:lang w:eastAsia="es-ES"/>
        </w:rPr>
        <w:t xml:space="preserve">La estrategia terapéutica se define considerando el </w:t>
      </w:r>
      <w:r>
        <w:rPr>
          <w:rFonts w:ascii="Arial" w:eastAsiaTheme="minorEastAsia" w:hAnsi="Arial" w:cs="Arial"/>
          <w:bCs/>
          <w:sz w:val="24"/>
          <w:szCs w:val="24"/>
          <w:lang w:eastAsia="es-ES"/>
        </w:rPr>
        <w:t>tipo de intervención</w:t>
      </w:r>
      <w:r>
        <w:rPr>
          <w:rFonts w:ascii="Arial" w:eastAsiaTheme="minorEastAsia" w:hAnsi="Arial" w:cs="Arial"/>
          <w:sz w:val="24"/>
          <w:szCs w:val="24"/>
          <w:lang w:eastAsia="es-ES"/>
        </w:rPr>
        <w:t xml:space="preserve"> (asesoramiento, acompañamiento, terapia individual o talleres grupales), la </w:t>
      </w:r>
      <w:r>
        <w:rPr>
          <w:rFonts w:ascii="Arial" w:eastAsiaTheme="minorEastAsia" w:hAnsi="Arial" w:cs="Arial"/>
          <w:bCs/>
          <w:sz w:val="24"/>
          <w:szCs w:val="24"/>
          <w:lang w:eastAsia="es-ES"/>
        </w:rPr>
        <w:t>duración de la estancia</w:t>
      </w:r>
      <w:r>
        <w:rPr>
          <w:rFonts w:ascii="Arial" w:eastAsiaTheme="minorEastAsia" w:hAnsi="Arial" w:cs="Arial"/>
          <w:sz w:val="24"/>
          <w:szCs w:val="24"/>
          <w:lang w:eastAsia="es-ES"/>
        </w:rPr>
        <w:t xml:space="preserve">, el </w:t>
      </w:r>
      <w:r>
        <w:rPr>
          <w:rFonts w:ascii="Arial" w:eastAsiaTheme="minorEastAsia" w:hAnsi="Arial" w:cs="Arial"/>
          <w:bCs/>
          <w:sz w:val="24"/>
          <w:szCs w:val="24"/>
          <w:lang w:eastAsia="es-ES"/>
        </w:rPr>
        <w:t>nivel de motivación</w:t>
      </w:r>
      <w:r>
        <w:rPr>
          <w:rFonts w:ascii="Arial" w:eastAsiaTheme="minorEastAsia" w:hAnsi="Arial" w:cs="Arial"/>
          <w:sz w:val="24"/>
          <w:szCs w:val="24"/>
          <w:lang w:eastAsia="es-ES"/>
        </w:rPr>
        <w:t xml:space="preserve">, el </w:t>
      </w:r>
      <w:r>
        <w:rPr>
          <w:rFonts w:ascii="Arial" w:eastAsiaTheme="minorEastAsia" w:hAnsi="Arial" w:cs="Arial"/>
          <w:bCs/>
          <w:sz w:val="24"/>
          <w:szCs w:val="24"/>
          <w:lang w:eastAsia="es-ES"/>
        </w:rPr>
        <w:t>contexto sociofamiliar</w:t>
      </w:r>
      <w:r>
        <w:rPr>
          <w:rFonts w:ascii="Arial" w:eastAsiaTheme="minorEastAsia" w:hAnsi="Arial" w:cs="Arial"/>
          <w:sz w:val="24"/>
          <w:szCs w:val="24"/>
          <w:lang w:eastAsia="es-ES"/>
        </w:rPr>
        <w:t xml:space="preserve">, la </w:t>
      </w:r>
      <w:r>
        <w:rPr>
          <w:rFonts w:ascii="Arial" w:eastAsiaTheme="minorEastAsia" w:hAnsi="Arial" w:cs="Arial"/>
          <w:bCs/>
          <w:sz w:val="24"/>
          <w:szCs w:val="24"/>
          <w:lang w:eastAsia="es-ES"/>
        </w:rPr>
        <w:t>red de apoyo</w:t>
      </w:r>
      <w:r>
        <w:rPr>
          <w:rFonts w:ascii="Arial" w:eastAsiaTheme="minorEastAsia" w:hAnsi="Arial" w:cs="Arial"/>
          <w:sz w:val="24"/>
          <w:szCs w:val="24"/>
          <w:lang w:eastAsia="es-ES"/>
        </w:rPr>
        <w:t xml:space="preserve"> y la </w:t>
      </w:r>
      <w:r>
        <w:rPr>
          <w:rFonts w:ascii="Arial" w:eastAsiaTheme="minorEastAsia" w:hAnsi="Arial" w:cs="Arial"/>
          <w:bCs/>
          <w:sz w:val="24"/>
          <w:szCs w:val="24"/>
          <w:lang w:eastAsia="es-ES"/>
        </w:rPr>
        <w:t>situación administrativa o legal</w:t>
      </w:r>
      <w:r>
        <w:rPr>
          <w:rFonts w:ascii="Arial" w:eastAsiaTheme="minorEastAsia" w:hAnsi="Arial" w:cs="Arial"/>
          <w:sz w:val="24"/>
          <w:szCs w:val="24"/>
          <w:lang w:eastAsia="es-ES"/>
        </w:rPr>
        <w:t>.</w:t>
      </w:r>
    </w:p>
    <w:p>
      <w:pPr>
        <w:autoSpaceDE w:val="0"/>
        <w:autoSpaceDN w:val="0"/>
        <w:adjustRightInd w:val="0"/>
        <w:spacing w:after="0" w:line="360" w:lineRule="auto"/>
        <w:jc w:val="both"/>
        <w:rPr>
          <w:rFonts w:ascii="Arial" w:eastAsiaTheme="minorEastAsia" w:hAnsi="Arial" w:cs="Arial"/>
          <w:sz w:val="24"/>
          <w:szCs w:val="24"/>
          <w:lang w:eastAsia="es-ES"/>
        </w:rPr>
      </w:pPr>
    </w:p>
    <w:p>
      <w:pPr>
        <w:autoSpaceDE w:val="0"/>
        <w:autoSpaceDN w:val="0"/>
        <w:adjustRightInd w:val="0"/>
        <w:spacing w:after="0" w:line="360" w:lineRule="auto"/>
        <w:jc w:val="both"/>
        <w:rPr>
          <w:rFonts w:ascii="Arial" w:eastAsiaTheme="minorEastAsia" w:hAnsi="Arial" w:cs="Arial"/>
          <w:sz w:val="24"/>
          <w:szCs w:val="24"/>
          <w:lang w:eastAsia="es-ES"/>
        </w:rPr>
      </w:pPr>
      <w:r>
        <w:rPr>
          <w:rFonts w:ascii="Arial" w:eastAsiaTheme="minorEastAsia" w:hAnsi="Arial" w:cs="Arial"/>
          <w:sz w:val="24"/>
          <w:szCs w:val="24"/>
          <w:lang w:eastAsia="es-ES"/>
        </w:rPr>
        <w:t xml:space="preserve"> La selección de los contenidos de los talleres, cuando se realizan, se basa en las necesidades detectadas en las mujeres durante las evaluaciones psicológica y social, así como en el objetivo específico del taller dentro del proyecto anual. Durante el último año, los talleres se orientaron a favorecer una inserción laboral eficaz, por lo que se trabajaron de manera integrada competencias transversales esenciales para el acceso y mantenimiento del empleo, como la comunicación asertiva y las habilidades relacionales, la gestión de miedos e inseguridades relacionadas con la búsqueda de trabajo, etc.</w:t>
      </w:r>
    </w:p>
    <w:p>
      <w:pPr>
        <w:autoSpaceDE w:val="0"/>
        <w:autoSpaceDN w:val="0"/>
        <w:adjustRightInd w:val="0"/>
        <w:spacing w:after="0" w:line="360" w:lineRule="auto"/>
        <w:jc w:val="both"/>
        <w:rPr>
          <w:rFonts w:ascii="Arial" w:eastAsiaTheme="minorEastAsia" w:hAnsi="Arial" w:cs="Arial"/>
          <w:sz w:val="24"/>
          <w:szCs w:val="24"/>
          <w:lang w:eastAsia="es-ES"/>
        </w:rPr>
      </w:pPr>
    </w:p>
    <w:p>
      <w:pPr>
        <w:autoSpaceDE w:val="0"/>
        <w:autoSpaceDN w:val="0"/>
        <w:adjustRightInd w:val="0"/>
        <w:spacing w:after="0" w:line="360" w:lineRule="auto"/>
        <w:jc w:val="both"/>
        <w:rPr>
          <w:rFonts w:ascii="Arial" w:eastAsiaTheme="minorEastAsia" w:hAnsi="Arial" w:cs="Arial"/>
          <w:sz w:val="24"/>
          <w:szCs w:val="24"/>
          <w:lang w:eastAsia="es-ES"/>
        </w:rPr>
      </w:pPr>
      <w:r>
        <w:rPr>
          <w:rFonts w:ascii="Arial" w:eastAsiaTheme="minorEastAsia" w:hAnsi="Arial" w:cs="Arial"/>
          <w:sz w:val="24"/>
          <w:szCs w:val="24"/>
          <w:lang w:eastAsia="es-ES"/>
        </w:rPr>
        <w:t>Cada taller se adapta de manera dinámica a los ritmos, necesidades y evolución del grupo, creando un espacio seguro de aprendizaje, expresión y empoderamiento.</w:t>
      </w:r>
    </w:p>
    <w:p>
      <w:pPr>
        <w:autoSpaceDE w:val="0"/>
        <w:autoSpaceDN w:val="0"/>
        <w:adjustRightInd w:val="0"/>
        <w:spacing w:after="0" w:line="360" w:lineRule="auto"/>
        <w:jc w:val="both"/>
        <w:rPr>
          <w:rFonts w:ascii="Arial" w:eastAsia="Times New Roman" w:hAnsi="Arial" w:cs="Arial"/>
          <w:iCs/>
          <w:sz w:val="24"/>
          <w:szCs w:val="24"/>
        </w:rPr>
      </w:pPr>
      <w:r>
        <w:rPr>
          <w:rFonts w:ascii="Arial" w:eastAsia="Times New Roman" w:hAnsi="Arial" w:cs="Arial"/>
          <w:iCs/>
          <w:sz w:val="24"/>
          <w:szCs w:val="24"/>
        </w:rPr>
        <w:t>El trabajo se realiza en coordinación permanente con el área social y el equipo multidisciplinar, garantizando una intervención integral.</w:t>
      </w:r>
    </w:p>
    <w:p>
      <w:pPr>
        <w:autoSpaceDE w:val="0"/>
        <w:autoSpaceDN w:val="0"/>
        <w:adjustRightInd w:val="0"/>
        <w:spacing w:after="0"/>
        <w:jc w:val="both"/>
        <w:rPr>
          <w:rFonts w:ascii="Arial" w:eastAsia="Times New Roman" w:hAnsi="Arial" w:cs="Arial"/>
          <w:iCs/>
          <w:sz w:val="24"/>
          <w:szCs w:val="24"/>
        </w:rPr>
      </w:pPr>
    </w:p>
    <w:p>
      <w:pPr>
        <w:shd w:val="clear" w:color="auto" w:fill="B2A1C7" w:themeFill="accent4" w:themeFillTint="99"/>
        <w:autoSpaceDE w:val="0"/>
        <w:autoSpaceDN w:val="0"/>
        <w:adjustRightInd w:val="0"/>
        <w:jc w:val="both"/>
        <w:outlineLvl w:val="0"/>
        <w:rPr>
          <w:rFonts w:ascii="Arial" w:eastAsia="Times New Roman" w:hAnsi="Arial" w:cs="Arial"/>
          <w:b/>
          <w:bCs/>
          <w:sz w:val="24"/>
          <w:szCs w:val="24"/>
        </w:rPr>
      </w:pPr>
      <w:r>
        <w:rPr>
          <w:rFonts w:ascii="Arial" w:eastAsia="Times New Roman" w:hAnsi="Arial" w:cs="Arial"/>
          <w:b/>
          <w:bCs/>
          <w:sz w:val="24"/>
          <w:szCs w:val="24"/>
        </w:rPr>
        <w:t>F - DEMANDAS PRESENTADAS:</w:t>
      </w:r>
    </w:p>
    <w:p>
      <w:pPr>
        <w:autoSpaceDE w:val="0"/>
        <w:autoSpaceDN w:val="0"/>
        <w:adjustRightInd w:val="0"/>
        <w:spacing w:line="360" w:lineRule="auto"/>
        <w:ind w:left="360"/>
        <w:jc w:val="both"/>
        <w:rPr>
          <w:rFonts w:ascii="Arial" w:eastAsia="Times New Roman" w:hAnsi="Arial" w:cs="Arial"/>
          <w:sz w:val="24"/>
          <w:szCs w:val="24"/>
        </w:rPr>
      </w:pPr>
      <w:r>
        <w:rPr>
          <w:rFonts w:ascii="Arial" w:eastAsia="Times New Roman" w:hAnsi="Arial" w:cs="Arial"/>
          <w:sz w:val="24"/>
          <w:szCs w:val="24"/>
        </w:rPr>
        <w:t>Las mujeres que solicitan apoyo desde el área presentan una diversidad de necesidades, entre las cuales se destacan:</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Disponer de un espacio seguro para ser escuchadas y expresar emociones acumuladas.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lastRenderedPageBreak/>
        <w:t>Acceder a recursos que les permitan adquirir, modificar y consolidar hábitos de vida saludables, incluyendo higiene del sueño, alimentación equilibrada y cuidado personal.</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Recibir acompañamiento para la toma de decisiones sobre su proyecto de vida, especialmente cuando existe dificultad para asumirlo de manera autónoma; en los casos en que sí lo hacen, buscan la validación recurrente de sus decisiones.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Establecer objetivos claros, priorizarlos y gestionar el tiempo de manera efectiva para alcanzarlos.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Contar con soporte emocional en situaciones externas al contexto psicoterapéutico, como consultas médicas, revisiones, procesos judiciales, y coordinar acciones con otros profesionales y servicios.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Apoyo en procesos de deshabituación a sustancias adictivas vinculadas a contextos de violencia o dependencia a tratamientos farmacológicos.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Desarrollo de habilidades comunicativas, incluyendo establecimiento de límites asertivos, iniciación de conversaciones y realización de entrevistas.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Aprender técnicas de manejo de la ira y agresividad, resignificando la normalización de la violencia.</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Recuperar vínculos personales perdidos y establecer límites frente a relaciones dañinas, ya sean familiares o amistosas.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Intervención psicoterapéutica continua y estable, adaptada a las necesidades individuales.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Sesiones psicoterapéuticas en espacios abiertos y aproximación gradual a estímulos desencadenantes de situaciones problemáticas (por ejemplo: lugares de explotación, zonas de tránsito de prostitución, juzgados, comisarías).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Reformulación del aprendizaje sexual afectado por la exposición a violencia y explotación.</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lastRenderedPageBreak/>
        <w:t>Apoyo en situaciones de crisis, como ataques de pánico o intentos de suicidio.</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Adquisición de herramientas para establecer relaciones afectivas más igualitarias y saludables.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Estrategias para afrontar el estrés relacionado con el duelo migratorio, incluyendo dificultades de reagrupación familiar o miedo a la detención y expulsión por situación irregular.</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Mediación en conflictos interpersonales y desarrollo de estrategias de afrontamiento frente a emociones desagradables.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Redacción de informes y documentación necesaria para diversos trámites.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Apoyo en el desempeño del rol maternal, promoviendo competencias para cuidar, proteger, educar y socializar a sus hijas e hijos.</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Reincorporación a la intervención psicoterapéutica tras periodos de interrupción voluntaria o involuntaria.</w:t>
      </w:r>
    </w:p>
    <w:p>
      <w:pPr>
        <w:numPr>
          <w:ilvl w:val="0"/>
          <w:numId w:val="124"/>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Apoyo en problemas de convivencia y gestión de relaciones dentro de los entornos habitacionales y sociales de referencia.</w:t>
      </w:r>
    </w:p>
    <w:p>
      <w:pPr>
        <w:autoSpaceDE w:val="0"/>
        <w:autoSpaceDN w:val="0"/>
        <w:adjustRightInd w:val="0"/>
        <w:spacing w:line="360" w:lineRule="auto"/>
        <w:ind w:left="360"/>
        <w:jc w:val="both"/>
        <w:rPr>
          <w:rFonts w:ascii="Arial" w:eastAsia="Times New Roman" w:hAnsi="Arial" w:cs="Arial"/>
          <w:sz w:val="24"/>
          <w:szCs w:val="24"/>
        </w:rPr>
      </w:pPr>
    </w:p>
    <w:p>
      <w:pPr>
        <w:shd w:val="clear" w:color="auto" w:fill="CCC0D9" w:themeFill="accent4" w:themeFillTint="66"/>
        <w:autoSpaceDE w:val="0"/>
        <w:autoSpaceDN w:val="0"/>
        <w:adjustRightInd w:val="0"/>
        <w:spacing w:line="360" w:lineRule="auto"/>
        <w:jc w:val="both"/>
        <w:outlineLvl w:val="0"/>
        <w:rPr>
          <w:rFonts w:ascii="Arial" w:eastAsia="Times New Roman" w:hAnsi="Arial" w:cs="Arial"/>
          <w:b/>
          <w:bCs/>
          <w:sz w:val="24"/>
          <w:szCs w:val="24"/>
        </w:rPr>
      </w:pPr>
      <w:r>
        <w:rPr>
          <w:rFonts w:ascii="Arial" w:eastAsia="Times New Roman" w:hAnsi="Arial" w:cs="Arial"/>
          <w:b/>
          <w:bCs/>
          <w:sz w:val="24"/>
          <w:szCs w:val="24"/>
          <w:shd w:val="clear" w:color="auto" w:fill="CCC0D9" w:themeFill="accent4" w:themeFillTint="66"/>
        </w:rPr>
        <w:t>G - CARACTERÍSTICAS PSICOLÓGICAS DE LAS MUJERES ATENDIDAS</w:t>
      </w:r>
    </w:p>
    <w:p>
      <w:p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sz w:val="24"/>
          <w:szCs w:val="24"/>
        </w:rPr>
        <w:t>Durante el año 2025, las mujeres atendidas han mostrado un amplio espectro de características psicológicas, que reflejan tanto las experiencias traumáticas vividas como los recursos de resiliencia presentes. Entre los aspectos más relevantes se encuentran:</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t>Madurez y procesos cognitivos:</w:t>
      </w:r>
      <w:r>
        <w:rPr>
          <w:rFonts w:ascii="Arial" w:eastAsia="Times New Roman" w:hAnsi="Arial" w:cs="Arial"/>
          <w:sz w:val="24"/>
          <w:szCs w:val="24"/>
        </w:rPr>
        <w:t xml:space="preserve"> algunas presentan corta edad o escasa madurez cognitiva, con dificultades en la priorización de objetivos y en la asunción de responsabilidades. Se observa poca flexibilidad cognitiva, pensamiento rumiativo y locus de control externo, que dificultan la visualización de posibilidades de cambio.</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lastRenderedPageBreak/>
        <w:t>Regulación emocional y afectos:</w:t>
      </w:r>
      <w:r>
        <w:rPr>
          <w:rFonts w:ascii="Arial" w:eastAsia="Times New Roman" w:hAnsi="Arial" w:cs="Arial"/>
          <w:sz w:val="24"/>
          <w:szCs w:val="24"/>
        </w:rPr>
        <w:t xml:space="preserve"> alta variabilidad emocional, con episodios de aislamiento social, hipervigilancia y control excesivo de la información, alternando con vinculación impulsiva o dependiente hacia iguales y/o figuras profesionales. Baja tolerancia a la frustración, vulnerabilidad e inestabilidad emocional, sintomatología disociativa y, en algunos casos, ideación autolítica. Frecuente falta de confianza en sí mismas y en los demás.</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t>Comportamientos y relaciones interpersonales:</w:t>
      </w:r>
      <w:r>
        <w:rPr>
          <w:rFonts w:ascii="Arial" w:eastAsia="Times New Roman" w:hAnsi="Arial" w:cs="Arial"/>
          <w:sz w:val="24"/>
          <w:szCs w:val="24"/>
        </w:rPr>
        <w:t xml:space="preserve"> perfiles con hipersexualización o conductas sumisas y dependientes en relaciones afectivo-sexuales. Dificultades para mantener vínculos fuera del contexto de prostitución y/o explotación, así como para integrarse en los entornos habitacionales y sociales de referencia. Resolución de conflictos de manera agresiva o pasivo-agresiva. Dificultades relacionales y desconfianza hacia el entorno.</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t>Salud mental y somática:</w:t>
      </w:r>
      <w:r>
        <w:rPr>
          <w:rFonts w:ascii="Arial" w:eastAsia="Times New Roman" w:hAnsi="Arial" w:cs="Arial"/>
          <w:sz w:val="24"/>
          <w:szCs w:val="24"/>
        </w:rPr>
        <w:t xml:space="preserve"> presencia de trastornos mentales, incluyendo estrés postraumático, ansiedad generalizada y alteraciones del estado de ánimo. Hiperactivación fisiológica, tensiones musculares y somatizaciones asociadas a experiencias traumáticas prolongadas. Dificultades para mantener rutinas saludables y funciones ejecutivas comprometidas (memoria, atención, focalización). Algunas mujeres presentan consumo de sustancias o se encuentran en fase de desintoxicación, lo que añade complejidad a la intervención.</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t>Rol materno y motivación:</w:t>
      </w:r>
      <w:r>
        <w:rPr>
          <w:rFonts w:ascii="Arial" w:eastAsia="Times New Roman" w:hAnsi="Arial" w:cs="Arial"/>
          <w:sz w:val="24"/>
          <w:szCs w:val="24"/>
        </w:rPr>
        <w:t xml:space="preserve"> diversidad en el rol materno; en algunos casos, es un factor motivador para desarrollar proyectos de vida, mientras que en otros genera estrés y dificultades en el cuidado.</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t>Recursos y afrontamiento:</w:t>
      </w:r>
      <w:r>
        <w:rPr>
          <w:rFonts w:ascii="Arial" w:eastAsia="Times New Roman" w:hAnsi="Arial" w:cs="Arial"/>
          <w:sz w:val="24"/>
          <w:szCs w:val="24"/>
        </w:rPr>
        <w:t xml:space="preserve"> recursos de afrontamiento poco adaptativos, indefensión aprendida y escasa o nula red de apoyo, aunque se identifican capacidades de resiliencia y estrategias de adaptación que pueden ser fortalecidas mediante intervención.</w:t>
      </w:r>
    </w:p>
    <w:p>
      <w:pPr>
        <w:numPr>
          <w:ilvl w:val="0"/>
          <w:numId w:val="123"/>
        </w:numPr>
        <w:autoSpaceDE w:val="0"/>
        <w:autoSpaceDN w:val="0"/>
        <w:adjustRightInd w:val="0"/>
        <w:spacing w:line="360" w:lineRule="auto"/>
        <w:jc w:val="both"/>
        <w:rPr>
          <w:rFonts w:ascii="Arial" w:eastAsia="Times New Roman" w:hAnsi="Arial" w:cs="Arial"/>
          <w:sz w:val="24"/>
          <w:szCs w:val="24"/>
        </w:rPr>
      </w:pPr>
      <w:r>
        <w:rPr>
          <w:rFonts w:ascii="Arial" w:eastAsia="Times New Roman" w:hAnsi="Arial" w:cs="Arial"/>
          <w:b/>
          <w:bCs/>
          <w:sz w:val="24"/>
          <w:szCs w:val="24"/>
        </w:rPr>
        <w:lastRenderedPageBreak/>
        <w:t>Impacto del contexto social y legal:</w:t>
      </w:r>
      <w:r>
        <w:rPr>
          <w:rFonts w:ascii="Arial" w:eastAsia="Times New Roman" w:hAnsi="Arial" w:cs="Arial"/>
          <w:sz w:val="24"/>
          <w:szCs w:val="24"/>
        </w:rPr>
        <w:t xml:space="preserve"> la temporalidad de trámites administrativos, judiciales, médicos y policiales genera victimización secundaria y afecta la estabilidad emocional y el proceso de recuperación.</w:t>
      </w:r>
    </w:p>
    <w:p>
      <w:pPr>
        <w:shd w:val="clear" w:color="auto" w:fill="CCC0D9" w:themeFill="accent4" w:themeFillTint="66"/>
        <w:autoSpaceDE w:val="0"/>
        <w:autoSpaceDN w:val="0"/>
        <w:adjustRightInd w:val="0"/>
        <w:jc w:val="both"/>
        <w:outlineLvl w:val="0"/>
        <w:rPr>
          <w:rFonts w:ascii="Arial" w:eastAsia="Times New Roman" w:hAnsi="Arial" w:cs="Arial"/>
          <w:sz w:val="24"/>
          <w:szCs w:val="24"/>
        </w:rPr>
      </w:pPr>
      <w:r>
        <w:rPr>
          <w:rFonts w:ascii="Arial" w:eastAsia="Times New Roman" w:hAnsi="Arial" w:cs="Arial"/>
          <w:b/>
          <w:bCs/>
          <w:sz w:val="24"/>
          <w:szCs w:val="24"/>
        </w:rPr>
        <w:t>H - ACTIVIDADES REALIZADAS:</w:t>
      </w:r>
    </w:p>
    <w:p>
      <w:pPr>
        <w:autoSpaceDE w:val="0"/>
        <w:autoSpaceDN w:val="0"/>
        <w:adjustRightInd w:val="0"/>
        <w:spacing w:line="360" w:lineRule="auto"/>
        <w:jc w:val="both"/>
        <w:rPr>
          <w:rFonts w:ascii="Arial" w:eastAsia="Times New Roman" w:hAnsi="Arial" w:cs="Arial"/>
          <w:sz w:val="24"/>
          <w:szCs w:val="24"/>
        </w:rPr>
      </w:pPr>
      <w:r>
        <w:rPr>
          <w:rFonts w:ascii="Arial" w:eastAsiaTheme="minorEastAsia" w:hAnsi="Arial" w:cs="Arial"/>
          <w:sz w:val="24"/>
          <w:szCs w:val="24"/>
          <w:lang w:eastAsia="es-ES"/>
        </w:rPr>
        <w:t xml:space="preserve">Es importante señalar </w:t>
      </w:r>
      <w:r>
        <w:rPr>
          <w:rFonts w:ascii="Arial" w:eastAsia="Times New Roman" w:hAnsi="Arial" w:cs="Arial"/>
          <w:bCs/>
          <w:sz w:val="24"/>
          <w:szCs w:val="24"/>
        </w:rPr>
        <w:t>que</w:t>
      </w:r>
      <w:r>
        <w:rPr>
          <w:rFonts w:ascii="Arial" w:eastAsia="Times New Roman" w:hAnsi="Arial" w:cs="Arial"/>
          <w:sz w:val="24"/>
          <w:szCs w:val="24"/>
        </w:rPr>
        <w:t xml:space="preserve"> el servicio de psicología sufrió una suspensión temporal de aproximadamente dos meses debido a la falta del profesional encargado, </w:t>
      </w:r>
      <w:r>
        <w:rPr>
          <w:rFonts w:ascii="Arial" w:eastAsia="Times New Roman" w:hAnsi="Arial" w:cs="Arial"/>
          <w:bCs/>
          <w:sz w:val="24"/>
          <w:szCs w:val="24"/>
        </w:rPr>
        <w:t>a pesar de ello,</w:t>
      </w:r>
      <w:r>
        <w:rPr>
          <w:rFonts w:ascii="Arial" w:eastAsia="Times New Roman" w:hAnsi="Arial" w:cs="Arial"/>
          <w:sz w:val="24"/>
          <w:szCs w:val="24"/>
        </w:rPr>
        <w:t xml:space="preserve"> en el año 2025 desde el Área Psicológica se realizan las diferentes actuaciones: </w:t>
      </w:r>
    </w:p>
    <w:p>
      <w:pPr>
        <w:numPr>
          <w:ilvl w:val="0"/>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u w:val="single"/>
        </w:rPr>
        <w:t>Atención a la mujer</w:t>
      </w:r>
      <w:r>
        <w:rPr>
          <w:rFonts w:ascii="Arial" w:eastAsia="Times New Roman" w:hAnsi="Arial" w:cs="Arial"/>
          <w:sz w:val="24"/>
          <w:szCs w:val="24"/>
        </w:rPr>
        <w:t>: se da respuesta a cualquier demanda que realice la mujer, independientemente de que inicie o no un proceso psicoterapéutico, manteniendo así la escucha activa, disponibilidad y referencia, así como muestra la ideología Oblatas, respetando el ritmo marcado por la protagonista, la mujer.</w:t>
      </w:r>
    </w:p>
    <w:p>
      <w:pPr>
        <w:autoSpaceDE w:val="0"/>
        <w:autoSpaceDN w:val="0"/>
        <w:adjustRightInd w:val="0"/>
        <w:spacing w:line="360" w:lineRule="auto"/>
        <w:ind w:left="1080"/>
        <w:contextualSpacing/>
        <w:jc w:val="both"/>
        <w:rPr>
          <w:rFonts w:ascii="Arial" w:eastAsia="Times New Roman" w:hAnsi="Arial" w:cs="Arial"/>
          <w:sz w:val="24"/>
          <w:szCs w:val="24"/>
        </w:rPr>
      </w:pP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Asesoramiento psicológico: se da respuesta a cuestiones planteadas por 25 mujeres a modo orientativo. </w:t>
      </w: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Acompañamiento psicológico: se brinda apoyo emocional a 45 mujeres en su vida diaria, proporcionando un espacio seguro donde poder expresar y reflexionar sobre las dificultades presentadas.</w:t>
      </w: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Psicoterapia individual: se propone de forma sistemática la posibilidad de inicio de un proceso psicoterapéutico a las mujeres atendidas en el recurso, el cual comienza a demanda.</w:t>
      </w: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Seguimiento psicológico mediante contacto telefónico, preferentemente por WhatsApp para resultar menos intrusivo, al menos dos veces al mes o según las necesidades individuales, pudiendo realizarse incluso semanalmente. Está dirigido a mujeres que han interrumpido el seguimiento o que momentáneamente no pueden acudir a consulta, con el objetivo de mantener un vínculo y verificar su estado de salud.</w:t>
      </w: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Intervención sobre la crisis en curso: se realizan 3 intervenciones psicológicas mientras la usuaria se encuentra en crisis, a través de </w:t>
      </w:r>
      <w:r>
        <w:rPr>
          <w:rFonts w:ascii="Arial" w:eastAsia="Times New Roman" w:hAnsi="Arial" w:cs="Arial"/>
          <w:sz w:val="24"/>
          <w:szCs w:val="24"/>
        </w:rPr>
        <w:lastRenderedPageBreak/>
        <w:t xml:space="preserve">llamada telefónica o videollamada, con el objetivo de contener emocionalmente, brindar apoyo inmediato y acompañar en la gestión de la situación. </w:t>
      </w: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Elaboración de un informe técnico para presentar ante el juzgado.</w:t>
      </w:r>
    </w:p>
    <w:p>
      <w:pPr>
        <w:numPr>
          <w:ilvl w:val="1"/>
          <w:numId w:val="32"/>
        </w:numPr>
        <w:autoSpaceDE w:val="0"/>
        <w:autoSpaceDN w:val="0"/>
        <w:adjustRightInd w:val="0"/>
        <w:spacing w:line="360" w:lineRule="auto"/>
        <w:contextualSpacing/>
        <w:jc w:val="both"/>
        <w:rPr>
          <w:rFonts w:ascii="Arial" w:eastAsia="Times New Roman" w:hAnsi="Arial" w:cs="Arial"/>
          <w:sz w:val="24"/>
          <w:szCs w:val="24"/>
        </w:rPr>
      </w:pPr>
      <w:r>
        <w:rPr>
          <w:rFonts w:ascii="Arial" w:eastAsia="Times New Roman" w:hAnsi="Arial" w:cs="Arial"/>
          <w:sz w:val="24"/>
          <w:szCs w:val="24"/>
        </w:rPr>
        <w:t>Administración de tests psicológicos de personalidad para una evaluación más precisa o para acompañar el informe de la mujer en caso de procedimiento judicial.</w:t>
      </w:r>
    </w:p>
    <w:p>
      <w:pPr>
        <w:autoSpaceDE w:val="0"/>
        <w:autoSpaceDN w:val="0"/>
        <w:adjustRightInd w:val="0"/>
        <w:ind w:left="1800"/>
        <w:contextualSpacing/>
        <w:jc w:val="both"/>
        <w:rPr>
          <w:rFonts w:ascii="Arial" w:eastAsia="Times New Roman" w:hAnsi="Arial" w:cs="Arial"/>
          <w:sz w:val="24"/>
          <w:szCs w:val="24"/>
        </w:rPr>
      </w:pPr>
    </w:p>
    <w:p>
      <w:pPr>
        <w:autoSpaceDE w:val="0"/>
        <w:autoSpaceDN w:val="0"/>
        <w:adjustRightInd w:val="0"/>
        <w:ind w:left="1080"/>
        <w:contextualSpacing/>
        <w:jc w:val="both"/>
        <w:rPr>
          <w:rFonts w:ascii="Arial" w:eastAsia="Times New Roman" w:hAnsi="Arial" w:cs="Arial"/>
          <w:sz w:val="24"/>
          <w:szCs w:val="24"/>
        </w:rPr>
      </w:pPr>
      <w:r>
        <w:rPr>
          <w:rFonts w:ascii="Arial" w:eastAsia="Times New Roman" w:hAnsi="Arial" w:cs="Arial"/>
          <w:sz w:val="24"/>
          <w:szCs w:val="24"/>
        </w:rPr>
        <w:t xml:space="preserve">En el año 2025 se atiende a </w:t>
      </w:r>
      <w:r>
        <w:rPr>
          <w:rFonts w:ascii="Arial" w:eastAsia="Times New Roman" w:hAnsi="Arial" w:cs="Arial"/>
          <w:b/>
          <w:sz w:val="24"/>
          <w:szCs w:val="24"/>
          <w:u w:val="single"/>
        </w:rPr>
        <w:t>45 mujeres</w:t>
      </w:r>
      <w:r>
        <w:rPr>
          <w:rFonts w:ascii="Arial" w:eastAsia="Times New Roman" w:hAnsi="Arial" w:cs="Arial"/>
          <w:sz w:val="24"/>
          <w:szCs w:val="24"/>
          <w:u w:val="single"/>
        </w:rPr>
        <w:t>, de las cuales 25 de ellas son nuevas incorporaciones</w:t>
      </w:r>
      <w:r>
        <w:rPr>
          <w:rFonts w:ascii="Arial" w:eastAsia="Times New Roman" w:hAnsi="Arial" w:cs="Arial"/>
          <w:sz w:val="24"/>
          <w:szCs w:val="24"/>
        </w:rPr>
        <w:t xml:space="preserve"> al Servicio. De las acciones realizadas se concreta: </w:t>
      </w:r>
    </w:p>
    <w:p>
      <w:pPr>
        <w:autoSpaceDE w:val="0"/>
        <w:autoSpaceDN w:val="0"/>
        <w:adjustRightInd w:val="0"/>
        <w:ind w:left="1080"/>
        <w:contextualSpacing/>
        <w:jc w:val="both"/>
        <w:rPr>
          <w:rFonts w:ascii="Arial" w:eastAsia="Times New Roman" w:hAnsi="Arial" w:cs="Arial"/>
          <w:sz w:val="24"/>
          <w:szCs w:val="24"/>
        </w:rPr>
      </w:pP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Psicoterapias presenciales: 145.</w:t>
      </w: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Psicoterapias no presenciales: 43.</w:t>
      </w: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Intervenciones en crisis: 3.</w:t>
      </w:r>
    </w:p>
    <w:p>
      <w:pPr>
        <w:numPr>
          <w:ilvl w:val="0"/>
          <w:numId w:val="32"/>
        </w:numPr>
        <w:autoSpaceDE w:val="0"/>
        <w:autoSpaceDN w:val="0"/>
        <w:adjustRightInd w:val="0"/>
        <w:contextualSpacing/>
        <w:rPr>
          <w:rFonts w:ascii="Arial" w:eastAsia="Times New Roman" w:hAnsi="Arial" w:cs="Arial"/>
          <w:sz w:val="24"/>
          <w:szCs w:val="24"/>
        </w:rPr>
      </w:pPr>
      <w:r>
        <w:rPr>
          <w:rFonts w:ascii="Arial" w:eastAsia="Times New Roman" w:hAnsi="Arial" w:cs="Arial"/>
          <w:sz w:val="24"/>
          <w:szCs w:val="24"/>
        </w:rPr>
        <w:t>Tests psicodiagnósticos: 6.</w:t>
      </w:r>
    </w:p>
    <w:p>
      <w:pPr>
        <w:numPr>
          <w:ilvl w:val="0"/>
          <w:numId w:val="32"/>
        </w:numPr>
        <w:autoSpaceDE w:val="0"/>
        <w:autoSpaceDN w:val="0"/>
        <w:adjustRightInd w:val="0"/>
        <w:contextualSpacing/>
        <w:rPr>
          <w:rFonts w:ascii="Arial" w:eastAsia="Times New Roman" w:hAnsi="Arial" w:cs="Arial"/>
          <w:sz w:val="24"/>
          <w:szCs w:val="24"/>
        </w:rPr>
      </w:pPr>
      <w:r>
        <w:rPr>
          <w:rFonts w:ascii="Arial" w:eastAsia="Times New Roman" w:hAnsi="Arial" w:cs="Arial"/>
          <w:sz w:val="24"/>
          <w:szCs w:val="24"/>
        </w:rPr>
        <w:t>Talleres grupales: Talleres grupales con el objetivo de fortalecer las competencias transversales relacionadas con el bienestar psicológico, la integración social y la inserción laboral. Estos espacios resultan fundamentales para brindar herramientas prácticas y estrategias de afrontamiento, favorecer la socialización y el trabajo en equipo, así como promover la autonomía y la preparación para la inclusión en el entorno social y laboral, aspectos clave para el desarrollo integral de las personas participantes.</w:t>
      </w:r>
    </w:p>
    <w:p>
      <w:pPr>
        <w:numPr>
          <w:ilvl w:val="0"/>
          <w:numId w:val="32"/>
        </w:numPr>
        <w:autoSpaceDE w:val="0"/>
        <w:autoSpaceDN w:val="0"/>
        <w:adjustRightInd w:val="0"/>
        <w:contextualSpacing/>
        <w:rPr>
          <w:rFonts w:ascii="Arial" w:eastAsia="Times New Roman" w:hAnsi="Arial" w:cs="Arial"/>
          <w:sz w:val="24"/>
          <w:szCs w:val="24"/>
        </w:rPr>
      </w:pPr>
    </w:p>
    <w:p>
      <w:pPr>
        <w:autoSpaceDE w:val="0"/>
        <w:autoSpaceDN w:val="0"/>
        <w:adjustRightInd w:val="0"/>
        <w:ind w:left="1080"/>
        <w:contextualSpacing/>
        <w:jc w:val="both"/>
        <w:rPr>
          <w:rFonts w:ascii="Arial" w:eastAsia="Times New Roman" w:hAnsi="Arial" w:cs="Arial"/>
          <w:sz w:val="24"/>
          <w:szCs w:val="24"/>
        </w:rPr>
      </w:pPr>
      <w:r>
        <w:rPr>
          <w:rFonts w:ascii="Arial" w:eastAsia="Times New Roman" w:hAnsi="Arial" w:cs="Arial"/>
          <w:sz w:val="24"/>
          <w:szCs w:val="24"/>
        </w:rPr>
        <w:t xml:space="preserve">La metodología utilizada se basó en una </w:t>
      </w:r>
      <w:r>
        <w:rPr>
          <w:rFonts w:ascii="Arial" w:eastAsia="Times New Roman" w:hAnsi="Arial" w:cs="Arial"/>
          <w:bCs/>
          <w:sz w:val="24"/>
          <w:szCs w:val="24"/>
        </w:rPr>
        <w:t>formación informal y experiencial</w:t>
      </w:r>
      <w:r>
        <w:rPr>
          <w:rFonts w:ascii="Arial" w:eastAsia="Times New Roman" w:hAnsi="Arial" w:cs="Arial"/>
          <w:sz w:val="24"/>
          <w:szCs w:val="24"/>
        </w:rPr>
        <w:t xml:space="preserve">, a través de dinámicas grupales que facilitaron la participación activa y la reflexión sobre el significado de las experiencias vividas. Al final de cada taller se integraron las actividades prácticas con las bases teóricas, dando sentido y coherencia a lo trabajado. </w:t>
      </w:r>
    </w:p>
    <w:p>
      <w:pPr>
        <w:autoSpaceDE w:val="0"/>
        <w:autoSpaceDN w:val="0"/>
        <w:adjustRightInd w:val="0"/>
        <w:ind w:left="1080"/>
        <w:contextualSpacing/>
        <w:jc w:val="both"/>
        <w:rPr>
          <w:rFonts w:ascii="Arial" w:eastAsia="Times New Roman" w:hAnsi="Arial" w:cs="Arial"/>
          <w:sz w:val="24"/>
          <w:szCs w:val="24"/>
        </w:rPr>
      </w:pPr>
    </w:p>
    <w:p>
      <w:pPr>
        <w:autoSpaceDE w:val="0"/>
        <w:autoSpaceDN w:val="0"/>
        <w:adjustRightInd w:val="0"/>
        <w:ind w:left="1080"/>
        <w:contextualSpacing/>
        <w:jc w:val="both"/>
        <w:rPr>
          <w:rFonts w:ascii="Arial" w:eastAsia="Times New Roman" w:hAnsi="Arial" w:cs="Arial"/>
          <w:sz w:val="24"/>
          <w:szCs w:val="24"/>
        </w:rPr>
      </w:pPr>
      <w:r>
        <w:rPr>
          <w:rFonts w:ascii="Arial" w:eastAsia="Times New Roman" w:hAnsi="Arial" w:cs="Arial"/>
          <w:sz w:val="24"/>
          <w:szCs w:val="24"/>
        </w:rPr>
        <w:t>Este año, se realiza los siguientes talleres grupales (7):</w:t>
      </w:r>
    </w:p>
    <w:p>
      <w:pPr>
        <w:autoSpaceDE w:val="0"/>
        <w:autoSpaceDN w:val="0"/>
        <w:adjustRightInd w:val="0"/>
        <w:ind w:left="1080"/>
        <w:contextualSpacing/>
        <w:jc w:val="both"/>
        <w:rPr>
          <w:rFonts w:ascii="Arial" w:eastAsia="Times New Roman" w:hAnsi="Arial" w:cs="Arial"/>
          <w:sz w:val="24"/>
          <w:szCs w:val="24"/>
        </w:rPr>
      </w:pPr>
    </w:p>
    <w:p>
      <w:pPr>
        <w:numPr>
          <w:ilvl w:val="0"/>
          <w:numId w:val="66"/>
        </w:numPr>
        <w:autoSpaceDE w:val="0"/>
        <w:autoSpaceDN w:val="0"/>
        <w:adjustRightInd w:val="0"/>
        <w:contextualSpacing/>
        <w:jc w:val="both"/>
        <w:rPr>
          <w:rFonts w:ascii="Arial" w:eastAsiaTheme="minorEastAsia" w:hAnsi="Arial" w:cs="Arial"/>
          <w:b/>
          <w:bCs/>
          <w:sz w:val="24"/>
          <w:szCs w:val="24"/>
          <w:lang w:val="es-ES_tradnl" w:eastAsia="es-ES"/>
        </w:rPr>
      </w:pPr>
      <w:r>
        <w:rPr>
          <w:rFonts w:ascii="Arial" w:eastAsiaTheme="minorEastAsia" w:hAnsi="Arial" w:cs="Arial"/>
          <w:iCs/>
          <w:sz w:val="24"/>
          <w:szCs w:val="24"/>
          <w:lang w:val="es-ES_tradnl" w:eastAsia="es-ES"/>
        </w:rPr>
        <w:t>02/06/2025</w:t>
      </w:r>
      <w:r>
        <w:rPr>
          <w:rFonts w:ascii="Arial" w:eastAsia="Times New Roman" w:hAnsi="Arial" w:cs="Arial"/>
          <w:sz w:val="24"/>
          <w:szCs w:val="24"/>
        </w:rPr>
        <w:t>: “</w:t>
      </w:r>
      <w:r>
        <w:rPr>
          <w:rFonts w:ascii="Arial" w:eastAsiaTheme="minorEastAsia" w:hAnsi="Arial" w:cs="Arial"/>
          <w:iCs/>
          <w:sz w:val="24"/>
          <w:szCs w:val="24"/>
          <w:lang w:val="es-ES_tradnl" w:eastAsia="es-ES"/>
        </w:rPr>
        <w:t>Mis Objetivos y mis habilidades“</w:t>
      </w:r>
      <w:r>
        <w:rPr>
          <w:rFonts w:ascii="Arial" w:eastAsiaTheme="minorEastAsia" w:hAnsi="Arial" w:cs="Arial"/>
          <w:bCs/>
          <w:sz w:val="24"/>
          <w:szCs w:val="24"/>
          <w:lang w:val="es-ES_tradnl" w:eastAsia="es-ES"/>
        </w:rPr>
        <w:t>con la</w:t>
      </w:r>
      <w:r>
        <w:rPr>
          <w:rFonts w:ascii="Arial" w:eastAsiaTheme="minorEastAsia" w:hAnsi="Arial" w:cs="Arial"/>
          <w:b/>
          <w:bCs/>
          <w:sz w:val="24"/>
          <w:szCs w:val="24"/>
          <w:lang w:val="es-ES_tradnl" w:eastAsia="es-ES"/>
        </w:rPr>
        <w:t xml:space="preserve"> </w:t>
      </w:r>
      <w:r>
        <w:rPr>
          <w:rFonts w:ascii="Arial" w:eastAsia="Times New Roman" w:hAnsi="Arial" w:cs="Arial"/>
          <w:bCs/>
          <w:sz w:val="24"/>
          <w:szCs w:val="24"/>
          <w:lang w:val="es-ES_tradnl"/>
        </w:rPr>
        <w:t>finalidad dar la bienvenida a las participantes e iniciar un proceso de exploración personal. A través de dinámicas guiadas por la psicóloga, se fomentó el primer contacto interpersonal y la reflexión individual y grupal sobre aspectos de identidad, motivación y proyecto de vida.</w:t>
      </w:r>
    </w:p>
    <w:p>
      <w:pPr>
        <w:numPr>
          <w:ilvl w:val="0"/>
          <w:numId w:val="66"/>
        </w:numPr>
        <w:spacing w:after="0" w:line="240" w:lineRule="auto"/>
        <w:jc w:val="both"/>
        <w:rPr>
          <w:rFonts w:ascii="Arial" w:eastAsia="Times New Roman" w:hAnsi="Arial" w:cs="Arial"/>
          <w:b/>
          <w:bCs/>
          <w:sz w:val="24"/>
          <w:szCs w:val="24"/>
          <w:lang w:val="es-ES_tradnl" w:eastAsia="es-ES"/>
        </w:rPr>
      </w:pPr>
      <w:r>
        <w:rPr>
          <w:rFonts w:ascii="Arial" w:eastAsia="Times New Roman" w:hAnsi="Arial" w:cs="Arial"/>
          <w:iCs/>
          <w:sz w:val="24"/>
          <w:szCs w:val="24"/>
          <w:lang w:val="es-ES_tradnl" w:eastAsia="es-ES"/>
        </w:rPr>
        <w:lastRenderedPageBreak/>
        <w:t xml:space="preserve">16/06/2025: “Mis objetivos y las habilidades transversales” </w:t>
      </w:r>
      <w:r>
        <w:rPr>
          <w:rFonts w:ascii="Arial" w:eastAsia="Times New Roman" w:hAnsi="Arial" w:cs="Arial"/>
          <w:bCs/>
          <w:sz w:val="24"/>
          <w:szCs w:val="24"/>
          <w:lang w:val="es-ES_tradnl" w:eastAsia="es-ES"/>
        </w:rPr>
        <w:t>La segunda sesión profundizó en el vínculo entre los objetivos personales, las capacidades individuales y los factores que influyen en el comportamiento. A través de dinámicas introspectivas y reflexivas, se promovió el reconocimiento de logros previos y la comprensión de cómo nuestras percepciones moldean nuestras acciones.</w:t>
      </w:r>
    </w:p>
    <w:p>
      <w:pPr>
        <w:numPr>
          <w:ilvl w:val="0"/>
          <w:numId w:val="66"/>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 xml:space="preserve">07/07/2025: “Autoestima” </w:t>
      </w:r>
      <w:r>
        <w:rPr>
          <w:rFonts w:ascii="Arial" w:eastAsiaTheme="minorEastAsia" w:hAnsi="Arial" w:cs="Arial"/>
          <w:sz w:val="24"/>
          <w:szCs w:val="24"/>
          <w:lang w:eastAsia="es-ES"/>
        </w:rPr>
        <w:t>La sesión abordó la importancia del autoconocimiento y la valoración personal. A través de dinámicas grupales se reflexionó sobre cómo las experiencias moldean la autoestima y se promovió una mirada más positiva hacia una misma, concluyendo con la lectura de la declaración de autoestima de Virginia Satir.</w:t>
      </w:r>
    </w:p>
    <w:p>
      <w:pPr>
        <w:numPr>
          <w:ilvl w:val="0"/>
          <w:numId w:val="66"/>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 xml:space="preserve">09/07/2025: “Cultura machista y el amor sano” </w:t>
      </w:r>
      <w:r>
        <w:rPr>
          <w:rFonts w:ascii="Arial" w:eastAsiaTheme="minorEastAsia" w:hAnsi="Arial" w:cs="Arial"/>
          <w:sz w:val="24"/>
          <w:szCs w:val="24"/>
          <w:lang w:eastAsia="es-ES"/>
        </w:rPr>
        <w:t xml:space="preserve">Donde se ha trabajado sobre las </w:t>
      </w:r>
      <w:r>
        <w:rPr>
          <w:rFonts w:ascii="Arial" w:eastAsiaTheme="minorEastAsia" w:hAnsi="Arial" w:cs="Arial"/>
          <w:bCs/>
          <w:sz w:val="24"/>
          <w:szCs w:val="24"/>
          <w:lang w:eastAsia="es-ES"/>
        </w:rPr>
        <w:t>relaciones afectivas</w:t>
      </w:r>
      <w:r>
        <w:rPr>
          <w:rFonts w:ascii="Arial" w:eastAsiaTheme="minorEastAsia" w:hAnsi="Arial" w:cs="Arial"/>
          <w:sz w:val="24"/>
          <w:szCs w:val="24"/>
          <w:lang w:eastAsia="es-ES"/>
        </w:rPr>
        <w:t>, estimulando la reflexión sobre las relaciones vividas hasta ahora y promoviendo la construcción de relaciones sanas basadas en respeto, confianza y comunicación.</w:t>
      </w:r>
    </w:p>
    <w:p>
      <w:pPr>
        <w:numPr>
          <w:ilvl w:val="0"/>
          <w:numId w:val="66"/>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 xml:space="preserve">01/09/2025: “La confianza” </w:t>
      </w:r>
      <w:r>
        <w:rPr>
          <w:rFonts w:ascii="Arial" w:eastAsiaTheme="minorEastAsia" w:hAnsi="Arial" w:cs="Arial"/>
          <w:sz w:val="24"/>
          <w:szCs w:val="24"/>
          <w:lang w:eastAsia="es-ES"/>
        </w:rPr>
        <w:t>La sesión se centró en la construcción y reconstrucción de la confianza, diferenciando sus raíces y consecuencias. A través de actividades prácticas se exploró la desconfianza como mecanismo protector y se fomentó el fortalecimiento de la autoconfianza y la capacidad de confiar de forma consciente</w:t>
      </w:r>
    </w:p>
    <w:p>
      <w:pPr>
        <w:numPr>
          <w:ilvl w:val="0"/>
          <w:numId w:val="66"/>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15/09/2025: “Los miedos”</w:t>
      </w:r>
      <w:r>
        <w:rPr>
          <w:rFonts w:ascii="Arial" w:eastAsiaTheme="minorEastAsia" w:hAnsi="Arial" w:cs="Arial"/>
          <w:sz w:val="24"/>
          <w:szCs w:val="24"/>
          <w:lang w:eastAsia="es-ES"/>
        </w:rPr>
        <w:t xml:space="preserve"> La sesión trabajó el miedo como emoción natural, sus diferentes manifestaciones y efectos en la vida cotidiana. Mediante reflexiones y dinámicas se promovió el reconocimiento del miedo y la búsqueda de estrategias para afrontarlo y transformarlo en motor de crecimiento</w:t>
      </w:r>
    </w:p>
    <w:p>
      <w:pPr>
        <w:numPr>
          <w:ilvl w:val="0"/>
          <w:numId w:val="66"/>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 xml:space="preserve">29/09/2025: “La comunicación eficaz” </w:t>
      </w:r>
      <w:r>
        <w:rPr>
          <w:rFonts w:ascii="Arial" w:eastAsiaTheme="minorEastAsia" w:hAnsi="Arial" w:cs="Arial"/>
          <w:sz w:val="24"/>
          <w:szCs w:val="24"/>
          <w:lang w:eastAsia="es-ES"/>
        </w:rPr>
        <w:t xml:space="preserve">Donde se ha trabajado sobre la </w:t>
      </w:r>
      <w:r>
        <w:rPr>
          <w:rFonts w:ascii="Arial" w:eastAsiaTheme="minorEastAsia" w:hAnsi="Arial" w:cs="Arial"/>
          <w:bCs/>
          <w:sz w:val="24"/>
          <w:szCs w:val="24"/>
          <w:lang w:eastAsia="es-ES"/>
        </w:rPr>
        <w:t>comunicación eficaz</w:t>
      </w:r>
      <w:r>
        <w:rPr>
          <w:rFonts w:ascii="Arial" w:eastAsiaTheme="minorEastAsia" w:hAnsi="Arial" w:cs="Arial"/>
          <w:sz w:val="24"/>
          <w:szCs w:val="24"/>
          <w:lang w:eastAsia="es-ES"/>
        </w:rPr>
        <w:t>, abordando los tipos de comunicación y sus elementos fundamentales como base para las relaciones, y reflexionando sobre su importancia en distintos ámbitos, especialmente en el laboral y el afectivo.</w:t>
      </w:r>
    </w:p>
    <w:p>
      <w:pPr>
        <w:autoSpaceDE w:val="0"/>
        <w:autoSpaceDN w:val="0"/>
        <w:adjustRightInd w:val="0"/>
        <w:ind w:left="708"/>
        <w:contextualSpacing/>
        <w:jc w:val="both"/>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sz w:val="24"/>
          <w:szCs w:val="24"/>
          <w:u w:val="single"/>
        </w:rPr>
        <w:t>Reuniones con la Red Insular de Violencia de Género de Gran Canaria</w:t>
      </w:r>
      <w:r>
        <w:rPr>
          <w:rFonts w:ascii="Arial" w:eastAsia="Times New Roman" w:hAnsi="Arial" w:cs="Arial"/>
          <w:sz w:val="24"/>
          <w:szCs w:val="24"/>
        </w:rPr>
        <w:t xml:space="preserve"> (Entidades pertenecientes a la Red y  Cabildo Insular de Gran Canaria): Reunión de Psicólogas: este encuentro es dinamizado por una técnica de referencia del Cabildo de Gran Canaria, y calendarizadas de manera sistemática el segundo martes de cada mes, donde se convoca a las psicólogas y psicólogos que intervienen en proyectos vinculados a dicha Red, con ánimo de unificar criterios, realizar propuestas de mejoras, formación especializada, revisión de documentos, etc. </w:t>
      </w:r>
    </w:p>
    <w:p>
      <w:pPr>
        <w:autoSpaceDE w:val="0"/>
        <w:autoSpaceDN w:val="0"/>
        <w:adjustRightInd w:val="0"/>
        <w:ind w:firstLine="708"/>
        <w:contextualSpacing/>
        <w:jc w:val="both"/>
        <w:rPr>
          <w:rFonts w:ascii="Arial" w:eastAsia="Times New Roman" w:hAnsi="Arial" w:cs="Arial"/>
          <w:sz w:val="24"/>
          <w:szCs w:val="24"/>
        </w:rPr>
      </w:pPr>
      <w:r>
        <w:rPr>
          <w:rFonts w:ascii="Arial" w:eastAsia="Times New Roman" w:hAnsi="Arial" w:cs="Arial"/>
          <w:sz w:val="24"/>
          <w:szCs w:val="24"/>
        </w:rPr>
        <w:lastRenderedPageBreak/>
        <w:t xml:space="preserve">En total se asiste a 9 reuniones de 10 convocadas. </w:t>
      </w:r>
    </w:p>
    <w:p>
      <w:pPr>
        <w:autoSpaceDE w:val="0"/>
        <w:autoSpaceDN w:val="0"/>
        <w:adjustRightInd w:val="0"/>
        <w:ind w:left="708"/>
        <w:contextualSpacing/>
        <w:jc w:val="both"/>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sz w:val="24"/>
          <w:szCs w:val="24"/>
          <w:u w:val="single"/>
        </w:rPr>
        <w:t>Reuniones técnicas</w:t>
      </w:r>
      <w:r>
        <w:rPr>
          <w:rFonts w:ascii="Arial" w:eastAsia="Times New Roman" w:hAnsi="Arial" w:cs="Arial"/>
          <w:sz w:val="24"/>
          <w:szCs w:val="24"/>
        </w:rPr>
        <w:t>: con el objetivo de favorecer la coordinación entre las diferentes áreas que intervienen con las mujeres, de manera semanal, se reúnen el área social, jurídica, psicológica, laboral, coordinación y/o dirección. En ellas se comparte la evolución de cada caso, así como las propuestas de intervención futuras. En el año 2025, se convocan 41 reuniones técnicas de las cuales se asiste a un total de 39.</w:t>
      </w: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u w:val="single"/>
        </w:rPr>
        <w:t>Formaciones recibidas</w:t>
      </w:r>
      <w:r>
        <w:rPr>
          <w:rFonts w:ascii="Arial" w:eastAsia="Times New Roman" w:hAnsi="Arial" w:cs="Arial"/>
          <w:sz w:val="24"/>
          <w:szCs w:val="24"/>
        </w:rPr>
        <w:t xml:space="preserve">: </w:t>
      </w:r>
    </w:p>
    <w:p>
      <w:pPr>
        <w:numPr>
          <w:ilvl w:val="1"/>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 xml:space="preserve">Internas: participación activa en formaciones propuestas por la Institución con el objetivo de unificar conocimientos y mantener al equipo actualizado. </w:t>
      </w:r>
    </w:p>
    <w:p>
      <w:pPr>
        <w:numPr>
          <w:ilvl w:val="0"/>
          <w:numId w:val="32"/>
        </w:numPr>
        <w:spacing w:after="0" w:line="240" w:lineRule="auto"/>
        <w:rPr>
          <w:rFonts w:ascii="Arial" w:eastAsia="Times New Roman" w:hAnsi="Arial" w:cs="Arial"/>
          <w:sz w:val="24"/>
          <w:szCs w:val="24"/>
        </w:rPr>
      </w:pPr>
      <w:r>
        <w:rPr>
          <w:rFonts w:ascii="Arial" w:eastAsia="Times New Roman" w:hAnsi="Arial" w:cs="Arial"/>
          <w:sz w:val="24"/>
          <w:szCs w:val="24"/>
        </w:rPr>
        <w:t xml:space="preserve">28/04/2025: Orígenes Congregacionales y Pedagogía Oblatas. </w:t>
      </w:r>
    </w:p>
    <w:p>
      <w:pPr>
        <w:numPr>
          <w:ilvl w:val="0"/>
          <w:numId w:val="32"/>
        </w:numPr>
        <w:spacing w:after="0" w:line="240" w:lineRule="auto"/>
        <w:rPr>
          <w:rFonts w:ascii="Arial" w:eastAsia="Times New Roman" w:hAnsi="Arial" w:cs="Arial"/>
          <w:sz w:val="24"/>
          <w:szCs w:val="24"/>
        </w:rPr>
      </w:pPr>
      <w:r>
        <w:rPr>
          <w:rFonts w:ascii="Arial" w:eastAsia="Times New Roman" w:hAnsi="Arial" w:cs="Arial"/>
          <w:sz w:val="24"/>
          <w:szCs w:val="24"/>
        </w:rPr>
        <w:t xml:space="preserve">28/04/2025: Reglamento General de Protección de Datos. </w:t>
      </w:r>
    </w:p>
    <w:p>
      <w:pPr>
        <w:numPr>
          <w:ilvl w:val="0"/>
          <w:numId w:val="32"/>
        </w:numPr>
        <w:spacing w:after="0" w:line="240" w:lineRule="auto"/>
        <w:rPr>
          <w:rFonts w:ascii="Arial" w:eastAsia="Times New Roman" w:hAnsi="Arial" w:cs="Arial"/>
          <w:sz w:val="24"/>
          <w:szCs w:val="24"/>
        </w:rPr>
      </w:pPr>
      <w:r>
        <w:rPr>
          <w:rFonts w:ascii="Arial" w:eastAsia="Times New Roman" w:hAnsi="Arial" w:cs="Arial"/>
          <w:sz w:val="24"/>
          <w:szCs w:val="24"/>
        </w:rPr>
        <w:t xml:space="preserve">29/04/2025: Sistema de Protección Interno (SdPi). </w:t>
      </w:r>
    </w:p>
    <w:p>
      <w:pPr>
        <w:numPr>
          <w:ilvl w:val="0"/>
          <w:numId w:val="32"/>
        </w:numPr>
        <w:spacing w:after="0" w:line="240" w:lineRule="auto"/>
        <w:rPr>
          <w:rFonts w:ascii="Arial" w:eastAsia="Times New Roman" w:hAnsi="Arial" w:cs="Arial"/>
          <w:sz w:val="24"/>
          <w:szCs w:val="24"/>
        </w:rPr>
      </w:pPr>
      <w:r>
        <w:rPr>
          <w:rFonts w:ascii="Arial" w:eastAsia="Times New Roman" w:hAnsi="Arial" w:cs="Arial"/>
          <w:sz w:val="24"/>
          <w:szCs w:val="24"/>
        </w:rPr>
        <w:t xml:space="preserve">29/04/2025: Protocolo de acoso. </w:t>
      </w:r>
    </w:p>
    <w:p>
      <w:pPr>
        <w:numPr>
          <w:ilvl w:val="0"/>
          <w:numId w:val="32"/>
        </w:numPr>
        <w:spacing w:after="0" w:line="240" w:lineRule="auto"/>
        <w:rPr>
          <w:rFonts w:ascii="Arial" w:eastAsia="Times New Roman" w:hAnsi="Arial" w:cs="Arial"/>
          <w:sz w:val="24"/>
          <w:szCs w:val="24"/>
        </w:rPr>
      </w:pPr>
      <w:r>
        <w:rPr>
          <w:rFonts w:ascii="Arial" w:eastAsia="Times New Roman" w:hAnsi="Arial" w:cs="Arial"/>
          <w:sz w:val="24"/>
          <w:szCs w:val="24"/>
        </w:rPr>
        <w:t>13/11/2025: V Jornada internacional sobre Trata con fines de explotación sexual.</w:t>
      </w:r>
    </w:p>
    <w:p>
      <w:pPr>
        <w:spacing w:after="0" w:line="240" w:lineRule="auto"/>
        <w:rPr>
          <w:rFonts w:ascii="Arial" w:eastAsia="Times New Roman" w:hAnsi="Arial" w:cs="Arial"/>
          <w:sz w:val="24"/>
          <w:szCs w:val="24"/>
        </w:rPr>
      </w:pPr>
    </w:p>
    <w:p>
      <w:pPr>
        <w:numPr>
          <w:ilvl w:val="1"/>
          <w:numId w:val="32"/>
        </w:numPr>
        <w:autoSpaceDE w:val="0"/>
        <w:autoSpaceDN w:val="0"/>
        <w:adjustRightInd w:val="0"/>
        <w:contextualSpacing/>
        <w:jc w:val="both"/>
        <w:rPr>
          <w:rFonts w:ascii="Arial" w:eastAsia="Times New Roman" w:hAnsi="Arial" w:cs="Arial"/>
          <w:color w:val="365F91" w:themeColor="accent1" w:themeShade="BF"/>
          <w:sz w:val="24"/>
          <w:szCs w:val="24"/>
        </w:rPr>
      </w:pPr>
      <w:r>
        <w:rPr>
          <w:rFonts w:ascii="Arial" w:eastAsia="Times New Roman" w:hAnsi="Arial" w:cs="Arial"/>
          <w:sz w:val="24"/>
          <w:szCs w:val="24"/>
        </w:rPr>
        <w:t xml:space="preserve">Externas: </w:t>
      </w: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 xml:space="preserve">14/10/2025: “CIBERSEGURAS. Kit de herramientas prácticas para combatir la violencia de género digital”, </w:t>
      </w:r>
      <w:r>
        <w:rPr>
          <w:rFonts w:ascii="Arial" w:eastAsiaTheme="minorEastAsia" w:hAnsi="Arial" w:cs="Arial"/>
          <w:sz w:val="24"/>
          <w:szCs w:val="24"/>
          <w:lang w:eastAsia="es-ES"/>
        </w:rPr>
        <w:t>impartido por Mujeres, solidaridad y cooperación.</w:t>
      </w: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rPr>
        <w:t>20-21-22/10/2025: Formación para los psicólogos de la Red contra la violencia de género del Cabildo Insular de Gran Canaria e impartida por Raquel López sobre “Regulación emocional y trauma”.</w:t>
      </w:r>
    </w:p>
    <w:p>
      <w:pPr>
        <w:autoSpaceDE w:val="0"/>
        <w:autoSpaceDN w:val="0"/>
        <w:adjustRightInd w:val="0"/>
        <w:ind w:left="1080"/>
        <w:contextualSpacing/>
        <w:jc w:val="both"/>
        <w:rPr>
          <w:rFonts w:ascii="Arial" w:eastAsia="Times New Roman" w:hAnsi="Arial" w:cs="Arial"/>
          <w:sz w:val="24"/>
          <w:szCs w:val="24"/>
        </w:rPr>
      </w:pP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u w:val="single"/>
        </w:rPr>
        <w:t>Encuentros institucionales</w:t>
      </w:r>
      <w:r>
        <w:rPr>
          <w:rFonts w:ascii="Arial" w:eastAsia="Times New Roman" w:hAnsi="Arial" w:cs="Arial"/>
          <w:sz w:val="24"/>
          <w:szCs w:val="24"/>
        </w:rPr>
        <w:t>: convivencia presencial y/o telemática con miembros de la Institución con el ánimo de promover y mantener el sentimiento de pertenencia, así como garantizar el apoyo de la Familia Oblatas a todas y todos los profesionales que forman parte de ella.</w:t>
      </w:r>
    </w:p>
    <w:p>
      <w:pPr>
        <w:autoSpaceDE w:val="0"/>
        <w:autoSpaceDN w:val="0"/>
        <w:adjustRightInd w:val="0"/>
        <w:ind w:left="1080"/>
        <w:contextualSpacing/>
        <w:jc w:val="both"/>
        <w:rPr>
          <w:rFonts w:ascii="Arial" w:eastAsia="Times New Roman" w:hAnsi="Arial" w:cs="Arial"/>
          <w:sz w:val="24"/>
          <w:szCs w:val="24"/>
        </w:rPr>
      </w:pPr>
      <w:r>
        <w:rPr>
          <w:rFonts w:ascii="Arial" w:eastAsia="Times New Roman" w:hAnsi="Arial" w:cs="Arial"/>
          <w:sz w:val="24"/>
          <w:szCs w:val="24"/>
        </w:rPr>
        <w:t>Con este fin se realiza:</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xml:space="preserve">- 15/05/2025: </w:t>
      </w:r>
      <w:r>
        <w:rPr>
          <w:rFonts w:ascii="Arial" w:eastAsiaTheme="minorEastAsia" w:hAnsi="Arial" w:cs="Arial"/>
          <w:sz w:val="24"/>
          <w:szCs w:val="24"/>
          <w:lang w:eastAsia="es-ES"/>
        </w:rPr>
        <w:t>Jornada de dinámicas grupales de equipo y team building.</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- 09/06/2024: Encuentro virtual Provincia Europa Oblatas</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- 27-28-29/10/2025: “Encuentro Familia Oblatas” (Oblatas Provincia Europa).</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- 25/11/2025 Encuentro Virtual familia Oblata Provincia Europa.</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- 11-12/12/2025: Encuentro Presencial de Acogida para las personas de nueva incorporación a los Proyectos Sociales de Oblata Provincia Europa.</w:t>
      </w:r>
    </w:p>
    <w:p>
      <w:pPr>
        <w:autoSpaceDE w:val="0"/>
        <w:autoSpaceDN w:val="0"/>
        <w:adjustRightInd w:val="0"/>
        <w:ind w:left="372" w:firstLine="708"/>
        <w:contextualSpacing/>
        <w:jc w:val="both"/>
        <w:rPr>
          <w:rFonts w:ascii="Arial" w:eastAsia="Times New Roman" w:hAnsi="Arial" w:cs="Arial"/>
          <w:sz w:val="24"/>
          <w:szCs w:val="24"/>
        </w:rPr>
      </w:pPr>
    </w:p>
    <w:p>
      <w:pPr>
        <w:numPr>
          <w:ilvl w:val="0"/>
          <w:numId w:val="32"/>
        </w:numPr>
        <w:autoSpaceDE w:val="0"/>
        <w:autoSpaceDN w:val="0"/>
        <w:adjustRightInd w:val="0"/>
        <w:contextualSpacing/>
        <w:jc w:val="both"/>
        <w:rPr>
          <w:rFonts w:ascii="Arial" w:eastAsia="Times New Roman" w:hAnsi="Arial" w:cs="Arial"/>
          <w:sz w:val="24"/>
          <w:szCs w:val="24"/>
        </w:rPr>
      </w:pPr>
      <w:r>
        <w:rPr>
          <w:rFonts w:ascii="Arial" w:eastAsia="Times New Roman" w:hAnsi="Arial" w:cs="Arial"/>
          <w:sz w:val="24"/>
          <w:szCs w:val="24"/>
          <w:u w:val="single"/>
        </w:rPr>
        <w:t>Otras actuaciones</w:t>
      </w:r>
      <w:r>
        <w:rPr>
          <w:rFonts w:ascii="Arial" w:eastAsia="Times New Roman" w:hAnsi="Arial" w:cs="Arial"/>
          <w:sz w:val="24"/>
          <w:szCs w:val="24"/>
        </w:rPr>
        <w:t xml:space="preserve">: </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Entrevista de planificación de la terapia de grupo con el psicólogo voluntario</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lastRenderedPageBreak/>
        <w:t>- Coordinación con entidades externas para gestionar posibles derivaciones de nuestras usuarias y garantizar la mejor solución para cada mujer.</w:t>
      </w:r>
    </w:p>
    <w:p>
      <w:pPr>
        <w:autoSpaceDE w:val="0"/>
        <w:autoSpaceDN w:val="0"/>
        <w:adjustRightInd w:val="0"/>
        <w:ind w:left="372" w:firstLine="708"/>
        <w:contextualSpacing/>
        <w:jc w:val="both"/>
        <w:rPr>
          <w:rFonts w:ascii="Arial" w:eastAsia="Times New Roman" w:hAnsi="Arial" w:cs="Arial"/>
          <w:sz w:val="24"/>
          <w:szCs w:val="24"/>
        </w:rPr>
      </w:pPr>
      <w:r>
        <w:rPr>
          <w:rFonts w:ascii="Arial" w:eastAsia="Times New Roman" w:hAnsi="Arial" w:cs="Arial"/>
          <w:sz w:val="24"/>
          <w:szCs w:val="24"/>
        </w:rPr>
        <w:t>- Encuentros informales y espacios de intercambio y compartir, orientados a favorecer el diálogo, la cercanía y la creación de un clima de confianza, promoviendo la participación activa y el apoyo mutuo entre las personas involucradas.</w:t>
      </w:r>
    </w:p>
    <w:p>
      <w:pPr>
        <w:autoSpaceDE w:val="0"/>
        <w:autoSpaceDN w:val="0"/>
        <w:adjustRightInd w:val="0"/>
        <w:contextualSpacing/>
        <w:jc w:val="both"/>
        <w:rPr>
          <w:rFonts w:ascii="Arial" w:eastAsia="Times New Roman" w:hAnsi="Arial" w:cs="Arial"/>
          <w:sz w:val="24"/>
          <w:szCs w:val="24"/>
        </w:rPr>
      </w:pPr>
    </w:p>
    <w:tbl>
      <w:tblPr>
        <w:tblStyle w:val="Tablaconcuadrcula37"/>
        <w:tblW w:w="0" w:type="auto"/>
        <w:jc w:val="center"/>
        <w:tblLook w:val="04A0" w:firstRow="1" w:lastRow="0" w:firstColumn="1" w:lastColumn="0" w:noHBand="0" w:noVBand="1"/>
      </w:tblPr>
      <w:tblGrid>
        <w:gridCol w:w="4957"/>
        <w:gridCol w:w="3969"/>
      </w:tblGrid>
      <w:tr>
        <w:trPr>
          <w:jc w:val="center"/>
        </w:trPr>
        <w:tc>
          <w:tcPr>
            <w:tcW w:w="4957" w:type="dxa"/>
            <w:shd w:val="clear" w:color="auto" w:fill="DDD9C3" w:themeFill="background2" w:themeFillShade="E6"/>
            <w:vAlign w:val="center"/>
          </w:tcPr>
          <w:p>
            <w:pPr>
              <w:autoSpaceDE w:val="0"/>
              <w:autoSpaceDN w:val="0"/>
              <w:adjustRightInd w:val="0"/>
              <w:spacing w:after="0" w:line="240" w:lineRule="auto"/>
              <w:jc w:val="center"/>
              <w:rPr>
                <w:rFonts w:ascii="Arial" w:eastAsia="Times New Roman" w:hAnsi="Arial" w:cs="Arial"/>
                <w:b/>
                <w:sz w:val="24"/>
                <w:szCs w:val="24"/>
              </w:rPr>
            </w:pPr>
            <w:r>
              <w:rPr>
                <w:rFonts w:ascii="Arial" w:eastAsia="Times New Roman" w:hAnsi="Arial" w:cs="Arial"/>
                <w:b/>
                <w:sz w:val="24"/>
                <w:szCs w:val="24"/>
              </w:rPr>
              <w:t>ACTIVIDADES REALIZADAS</w:t>
            </w:r>
          </w:p>
        </w:tc>
        <w:tc>
          <w:tcPr>
            <w:tcW w:w="3969" w:type="dxa"/>
            <w:shd w:val="clear" w:color="auto" w:fill="DDD9C3" w:themeFill="background2" w:themeFillShade="E6"/>
            <w:vAlign w:val="center"/>
          </w:tcPr>
          <w:p>
            <w:pPr>
              <w:autoSpaceDE w:val="0"/>
              <w:autoSpaceDN w:val="0"/>
              <w:adjustRightInd w:val="0"/>
              <w:spacing w:after="0" w:line="240" w:lineRule="auto"/>
              <w:jc w:val="center"/>
              <w:rPr>
                <w:rFonts w:ascii="Arial" w:eastAsia="Times New Roman" w:hAnsi="Arial" w:cs="Arial"/>
                <w:b/>
                <w:sz w:val="24"/>
                <w:szCs w:val="24"/>
              </w:rPr>
            </w:pPr>
            <w:r>
              <w:rPr>
                <w:rFonts w:ascii="Arial" w:eastAsia="Times New Roman" w:hAnsi="Arial" w:cs="Arial"/>
                <w:b/>
                <w:sz w:val="24"/>
                <w:szCs w:val="24"/>
              </w:rPr>
              <w:t>CANTIDAD</w:t>
            </w:r>
          </w:p>
        </w:tc>
      </w:tr>
      <w:tr>
        <w:trPr>
          <w:jc w:val="center"/>
        </w:trPr>
        <w:tc>
          <w:tcPr>
            <w:tcW w:w="4957"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Atención a la mujer</w:t>
            </w:r>
          </w:p>
          <w:p>
            <w:pPr>
              <w:autoSpaceDE w:val="0"/>
              <w:autoSpaceDN w:val="0"/>
              <w:adjustRightInd w:val="0"/>
              <w:spacing w:after="0" w:line="240" w:lineRule="auto"/>
              <w:rPr>
                <w:rFonts w:ascii="Arial" w:eastAsia="Times New Roman" w:hAnsi="Arial" w:cs="Arial"/>
                <w:color w:val="365F91" w:themeColor="accent1" w:themeShade="BF"/>
                <w:sz w:val="24"/>
                <w:szCs w:val="24"/>
              </w:rPr>
            </w:pPr>
          </w:p>
        </w:tc>
        <w:tc>
          <w:tcPr>
            <w:tcW w:w="3969" w:type="dxa"/>
          </w:tcPr>
          <w:p>
            <w:pPr>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Total: 45 mujeres</w:t>
            </w:r>
          </w:p>
          <w:p>
            <w:pPr>
              <w:numPr>
                <w:ilvl w:val="0"/>
                <w:numId w:val="42"/>
              </w:numPr>
              <w:autoSpaceDE w:val="0"/>
              <w:autoSpaceDN w:val="0"/>
              <w:adjustRightInd w:val="0"/>
              <w:spacing w:after="0" w:line="240" w:lineRule="auto"/>
              <w:ind w:left="605" w:hanging="299"/>
              <w:contextualSpacing/>
              <w:rPr>
                <w:rFonts w:ascii="Arial" w:eastAsia="Times New Roman" w:hAnsi="Arial" w:cs="Arial"/>
                <w:sz w:val="24"/>
                <w:szCs w:val="24"/>
              </w:rPr>
            </w:pPr>
            <w:r>
              <w:rPr>
                <w:rFonts w:ascii="Arial" w:eastAsia="Times New Roman" w:hAnsi="Arial" w:cs="Arial"/>
                <w:sz w:val="24"/>
                <w:szCs w:val="24"/>
              </w:rPr>
              <w:t>Psicoterapia presencial: 145</w:t>
            </w:r>
          </w:p>
          <w:p>
            <w:pPr>
              <w:numPr>
                <w:ilvl w:val="0"/>
                <w:numId w:val="42"/>
              </w:numPr>
              <w:autoSpaceDE w:val="0"/>
              <w:autoSpaceDN w:val="0"/>
              <w:adjustRightInd w:val="0"/>
              <w:spacing w:after="0" w:line="240" w:lineRule="auto"/>
              <w:ind w:left="605" w:hanging="299"/>
              <w:contextualSpacing/>
              <w:rPr>
                <w:rFonts w:ascii="Arial" w:eastAsia="Times New Roman" w:hAnsi="Arial" w:cs="Arial"/>
                <w:sz w:val="24"/>
                <w:szCs w:val="24"/>
              </w:rPr>
            </w:pPr>
            <w:r>
              <w:rPr>
                <w:rFonts w:ascii="Arial" w:eastAsia="Times New Roman" w:hAnsi="Arial" w:cs="Arial"/>
                <w:sz w:val="24"/>
                <w:szCs w:val="24"/>
              </w:rPr>
              <w:t>Psicoterapia no presencial:  43</w:t>
            </w:r>
          </w:p>
          <w:p>
            <w:pPr>
              <w:numPr>
                <w:ilvl w:val="0"/>
                <w:numId w:val="42"/>
              </w:numPr>
              <w:autoSpaceDE w:val="0"/>
              <w:autoSpaceDN w:val="0"/>
              <w:adjustRightInd w:val="0"/>
              <w:spacing w:after="0" w:line="240" w:lineRule="auto"/>
              <w:ind w:left="605" w:hanging="299"/>
              <w:contextualSpacing/>
              <w:rPr>
                <w:rFonts w:ascii="Arial" w:eastAsia="Times New Roman" w:hAnsi="Arial" w:cs="Arial"/>
                <w:sz w:val="24"/>
                <w:szCs w:val="24"/>
              </w:rPr>
            </w:pPr>
            <w:r>
              <w:rPr>
                <w:rFonts w:ascii="Arial" w:eastAsia="Times New Roman" w:hAnsi="Arial" w:cs="Arial"/>
                <w:sz w:val="24"/>
                <w:szCs w:val="24"/>
              </w:rPr>
              <w:t>Intervenciones en crisis: 3</w:t>
            </w:r>
          </w:p>
          <w:p>
            <w:pPr>
              <w:numPr>
                <w:ilvl w:val="0"/>
                <w:numId w:val="42"/>
              </w:numPr>
              <w:autoSpaceDE w:val="0"/>
              <w:autoSpaceDN w:val="0"/>
              <w:adjustRightInd w:val="0"/>
              <w:spacing w:after="0" w:line="240" w:lineRule="auto"/>
              <w:ind w:left="605" w:hanging="299"/>
              <w:contextualSpacing/>
              <w:rPr>
                <w:rFonts w:ascii="Arial" w:eastAsia="Times New Roman" w:hAnsi="Arial" w:cs="Arial"/>
                <w:sz w:val="24"/>
                <w:szCs w:val="24"/>
              </w:rPr>
            </w:pPr>
            <w:r>
              <w:rPr>
                <w:rFonts w:ascii="Arial" w:eastAsia="Times New Roman" w:hAnsi="Arial" w:cs="Arial"/>
                <w:sz w:val="24"/>
                <w:szCs w:val="24"/>
              </w:rPr>
              <w:t>Tests psicodiagnósticos: 6</w:t>
            </w:r>
          </w:p>
          <w:p>
            <w:pPr>
              <w:autoSpaceDE w:val="0"/>
              <w:autoSpaceDN w:val="0"/>
              <w:adjustRightInd w:val="0"/>
              <w:spacing w:after="0" w:line="240" w:lineRule="auto"/>
              <w:ind w:left="605"/>
              <w:contextualSpacing/>
              <w:rPr>
                <w:rFonts w:ascii="Arial" w:eastAsia="Times New Roman" w:hAnsi="Arial" w:cs="Arial"/>
                <w:sz w:val="24"/>
                <w:szCs w:val="24"/>
              </w:rPr>
            </w:pPr>
          </w:p>
        </w:tc>
      </w:tr>
      <w:tr>
        <w:trPr>
          <w:jc w:val="center"/>
        </w:trPr>
        <w:tc>
          <w:tcPr>
            <w:tcW w:w="4957" w:type="dxa"/>
            <w:vAlign w:val="center"/>
          </w:tcPr>
          <w:p>
            <w:pPr>
              <w:spacing w:after="0" w:line="240" w:lineRule="auto"/>
              <w:jc w:val="center"/>
              <w:rPr>
                <w:rFonts w:ascii="Arial" w:eastAsia="Times New Roman" w:hAnsi="Arial" w:cs="Arial"/>
                <w:sz w:val="24"/>
                <w:szCs w:val="24"/>
              </w:rPr>
            </w:pPr>
            <w:r>
              <w:rPr>
                <w:rFonts w:ascii="Arial" w:eastAsia="Times New Roman" w:hAnsi="Arial" w:cs="Arial"/>
                <w:sz w:val="24"/>
                <w:szCs w:val="24"/>
              </w:rPr>
              <w:t>Reuniones de la Red Insular de Violencia de Género de Gran Canaria</w:t>
            </w:r>
          </w:p>
        </w:tc>
        <w:tc>
          <w:tcPr>
            <w:tcW w:w="3969" w:type="dxa"/>
            <w:vAlign w:val="center"/>
          </w:tcPr>
          <w:p>
            <w:pPr>
              <w:spacing w:after="0" w:line="240" w:lineRule="auto"/>
              <w:ind w:left="244"/>
              <w:contextualSpacing/>
              <w:rPr>
                <w:rFonts w:ascii="Arial" w:eastAsia="Times New Roman" w:hAnsi="Arial" w:cs="Arial"/>
                <w:sz w:val="24"/>
                <w:szCs w:val="24"/>
              </w:rPr>
            </w:pPr>
            <w:r>
              <w:rPr>
                <w:rFonts w:ascii="Arial" w:eastAsia="Times New Roman" w:hAnsi="Arial" w:cs="Arial"/>
                <w:sz w:val="24"/>
                <w:szCs w:val="24"/>
              </w:rPr>
              <w:t>Reuniones de psicólogas: 9</w:t>
            </w:r>
          </w:p>
        </w:tc>
      </w:tr>
      <w:tr>
        <w:trPr>
          <w:jc w:val="center"/>
        </w:trPr>
        <w:tc>
          <w:tcPr>
            <w:tcW w:w="4957" w:type="dxa"/>
            <w:vAlign w:val="center"/>
          </w:tcPr>
          <w:p>
            <w:pPr>
              <w:spacing w:after="0" w:line="240" w:lineRule="auto"/>
              <w:jc w:val="center"/>
              <w:rPr>
                <w:rFonts w:ascii="Arial" w:eastAsia="Times New Roman" w:hAnsi="Arial" w:cs="Arial"/>
                <w:sz w:val="24"/>
                <w:szCs w:val="24"/>
              </w:rPr>
            </w:pPr>
            <w:r>
              <w:rPr>
                <w:rFonts w:ascii="Arial" w:eastAsia="Times New Roman" w:hAnsi="Arial" w:cs="Arial"/>
                <w:sz w:val="24"/>
                <w:szCs w:val="24"/>
              </w:rPr>
              <w:t>Reuniones Técnicas</w:t>
            </w:r>
          </w:p>
        </w:tc>
        <w:tc>
          <w:tcPr>
            <w:tcW w:w="3969" w:type="dxa"/>
            <w:vAlign w:val="center"/>
          </w:tcPr>
          <w:p>
            <w:pPr>
              <w:spacing w:after="0" w:line="240" w:lineRule="auto"/>
              <w:ind w:left="-319"/>
              <w:contextualSpacing/>
              <w:jc w:val="center"/>
              <w:rPr>
                <w:rFonts w:ascii="Arial" w:eastAsia="Times New Roman" w:hAnsi="Arial" w:cs="Arial"/>
                <w:sz w:val="24"/>
                <w:szCs w:val="24"/>
              </w:rPr>
            </w:pPr>
            <w:r>
              <w:rPr>
                <w:rFonts w:ascii="Arial" w:eastAsia="Times New Roman" w:hAnsi="Arial" w:cs="Arial"/>
                <w:sz w:val="24"/>
                <w:szCs w:val="24"/>
              </w:rPr>
              <w:t>39 reuniones</w:t>
            </w:r>
          </w:p>
        </w:tc>
      </w:tr>
      <w:tr>
        <w:trPr>
          <w:jc w:val="center"/>
        </w:trPr>
        <w:tc>
          <w:tcPr>
            <w:tcW w:w="4957"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Formaciones internas recibidas</w:t>
            </w:r>
          </w:p>
        </w:tc>
        <w:tc>
          <w:tcPr>
            <w:tcW w:w="3969"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5 formaciones</w:t>
            </w:r>
          </w:p>
        </w:tc>
      </w:tr>
      <w:tr>
        <w:trPr>
          <w:jc w:val="center"/>
        </w:trPr>
        <w:tc>
          <w:tcPr>
            <w:tcW w:w="4957"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Formaciones externas recibidas</w:t>
            </w:r>
          </w:p>
        </w:tc>
        <w:tc>
          <w:tcPr>
            <w:tcW w:w="3969"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2 formaciones</w:t>
            </w:r>
          </w:p>
        </w:tc>
      </w:tr>
      <w:tr>
        <w:trPr>
          <w:jc w:val="center"/>
        </w:trPr>
        <w:tc>
          <w:tcPr>
            <w:tcW w:w="4957"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Encuentros institucionales</w:t>
            </w:r>
          </w:p>
        </w:tc>
        <w:tc>
          <w:tcPr>
            <w:tcW w:w="3969"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5 encuentros</w:t>
            </w:r>
          </w:p>
        </w:tc>
      </w:tr>
      <w:tr>
        <w:trPr>
          <w:jc w:val="center"/>
        </w:trPr>
        <w:tc>
          <w:tcPr>
            <w:tcW w:w="4957" w:type="dxa"/>
          </w:tcPr>
          <w:p>
            <w:pPr>
              <w:autoSpaceDE w:val="0"/>
              <w:autoSpaceDN w:val="0"/>
              <w:adjustRightInd w:val="0"/>
              <w:spacing w:after="0" w:line="240" w:lineRule="auto"/>
              <w:jc w:val="center"/>
              <w:rPr>
                <w:rFonts w:ascii="Arial" w:eastAsia="Times New Roman" w:hAnsi="Arial" w:cs="Arial"/>
                <w:sz w:val="24"/>
                <w:szCs w:val="24"/>
              </w:rPr>
            </w:pPr>
            <w:r>
              <w:rPr>
                <w:rFonts w:ascii="Arial" w:eastAsia="Times New Roman" w:hAnsi="Arial" w:cs="Arial"/>
                <w:sz w:val="24"/>
                <w:szCs w:val="24"/>
              </w:rPr>
              <w:t>Otras actuaciones</w:t>
            </w:r>
          </w:p>
        </w:tc>
        <w:tc>
          <w:tcPr>
            <w:tcW w:w="3969" w:type="dxa"/>
          </w:tcPr>
          <w:p>
            <w:pPr>
              <w:autoSpaceDE w:val="0"/>
              <w:autoSpaceDN w:val="0"/>
              <w:adjustRightInd w:val="0"/>
              <w:spacing w:after="0" w:line="240" w:lineRule="auto"/>
              <w:jc w:val="center"/>
              <w:rPr>
                <w:rFonts w:ascii="Arial" w:eastAsia="Times New Roman" w:hAnsi="Arial" w:cs="Arial"/>
                <w:sz w:val="24"/>
                <w:szCs w:val="24"/>
                <w:highlight w:val="yellow"/>
              </w:rPr>
            </w:pPr>
            <w:r>
              <w:rPr>
                <w:rFonts w:ascii="Arial" w:eastAsia="Times New Roman" w:hAnsi="Arial" w:cs="Arial"/>
                <w:sz w:val="24"/>
                <w:szCs w:val="24"/>
              </w:rPr>
              <w:t>3 actuaciones</w:t>
            </w:r>
          </w:p>
        </w:tc>
      </w:tr>
    </w:tbl>
    <w:p>
      <w:pPr>
        <w:autoSpaceDE w:val="0"/>
        <w:autoSpaceDN w:val="0"/>
        <w:adjustRightInd w:val="0"/>
        <w:jc w:val="both"/>
        <w:outlineLvl w:val="0"/>
        <w:rPr>
          <w:rFonts w:ascii="Arial" w:eastAsia="Times New Roman" w:hAnsi="Arial" w:cs="Arial"/>
          <w:b/>
          <w:bCs/>
          <w:sz w:val="24"/>
          <w:szCs w:val="24"/>
        </w:rPr>
      </w:pPr>
    </w:p>
    <w:p>
      <w:pPr>
        <w:shd w:val="clear" w:color="auto" w:fill="B2A1C7" w:themeFill="accent4" w:themeFillTint="99"/>
        <w:autoSpaceDE w:val="0"/>
        <w:autoSpaceDN w:val="0"/>
        <w:adjustRightInd w:val="0"/>
        <w:jc w:val="both"/>
        <w:outlineLvl w:val="0"/>
        <w:rPr>
          <w:rFonts w:ascii="Arial" w:eastAsia="Times New Roman" w:hAnsi="Arial" w:cs="Arial"/>
          <w:b/>
          <w:bCs/>
          <w:sz w:val="24"/>
          <w:szCs w:val="24"/>
        </w:rPr>
      </w:pPr>
      <w:r>
        <w:rPr>
          <w:rFonts w:ascii="Arial" w:eastAsia="Times New Roman" w:hAnsi="Arial" w:cs="Arial"/>
          <w:b/>
          <w:bCs/>
          <w:sz w:val="24"/>
          <w:szCs w:val="24"/>
        </w:rPr>
        <w:t>I - EVALUACIÓN DE LA INTERVENCIÓN:</w:t>
      </w:r>
    </w:p>
    <w:p>
      <w:pPr>
        <w:autoSpaceDE w:val="0"/>
        <w:autoSpaceDN w:val="0"/>
        <w:adjustRightInd w:val="0"/>
        <w:spacing w:after="0" w:line="360" w:lineRule="auto"/>
        <w:jc w:val="both"/>
        <w:rPr>
          <w:rFonts w:ascii="Arial" w:eastAsia="Times New Roman" w:hAnsi="Arial" w:cs="Arial"/>
          <w:sz w:val="24"/>
          <w:szCs w:val="24"/>
        </w:rPr>
      </w:pPr>
      <w:r>
        <w:rPr>
          <w:rFonts w:ascii="Arial" w:eastAsiaTheme="minorEastAsia" w:hAnsi="Arial" w:cs="Arial"/>
          <w:sz w:val="24"/>
          <w:szCs w:val="24"/>
          <w:lang w:eastAsia="es-ES"/>
        </w:rPr>
        <w:t>Como se ha señalado anteriormente,</w:t>
      </w:r>
      <w:r>
        <w:rPr>
          <w:rFonts w:ascii="Arial" w:eastAsia="Times New Roman" w:hAnsi="Arial" w:cs="Arial"/>
          <w:sz w:val="24"/>
          <w:szCs w:val="24"/>
        </w:rPr>
        <w:t xml:space="preserve"> el Área de psicología sufrió una suspensión temporal de aproximadamente dos meses debido a la falta del profesional encargado. </w:t>
      </w:r>
      <w:r>
        <w:rPr>
          <w:rFonts w:ascii="Arial" w:eastAsia="Times New Roman" w:hAnsi="Arial" w:cs="Arial"/>
          <w:bCs/>
          <w:sz w:val="24"/>
          <w:szCs w:val="24"/>
        </w:rPr>
        <w:t>A pesar de ello</w:t>
      </w:r>
      <w:r>
        <w:rPr>
          <w:rFonts w:ascii="Arial" w:eastAsia="Times New Roman" w:hAnsi="Arial" w:cs="Arial"/>
          <w:sz w:val="24"/>
          <w:szCs w:val="24"/>
        </w:rPr>
        <w:t>, durante el año 2025 se llevaron a cabo numerosas intervenciones dirigidas a mujeres, especialmente en riesgo o víctimas de violencia de género vinculadas a prostitución y/o trata con fines de explotación sexual.</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En cuanto a las características del colectivo atendido, este año se observa que la mayoría de las usuarias no cuentan con </w:t>
      </w:r>
      <w:r>
        <w:rPr>
          <w:rFonts w:ascii="Arial" w:eastAsia="Times New Roman" w:hAnsi="Arial" w:cs="Arial"/>
          <w:bCs/>
          <w:sz w:val="24"/>
          <w:szCs w:val="24"/>
        </w:rPr>
        <w:t>redes sociales y se encuentran solas</w:t>
      </w:r>
      <w:r>
        <w:rPr>
          <w:rFonts w:ascii="Arial" w:eastAsia="Times New Roman" w:hAnsi="Arial" w:cs="Arial"/>
          <w:sz w:val="24"/>
          <w:szCs w:val="24"/>
        </w:rPr>
        <w:t xml:space="preserve">, por lo que el simple hecho de ser </w:t>
      </w:r>
      <w:r>
        <w:rPr>
          <w:rFonts w:ascii="Arial" w:eastAsia="Times New Roman" w:hAnsi="Arial" w:cs="Arial"/>
          <w:bCs/>
          <w:sz w:val="24"/>
          <w:szCs w:val="24"/>
        </w:rPr>
        <w:t>acogidas y escuchadas</w:t>
      </w:r>
      <w:r>
        <w:rPr>
          <w:rFonts w:ascii="Arial" w:eastAsia="Times New Roman" w:hAnsi="Arial" w:cs="Arial"/>
          <w:sz w:val="24"/>
          <w:szCs w:val="24"/>
        </w:rPr>
        <w:t xml:space="preserve"> constituye gran parte del trabajo terapéutico. Los síntomas más presentes incluyen </w:t>
      </w:r>
      <w:r>
        <w:rPr>
          <w:rFonts w:ascii="Arial" w:eastAsia="Times New Roman" w:hAnsi="Arial" w:cs="Arial"/>
          <w:bCs/>
          <w:sz w:val="24"/>
          <w:szCs w:val="24"/>
        </w:rPr>
        <w:t>ansiedad, trastornos del ánimo y síntomas derivados de estrés agudo y crónico</w:t>
      </w:r>
      <w:r>
        <w:rPr>
          <w:rFonts w:ascii="Arial" w:eastAsia="Times New Roman" w:hAnsi="Arial" w:cs="Arial"/>
          <w:sz w:val="24"/>
          <w:szCs w:val="24"/>
        </w:rPr>
        <w:t>, reforzando la necesidad de un abordaje individualizado, adaptado a cada caso y con perspectiva de género, derechos humanos e infancia.</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Además, se mantiene la particularidad de que el mayor porcentaje de mujeres atendidas son de origen extracomunitario y se encuentran en situación administrativa irregular. Todo ello supone, en el ámbito psicológico, que las mujeres llegan con una sintomatología psicológica más agravada, ya que la no regularización de su situación impide el acceso a una especialidad sanitaria que, de por sí, ya es escasa. Su situación administrativa dificulta el acceso a trámites y recursos básicos (empadronamiento, vivienda, etc.), dando lugar a dificultades para la incorporación a un trabajo normativo y, por tanto, mayor permanencia en el contexto prostitucional con el objetivo de dar cobertura tanto a sus necesidades básicas, como a las de su familia en el país de origen, lo cual dificulta la adherencia a la intervención psicológica por los factores derivados del propio contexto (consumo de sustancias, necesidades fisiológicas desreguladas (sueño, alimentación), dificultades económicas para el desplazamiento, entre otras variables).</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Asimismo, se detecta que un porcentaje</w:t>
      </w:r>
      <w:r>
        <w:rPr>
          <w:rFonts w:ascii="Arial" w:eastAsia="Times New Roman" w:hAnsi="Arial" w:cs="Arial"/>
          <w:bCs/>
          <w:sz w:val="24"/>
          <w:szCs w:val="24"/>
        </w:rPr>
        <w:t xml:space="preserve"> de usuarias (aproximadamente 20%) solicitó cita en varias ocasiones sin asistir, avisando o no</w:t>
      </w:r>
      <w:r>
        <w:rPr>
          <w:rFonts w:ascii="Arial" w:eastAsia="Times New Roman" w:hAnsi="Arial" w:cs="Arial"/>
          <w:sz w:val="24"/>
          <w:szCs w:val="24"/>
        </w:rPr>
        <w:t>, mientras que una proporción más pequeña asistió solo a la primera sesión y luego abandonó. Este dato podría considerarse en parte fisiológico para el tipo de usuarias que acceden al servicio, ya sea por dificultades logísticas o por la resistencia “normal” a un seguimiento psicológico, que a veces puede vivirse como una retraumatización o simplemente no percibirse como prioritario, o quizá la oferta del servicio no responde plenamente a la necesidad real de la usuaria. No obstante, sería interesante realizar un análisis cualitativo de este fenómeno y de sus causas con el fin de mejorar el servicio, ya sea en la fase de acogida o en el momento de la información preliminar.</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En lo relativo a la </w:t>
      </w:r>
      <w:r>
        <w:rPr>
          <w:rFonts w:ascii="Arial" w:eastAsia="Times New Roman" w:hAnsi="Arial" w:cs="Arial"/>
          <w:bCs/>
          <w:sz w:val="24"/>
          <w:szCs w:val="24"/>
        </w:rPr>
        <w:t>intervención psicológica</w:t>
      </w:r>
      <w:r>
        <w:rPr>
          <w:rFonts w:ascii="Arial" w:eastAsia="Times New Roman" w:hAnsi="Arial" w:cs="Arial"/>
          <w:sz w:val="24"/>
          <w:szCs w:val="24"/>
        </w:rPr>
        <w:t xml:space="preserve">, se ofreció atención a 45 mujeres (2 menores de edad), incluyendo psicoterapia presencial y no presencial, acompañamientos psicológicos, intervenciones en crisis y asesoramiento continuo. Además, se realizaron </w:t>
      </w:r>
      <w:r>
        <w:rPr>
          <w:rFonts w:ascii="Arial" w:eastAsia="Times New Roman" w:hAnsi="Arial" w:cs="Arial"/>
          <w:bCs/>
          <w:sz w:val="24"/>
          <w:szCs w:val="24"/>
        </w:rPr>
        <w:t>talleres grupales</w:t>
      </w:r>
      <w:r>
        <w:rPr>
          <w:rFonts w:ascii="Arial" w:eastAsia="Times New Roman" w:hAnsi="Arial" w:cs="Arial"/>
          <w:sz w:val="24"/>
          <w:szCs w:val="24"/>
        </w:rPr>
        <w:t xml:space="preserve"> (7 en total) centrados en autoestima, comunicación eficaz, construcción de relaciones sanas, afrontamiento del miedo y fortalecimiento de </w:t>
      </w:r>
      <w:r>
        <w:rPr>
          <w:rFonts w:ascii="Arial" w:eastAsia="Times New Roman" w:hAnsi="Arial" w:cs="Arial"/>
          <w:sz w:val="24"/>
          <w:szCs w:val="24"/>
        </w:rPr>
        <w:lastRenderedPageBreak/>
        <w:t>competencias transversales para la integración social y laboral. La metodología empleada combinó formación informal y experiencial, dinámicas grupales y reflexión sobre el significado de las experiencias vividas, integrando posteriormente las bases teóricas.</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El área también participó activamente en </w:t>
      </w:r>
      <w:r>
        <w:rPr>
          <w:rFonts w:ascii="Arial" w:eastAsia="Times New Roman" w:hAnsi="Arial" w:cs="Arial"/>
          <w:bCs/>
          <w:sz w:val="24"/>
          <w:szCs w:val="24"/>
        </w:rPr>
        <w:t>reuniones de coordinación</w:t>
      </w:r>
      <w:r>
        <w:rPr>
          <w:rFonts w:ascii="Arial" w:eastAsia="Times New Roman" w:hAnsi="Arial" w:cs="Arial"/>
          <w:sz w:val="24"/>
          <w:szCs w:val="24"/>
        </w:rPr>
        <w:t xml:space="preserve">, incluyendo 9 encuentros de la Red Insular de Violencia de Género y 39 reuniones técnicas internas, fomentando la articulación interdisciplinar y la mejora continua de la intervención. Asimismo, se asistió a </w:t>
      </w:r>
      <w:r>
        <w:rPr>
          <w:rFonts w:ascii="Arial" w:eastAsia="Times New Roman" w:hAnsi="Arial" w:cs="Arial"/>
          <w:bCs/>
          <w:sz w:val="24"/>
          <w:szCs w:val="24"/>
        </w:rPr>
        <w:t>formaciones internas (5)</w:t>
      </w:r>
      <w:r>
        <w:rPr>
          <w:rFonts w:ascii="Arial" w:eastAsia="Times New Roman" w:hAnsi="Arial" w:cs="Arial"/>
          <w:sz w:val="24"/>
          <w:szCs w:val="24"/>
        </w:rPr>
        <w:t xml:space="preserve"> y externas (2) para mantener actualizado al equipo y garantizar la calidad del servicio.</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En cuanto a los </w:t>
      </w:r>
      <w:r>
        <w:rPr>
          <w:rFonts w:ascii="Arial" w:eastAsia="Times New Roman" w:hAnsi="Arial" w:cs="Arial"/>
          <w:bCs/>
          <w:sz w:val="24"/>
          <w:szCs w:val="24"/>
        </w:rPr>
        <w:t>encuentros institucionales</w:t>
      </w:r>
      <w:r>
        <w:rPr>
          <w:rFonts w:ascii="Arial" w:eastAsia="Times New Roman" w:hAnsi="Arial" w:cs="Arial"/>
          <w:sz w:val="24"/>
          <w:szCs w:val="24"/>
        </w:rPr>
        <w:t>, se promovieron espacios de convivencia y trabajo en equipo, incluyendo dinámicas de grupo y actividades de team building, así como encuentros presenciales y virtuales a nivel europeo, reforzando la pertenencia y coordinación dentro de la familia Oblatas.</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Otras actuaciones relevantes incluyeron entrevistas de valoración para la incorporación a recursos de acogida, así como la intervención directa en medios abiertos de contextos de prostitución, garantizando la accesibilidad del servicio y la continuidad del vínculo con las mujeres.</w:t>
      </w:r>
    </w:p>
    <w:p>
      <w:pPr>
        <w:autoSpaceDE w:val="0"/>
        <w:autoSpaceDN w:val="0"/>
        <w:adjustRightInd w:val="0"/>
        <w:spacing w:after="0" w:line="360" w:lineRule="auto"/>
        <w:jc w:val="both"/>
        <w:rPr>
          <w:rFonts w:ascii="Arial" w:eastAsia="Times New Roman" w:hAnsi="Arial" w:cs="Arial"/>
          <w:sz w:val="24"/>
          <w:szCs w:val="24"/>
        </w:rPr>
      </w:pPr>
    </w:p>
    <w:p>
      <w:pPr>
        <w:autoSpaceDE w:val="0"/>
        <w:autoSpaceDN w:val="0"/>
        <w:adjustRightInd w:val="0"/>
        <w:spacing w:after="0" w:line="360" w:lineRule="auto"/>
        <w:jc w:val="both"/>
        <w:rPr>
          <w:rFonts w:ascii="Arial" w:eastAsia="Times New Roman" w:hAnsi="Arial" w:cs="Arial"/>
          <w:sz w:val="24"/>
          <w:szCs w:val="24"/>
        </w:rPr>
      </w:pPr>
      <w:r>
        <w:rPr>
          <w:rFonts w:ascii="Arial" w:eastAsia="Times New Roman" w:hAnsi="Arial" w:cs="Arial"/>
          <w:sz w:val="24"/>
          <w:szCs w:val="24"/>
        </w:rPr>
        <w:t>A</w:t>
      </w:r>
      <w:r>
        <w:rPr>
          <w:rFonts w:ascii="Arial" w:eastAsia="Times New Roman" w:hAnsi="Arial" w:cs="Arial"/>
          <w:bCs/>
          <w:sz w:val="24"/>
          <w:szCs w:val="24"/>
        </w:rPr>
        <w:t xml:space="preserve"> pesar de la interrupción temporal del servicio</w:t>
      </w:r>
      <w:r>
        <w:rPr>
          <w:rFonts w:ascii="Arial" w:eastAsia="Times New Roman" w:hAnsi="Arial" w:cs="Arial"/>
          <w:sz w:val="24"/>
          <w:szCs w:val="24"/>
        </w:rPr>
        <w:t xml:space="preserve">, el Área Psicológica ha logrado mantener la atención integral, personalizada y adaptada a las necesidades de las mujeres atendidas, consolidando la calidad de las intervenciones, fortaleciendo la coordinación interdisciplinar y promoviendo espacios de crecimiento y desarrollo personal tanto individual como grupal. La evaluación de los patrones de asistencia y abandono parcial resalta la importancia de </w:t>
      </w:r>
      <w:r>
        <w:rPr>
          <w:rFonts w:ascii="Arial" w:eastAsia="Times New Roman" w:hAnsi="Arial" w:cs="Arial"/>
          <w:bCs/>
          <w:sz w:val="24"/>
          <w:szCs w:val="24"/>
        </w:rPr>
        <w:t>adaptar la oferta de seguimiento y la información ofrecida</w:t>
      </w:r>
      <w:r>
        <w:rPr>
          <w:rFonts w:ascii="Arial" w:eastAsia="Times New Roman" w:hAnsi="Arial" w:cs="Arial"/>
          <w:sz w:val="24"/>
          <w:szCs w:val="24"/>
        </w:rPr>
        <w:t xml:space="preserve"> para mejorar la adherencia y la eficacia de la intervención psicológica.</w:t>
      </w:r>
    </w:p>
    <w:p>
      <w:pPr>
        <w:contextualSpacing/>
        <w:jc w:val="both"/>
        <w:rPr>
          <w:rFonts w:ascii="Arial" w:eastAsia="Times New Roman" w:hAnsi="Arial" w:cs="Arial"/>
          <w:sz w:val="24"/>
          <w:szCs w:val="24"/>
        </w:rPr>
      </w:pPr>
    </w:p>
    <w:p>
      <w:pPr>
        <w:shd w:val="clear" w:color="auto" w:fill="365F91" w:themeFill="accent1" w:themeFillShade="BF"/>
        <w:jc w:val="center"/>
        <w:outlineLvl w:val="0"/>
        <w:rPr>
          <w:rFonts w:ascii="Arial" w:hAnsi="Arial" w:cs="Arial"/>
          <w:b/>
          <w:color w:val="FFFFFF" w:themeColor="background1"/>
          <w:sz w:val="24"/>
          <w:szCs w:val="24"/>
        </w:rPr>
      </w:pPr>
      <w:r>
        <w:rPr>
          <w:rFonts w:ascii="Arial" w:hAnsi="Arial" w:cs="Arial"/>
          <w:b/>
          <w:color w:val="FFFFFF" w:themeColor="background1"/>
          <w:sz w:val="24"/>
          <w:szCs w:val="24"/>
        </w:rPr>
        <w:t>AREA JURÍDICA</w:t>
      </w:r>
    </w:p>
    <w:p>
      <w:pPr>
        <w:contextualSpacing/>
        <w:jc w:val="both"/>
        <w:rPr>
          <w:rFonts w:ascii="Arial" w:eastAsia="Times New Roman" w:hAnsi="Arial" w:cs="Arial"/>
          <w:b/>
          <w:sz w:val="24"/>
          <w:szCs w:val="24"/>
        </w:rPr>
      </w:pPr>
    </w:p>
    <w:p>
      <w:pPr>
        <w:shd w:val="clear" w:color="auto" w:fill="B2A1C7" w:themeFill="accent4" w:themeFillTint="99"/>
        <w:contextualSpacing/>
        <w:jc w:val="both"/>
        <w:rPr>
          <w:rFonts w:ascii="Arial" w:eastAsia="Times New Roman" w:hAnsi="Arial" w:cs="Arial"/>
          <w:b/>
          <w:sz w:val="24"/>
          <w:szCs w:val="24"/>
        </w:rPr>
      </w:pPr>
      <w:r>
        <w:rPr>
          <w:rFonts w:ascii="Arial" w:eastAsia="Times New Roman" w:hAnsi="Arial" w:cs="Arial"/>
          <w:b/>
          <w:sz w:val="24"/>
          <w:szCs w:val="24"/>
        </w:rPr>
        <w:t>A. OBJETIVOS GENERALES:</w:t>
      </w:r>
    </w:p>
    <w:p>
      <w:pPr>
        <w:contextualSpacing/>
        <w:jc w:val="both"/>
        <w:rPr>
          <w:rFonts w:ascii="Arial" w:eastAsia="Times New Roman" w:hAnsi="Arial" w:cs="Arial"/>
          <w:sz w:val="24"/>
          <w:szCs w:val="24"/>
        </w:rPr>
      </w:pP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Asesorar y orientar a nivel jurídico a las mujeres sobre los derechos que les asisten, garantizando el pleno ejercicio de los mismos. Apoyar e informar en los procedimientos jurídicos en los que sean parte, estableciendo en muchos casos un contacto directo con los letrados, para poder trasladar a las mujeres las dudas que se les plantean en los procedimientos judiciales.</w:t>
      </w:r>
    </w:p>
    <w:p>
      <w:pPr>
        <w:spacing w:line="360" w:lineRule="auto"/>
        <w:contextualSpacing/>
        <w:jc w:val="both"/>
        <w:rPr>
          <w:rFonts w:ascii="Arial" w:eastAsia="Times New Roman" w:hAnsi="Arial" w:cs="Arial"/>
          <w:sz w:val="24"/>
          <w:szCs w:val="24"/>
        </w:rPr>
      </w:pP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Recoger buenas y malas prácticas sobre la puesta en marcha de los mecanismos legales de detección, identificación y protección de VTSH por parte de la policía y la Administración Pública.</w:t>
      </w:r>
    </w:p>
    <w:p>
      <w:pPr>
        <w:contextualSpacing/>
        <w:jc w:val="both"/>
        <w:rPr>
          <w:rFonts w:ascii="Arial" w:eastAsia="Times New Roman" w:hAnsi="Arial" w:cs="Arial"/>
          <w:sz w:val="24"/>
          <w:szCs w:val="24"/>
        </w:rPr>
      </w:pPr>
    </w:p>
    <w:p>
      <w:pPr>
        <w:shd w:val="clear" w:color="auto" w:fill="B2A1C7" w:themeFill="accent4" w:themeFillTint="99"/>
        <w:contextualSpacing/>
        <w:jc w:val="both"/>
        <w:rPr>
          <w:rFonts w:ascii="Arial" w:eastAsia="Times New Roman" w:hAnsi="Arial" w:cs="Arial"/>
          <w:b/>
          <w:sz w:val="24"/>
          <w:szCs w:val="24"/>
        </w:rPr>
      </w:pPr>
      <w:r>
        <w:rPr>
          <w:rFonts w:ascii="Arial" w:eastAsia="Times New Roman" w:hAnsi="Arial" w:cs="Arial"/>
          <w:b/>
          <w:sz w:val="24"/>
          <w:szCs w:val="24"/>
        </w:rPr>
        <w:t>B.</w:t>
      </w:r>
      <w:r>
        <w:rPr>
          <w:rFonts w:ascii="Arial" w:eastAsia="Times New Roman" w:hAnsi="Arial" w:cs="Arial"/>
          <w:b/>
          <w:sz w:val="24"/>
          <w:szCs w:val="24"/>
        </w:rPr>
        <w:tab/>
        <w:t>OBJETIVOS ESPECÍFICOS.</w:t>
      </w:r>
    </w:p>
    <w:p>
      <w:pPr>
        <w:contextualSpacing/>
        <w:jc w:val="both"/>
        <w:rPr>
          <w:rFonts w:ascii="Arial" w:eastAsia="Times New Roman" w:hAnsi="Arial" w:cs="Arial"/>
          <w:sz w:val="24"/>
          <w:szCs w:val="24"/>
        </w:rPr>
      </w:pP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Prestar asesoramiento jurídico a las mujeres que acuden a nuestro proyecto.</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Favorecer que los derechos de la mujer se puedan ejercer en su plenitud.</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Realizar seguimiento de los derechos que amparan a la mujer en virtud del art. 59 bis) LOEX.</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Realizar seguimiento de los derechos que aparan a la mujer en virtud del Estatuto de la víctima.</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Difusión de datos, estadísticas, resúmenes de informes de organismos, entidades especialistas en la temática.</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Detectar la vulneración de derechos para denunciar ante los organismos pertinentes.</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Apoyar las acciones que se organicen en Gran Canaria en contra de la vulneración de derechos de víctimas de Violencia de género.</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 Colaboración y coordinación con las entidades especialistas en la materia. </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 Asesorar jurídicamente y mantener actualizado al equipo técnico del programa en las modificaciones operadas en la legislación que pueda afectar a VG y VTSH, como el nuevo Reglamento de Extranjería. </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 Formación del área jurídica con el objetivo de mantenerse actualizado en todos los temas que tengan relación con el perfil de las usuarias de nuestro proyecto (Violencia </w:t>
      </w:r>
      <w:r>
        <w:rPr>
          <w:rFonts w:ascii="Arial" w:eastAsia="Times New Roman" w:hAnsi="Arial" w:cs="Arial"/>
          <w:sz w:val="24"/>
          <w:szCs w:val="24"/>
        </w:rPr>
        <w:lastRenderedPageBreak/>
        <w:t>de Género, Prostitución, Migración, Víctimas de Trata de Seres Humanos con fines de explotación sexual).</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Sensibilización a distintos colectivos sobre la Trata de Seres Humanos con fines de Explotación Sexual y protección jurídica a las víctimas de la trata a través de la impartición y participación en talleres y charlas.</w:t>
      </w:r>
    </w:p>
    <w:p>
      <w:pPr>
        <w:spacing w:line="360" w:lineRule="auto"/>
        <w:contextualSpacing/>
        <w:jc w:val="both"/>
        <w:rPr>
          <w:rFonts w:ascii="Arial" w:eastAsia="Times New Roman" w:hAnsi="Arial" w:cs="Arial"/>
          <w:sz w:val="24"/>
          <w:szCs w:val="24"/>
        </w:rPr>
      </w:pPr>
      <w:r>
        <w:rPr>
          <w:rFonts w:ascii="Arial" w:eastAsia="Times New Roman" w:hAnsi="Arial" w:cs="Arial"/>
          <w:sz w:val="24"/>
          <w:szCs w:val="24"/>
        </w:rPr>
        <w:t>- Sensibilizar sobre los derechos que asisten a las víctimas de violencia de género en virtud de la Ley Orgánica 1/2004 de Medidas de Protección Integral contra la Violencia de Género, mediante la elaboración de talleres o charlas.</w:t>
      </w:r>
    </w:p>
    <w:p>
      <w:pPr>
        <w:contextualSpacing/>
        <w:jc w:val="both"/>
        <w:rPr>
          <w:rFonts w:ascii="Arial" w:eastAsia="Times New Roman" w:hAnsi="Arial" w:cs="Arial"/>
          <w:sz w:val="24"/>
          <w:szCs w:val="24"/>
        </w:rPr>
      </w:pPr>
    </w:p>
    <w:p>
      <w:pPr>
        <w:shd w:val="clear" w:color="auto" w:fill="B2A1C7" w:themeFill="accent4" w:themeFillTint="99"/>
        <w:contextualSpacing/>
        <w:jc w:val="both"/>
        <w:outlineLvl w:val="0"/>
        <w:rPr>
          <w:rFonts w:ascii="Arial" w:eastAsia="Times New Roman" w:hAnsi="Arial" w:cs="Arial"/>
          <w:b/>
          <w:sz w:val="24"/>
          <w:szCs w:val="24"/>
        </w:rPr>
      </w:pPr>
      <w:r>
        <w:rPr>
          <w:rFonts w:ascii="Arial" w:eastAsia="Times New Roman" w:hAnsi="Arial" w:cs="Arial"/>
          <w:b/>
          <w:sz w:val="24"/>
          <w:szCs w:val="24"/>
        </w:rPr>
        <w:t>C.-  DESCRIPCIÓN DE LA POBLACIÓN ATENDIDA</w:t>
      </w:r>
    </w:p>
    <w:p>
      <w:pPr>
        <w:contextualSpacing/>
        <w:jc w:val="both"/>
        <w:rPr>
          <w:rFonts w:ascii="Arial" w:eastAsia="Times New Roman" w:hAnsi="Arial" w:cs="Arial"/>
          <w:sz w:val="24"/>
          <w:szCs w:val="24"/>
        </w:rPr>
      </w:pPr>
    </w:p>
    <w:p>
      <w:pPr>
        <w:contextualSpacing/>
        <w:jc w:val="both"/>
        <w:rPr>
          <w:rFonts w:ascii="Arial" w:eastAsia="Times New Roman" w:hAnsi="Arial" w:cs="Arial"/>
          <w:sz w:val="24"/>
          <w:szCs w:val="24"/>
        </w:rPr>
      </w:pPr>
    </w:p>
    <w:tbl>
      <w:tblPr>
        <w:tblStyle w:val="Tablaconcuadrcula83"/>
        <w:tblW w:w="8788" w:type="dxa"/>
        <w:tblInd w:w="421" w:type="dxa"/>
        <w:tblLook w:val="04A0" w:firstRow="1" w:lastRow="0" w:firstColumn="1" w:lastColumn="0" w:noHBand="0" w:noVBand="1"/>
      </w:tblPr>
      <w:tblGrid>
        <w:gridCol w:w="4677"/>
        <w:gridCol w:w="4111"/>
      </w:tblGrid>
      <w:tr>
        <w:tc>
          <w:tcPr>
            <w:tcW w:w="4677" w:type="dxa"/>
            <w:shd w:val="clear" w:color="auto" w:fill="DDD9C3" w:themeFill="background2" w:themeFillShade="E6"/>
            <w:vAlign w:val="center"/>
          </w:tcPr>
          <w:p>
            <w:pPr>
              <w:jc w:val="center"/>
              <w:rPr>
                <w:rFonts w:ascii="Arial" w:eastAsia="Times New Roman" w:hAnsi="Arial" w:cs="Arial"/>
                <w:b/>
                <w:sz w:val="24"/>
                <w:szCs w:val="24"/>
              </w:rPr>
            </w:pPr>
            <w:r>
              <w:rPr>
                <w:rFonts w:ascii="Arial" w:eastAsia="Times New Roman" w:hAnsi="Arial" w:cs="Arial"/>
                <w:b/>
                <w:sz w:val="24"/>
                <w:szCs w:val="24"/>
              </w:rPr>
              <w:t xml:space="preserve">Número de mujeres atendidas </w:t>
            </w:r>
          </w:p>
        </w:tc>
        <w:tc>
          <w:tcPr>
            <w:tcW w:w="4111" w:type="dxa"/>
            <w:shd w:val="clear" w:color="auto" w:fill="DDD9C3" w:themeFill="background2" w:themeFillShade="E6"/>
            <w:vAlign w:val="center"/>
          </w:tcPr>
          <w:p>
            <w:pPr>
              <w:jc w:val="center"/>
              <w:rPr>
                <w:rFonts w:ascii="Arial" w:eastAsia="Times New Roman" w:hAnsi="Arial" w:cs="Arial"/>
                <w:b/>
                <w:sz w:val="24"/>
                <w:szCs w:val="24"/>
              </w:rPr>
            </w:pPr>
            <w:r>
              <w:rPr>
                <w:rFonts w:ascii="Arial" w:eastAsia="Times New Roman" w:hAnsi="Arial" w:cs="Arial"/>
                <w:b/>
                <w:sz w:val="24"/>
                <w:szCs w:val="24"/>
              </w:rPr>
              <w:t xml:space="preserve"> 60 mujeres</w:t>
            </w:r>
          </w:p>
        </w:tc>
      </w:tr>
    </w:tbl>
    <w:p>
      <w:pPr>
        <w:contextualSpacing/>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En su mayoría, las mujeres atendidas han sido de nacionalidad extranjera procedentes de países fuera de la Unión Europea, sobre todo de América Latina (Colombia, principalmente). 20 mujeres (el 15 % de las mujeres atendidas en el Proyecto Daniela Participa en 2025) han sido identificadas como víctimas de trata. Como denominador común, las mujeres tienen cargas familiares y son el sostén económico de sus familias de origen, las cuales dependen en gran medida de los ingresos que ellas obtengan, lo que supone una presión añadida a la ya de por sí situación de extrema vulnerabilidad.   </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Estas mujeres acceden a España con visado de turista y, tras la pérdida de vigencia del mismo, pasan a situación administrativa irregular. En el momento que las Fuerzas y Cuerpos de Seguridad del Estado correspondiente, les otorga su condición de Víctimas de Trata de Seres Humanos, se les tramita la documentación para regularizar su situación (Permiso de residencia y trabajo por circunstancias excepcionales). En los supuestos en que no son identificadas como VTSH, se les tramita desde el área jurídica su documentación, siempre y cuando reúnan los requisitos legales exigidos. También se lleva a cabo una estrecha colaboración con </w:t>
      </w:r>
      <w:r>
        <w:rPr>
          <w:rFonts w:ascii="Arial" w:eastAsia="Times New Roman" w:hAnsi="Arial" w:cs="Arial"/>
          <w:sz w:val="24"/>
          <w:szCs w:val="24"/>
        </w:rPr>
        <w:lastRenderedPageBreak/>
        <w:t>otras entidades especializadas, mayormente con CEAR, para la tramitación de la solicitud de protección internacional y asilo.</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Las demandas iniciales presentadas por cada mujer evolucionaron a lo largo del año con un índice alto de obtención de resoluciones positivas en cuanto a concesión de permiso inicial de residencia y trabajos para VTSH. Asimismo, se tramitaron permisos para víctimas de violencia de género y otras autorizaciones de residencia temporal, con idéntica evolución. </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En el año 2025, se realiza un total de </w:t>
      </w:r>
      <w:r>
        <w:rPr>
          <w:rFonts w:ascii="Arial" w:eastAsia="Times New Roman" w:hAnsi="Arial" w:cs="Arial"/>
          <w:b/>
          <w:sz w:val="24"/>
          <w:szCs w:val="24"/>
          <w:u w:val="single"/>
        </w:rPr>
        <w:t>236 acciones</w:t>
      </w:r>
      <w:r>
        <w:rPr>
          <w:rFonts w:ascii="Arial" w:eastAsia="Times New Roman" w:hAnsi="Arial" w:cs="Arial"/>
          <w:sz w:val="24"/>
          <w:szCs w:val="24"/>
        </w:rPr>
        <w:t xml:space="preserve"> que se concretan en atenciones presenciales, telefónicas, coordinaciones y acompañamientos.</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Presenciales: 99</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Telefónicas: 65</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Coordinaciones: 45</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Acompañamientos: 27</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En cuanto a las ramas del Derecho que se aborda con las mujeres, se realizan diferentes entrevistas con las solicitantes en las distintas áreas: </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u w:val="single"/>
        </w:rPr>
      </w:pPr>
      <w:r>
        <w:rPr>
          <w:rFonts w:ascii="Arial" w:eastAsia="Times New Roman" w:hAnsi="Arial" w:cs="Arial"/>
          <w:sz w:val="24"/>
          <w:szCs w:val="24"/>
          <w:u w:val="single"/>
        </w:rPr>
        <w:t>DERECHO DE EXTRANJERÍA</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Asesoramiento sobre solicitud de permisos de residencia y trabajo, arraigo socioformativo y laboral, renovaciones y modificaciones de autorizaciones.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Tramitación de tarjeta de identificación de extranjeros.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Asesoramiento sobre retorno voluntario.</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Asesoramiento sobre la protección a las VTSH del artículo 59. Bis) LOEX: periodo de reflexión y restablecimiento, derechos de las mujeres y de sus hijos, seguimiento e información a la mujer de cada fase de su procedimiento.</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lastRenderedPageBreak/>
        <w:t>- Asesoramiento sobre protección internacional.</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Gestiones y acompañamientos a trámites.</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u w:val="single"/>
        </w:rPr>
      </w:pPr>
      <w:r>
        <w:rPr>
          <w:rFonts w:ascii="Arial" w:eastAsia="Times New Roman" w:hAnsi="Arial" w:cs="Arial"/>
          <w:sz w:val="24"/>
          <w:szCs w:val="24"/>
          <w:u w:val="single"/>
        </w:rPr>
        <w:t>DERECHO CIVIL Y DE FAMILIA</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-Asesoramiento en materia de divorcio y parejas de hecho.</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-Asesoramiento en derechos y deberes paterno filiales, tales como derecho de visitas, guarda y custodia, patria potestad y pensión alimenticia.</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Asesoramiento para solicitud de nacionalidad española.</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Consultas sobre validez y eficacia de documentos y poderes otorgados en el extranjero.</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Consultas sobre exequatur.</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Reclamaciones de cantidad.</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Asesoramiento sobre contratos de arrendamiento de vivienda y procedimientos de desahucio.</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 Consultas sobre Comunidades de Propietarios. </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Gestiones y acompañamiento a trámites.</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u w:val="single"/>
        </w:rPr>
      </w:pPr>
      <w:r>
        <w:rPr>
          <w:rFonts w:ascii="Arial" w:eastAsia="Times New Roman" w:hAnsi="Arial" w:cs="Arial"/>
          <w:sz w:val="24"/>
          <w:szCs w:val="24"/>
          <w:u w:val="single"/>
        </w:rPr>
        <w:t>DERECHO PENAL</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 Consultas sobre delitos de violencia contra las mujeres, violencia sexual, lesiones, ejecutorias en trámite tras la sentencia firme, etc., Se ha realizado coordinación y seguimiento con letrados y letradas del turno de oficio asignados a las mujeres en sus procedimientos, así como acompañamiento al Juzgado. </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Consultas sobre órdenes de protección y otras medidas cautelares adoptadas en juzgados de Violencia sobre la Mujer.</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 Seguimiento de los asuntos judicializados, informando a cada mujer acerca de su tramitación, pasos a seguir, plazos, recursos y cualquier duda acerca de ellos, en estrecha colaboración con otros agentes intervinientes.  </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Consultas sobre cancelación de antecedentes penales.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Consultas sobre responsabilidad civil derivada del delito de TSH.</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u w:val="single"/>
        </w:rPr>
      </w:pPr>
      <w:r>
        <w:rPr>
          <w:rFonts w:ascii="Arial" w:eastAsia="Times New Roman" w:hAnsi="Arial" w:cs="Arial"/>
          <w:sz w:val="24"/>
          <w:szCs w:val="24"/>
          <w:u w:val="single"/>
        </w:rPr>
        <w:t>DERECHO LABORAL</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lastRenderedPageBreak/>
        <w:t>- Información sobre derechos laborales básicos: salario, jornada, descansos, vacaciones, etc.</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Consultas relativas a contratos de trabajo, despidos, pensiones e incapacidades.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Gestiones y acompañamientos a trámites.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 </w:t>
      </w:r>
    </w:p>
    <w:p>
      <w:pPr>
        <w:spacing w:after="0" w:line="360" w:lineRule="auto"/>
        <w:ind w:left="360"/>
        <w:jc w:val="both"/>
        <w:rPr>
          <w:rFonts w:ascii="Arial" w:eastAsia="Times New Roman" w:hAnsi="Arial" w:cs="Arial"/>
          <w:sz w:val="24"/>
          <w:szCs w:val="24"/>
          <w:u w:val="single"/>
        </w:rPr>
      </w:pPr>
      <w:r>
        <w:rPr>
          <w:rFonts w:ascii="Arial" w:eastAsia="Times New Roman" w:hAnsi="Arial" w:cs="Arial"/>
          <w:sz w:val="24"/>
          <w:szCs w:val="24"/>
          <w:u w:val="single"/>
        </w:rPr>
        <w:t>DERECHO ADMINISTRATIVO</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 Redacción de escritos de alegaciones en fase administrativa. </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 Asesoramiento sobre acceso a la vía contencioso-administrativa. </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Preparación de alegaciones y recursos de reposición contra resoluciones de la administración local (Ayuntamientos), contra resoluciones del Servicio Canario de Salud, etc.</w:t>
      </w:r>
    </w:p>
    <w:p>
      <w:pPr>
        <w:spacing w:after="0" w:line="360" w:lineRule="auto"/>
        <w:ind w:left="360"/>
        <w:jc w:val="both"/>
        <w:rPr>
          <w:rFonts w:ascii="Arial" w:eastAsia="Times New Roman" w:hAnsi="Arial" w:cs="Arial"/>
          <w:sz w:val="24"/>
          <w:szCs w:val="24"/>
        </w:rPr>
      </w:pP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xml:space="preserve">En concreto, se ha dado cobertura a las demandas realizadas por las mujeres, distribuidas de la siguiente manera: </w:t>
      </w:r>
    </w:p>
    <w:p>
      <w:pPr>
        <w:spacing w:after="0"/>
        <w:ind w:left="360"/>
        <w:jc w:val="both"/>
        <w:rPr>
          <w:rFonts w:ascii="Arial" w:eastAsia="Times New Roman" w:hAnsi="Arial" w:cs="Arial"/>
          <w:sz w:val="24"/>
          <w:szCs w:val="24"/>
        </w:rPr>
      </w:pPr>
    </w:p>
    <w:p>
      <w:pPr>
        <w:ind w:left="720"/>
        <w:jc w:val="center"/>
        <w:rPr>
          <w:rFonts w:ascii="Arial" w:eastAsia="Times New Roman" w:hAnsi="Arial" w:cs="Arial"/>
          <w:sz w:val="24"/>
          <w:szCs w:val="24"/>
        </w:rPr>
      </w:pPr>
      <w:r>
        <w:rPr>
          <w:rFonts w:ascii="Arial" w:eastAsia="Times New Roman" w:hAnsi="Arial" w:cs="Arial"/>
          <w:noProof/>
          <w:sz w:val="24"/>
          <w:szCs w:val="24"/>
          <w:lang w:eastAsia="es-ES"/>
        </w:rPr>
        <w:drawing>
          <wp:inline distT="0" distB="0" distL="0" distR="0">
            <wp:extent cx="4975860" cy="3139440"/>
            <wp:effectExtent l="0" t="0" r="15240" b="3810"/>
            <wp:docPr id="63" name="Gráfico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contextualSpacing/>
        <w:jc w:val="both"/>
        <w:rPr>
          <w:rFonts w:ascii="Arial" w:eastAsia="Times New Roman" w:hAnsi="Arial" w:cs="Arial"/>
          <w:b/>
          <w:sz w:val="24"/>
          <w:szCs w:val="24"/>
        </w:rPr>
      </w:pPr>
    </w:p>
    <w:p>
      <w:pPr>
        <w:shd w:val="clear" w:color="auto" w:fill="B2A1C7" w:themeFill="accent4" w:themeFillTint="99"/>
        <w:contextualSpacing/>
        <w:jc w:val="both"/>
        <w:outlineLvl w:val="0"/>
        <w:rPr>
          <w:rFonts w:ascii="Arial" w:eastAsia="Times New Roman" w:hAnsi="Arial" w:cs="Arial"/>
          <w:b/>
          <w:sz w:val="24"/>
          <w:szCs w:val="24"/>
        </w:rPr>
      </w:pPr>
      <w:r>
        <w:rPr>
          <w:rFonts w:ascii="Arial" w:eastAsia="Times New Roman" w:hAnsi="Arial" w:cs="Arial"/>
          <w:b/>
          <w:sz w:val="24"/>
          <w:szCs w:val="24"/>
        </w:rPr>
        <w:t>D.- ACTIVIDADES REALIZADAS</w:t>
      </w:r>
    </w:p>
    <w:p>
      <w:pPr>
        <w:contextualSpacing/>
        <w:jc w:val="both"/>
        <w:rPr>
          <w:rFonts w:ascii="Arial" w:eastAsia="Times New Roman" w:hAnsi="Arial" w:cs="Arial"/>
          <w:b/>
          <w:sz w:val="24"/>
          <w:szCs w:val="24"/>
        </w:rPr>
      </w:pPr>
    </w:p>
    <w:p>
      <w:pPr>
        <w:spacing w:line="360" w:lineRule="auto"/>
        <w:jc w:val="both"/>
        <w:rPr>
          <w:rFonts w:ascii="Arial" w:eastAsia="Times New Roman" w:hAnsi="Arial" w:cs="Arial"/>
          <w:sz w:val="24"/>
          <w:szCs w:val="24"/>
        </w:rPr>
      </w:pPr>
      <w:r>
        <w:rPr>
          <w:rFonts w:ascii="Arial" w:eastAsia="Times New Roman" w:hAnsi="Arial" w:cs="Arial"/>
          <w:sz w:val="24"/>
          <w:szCs w:val="24"/>
        </w:rPr>
        <w:lastRenderedPageBreak/>
        <w:t>Se detallan las actividades realizadas en el año 2025, en relación con los objetivos del proyecto:</w:t>
      </w:r>
    </w:p>
    <w:p>
      <w:pPr>
        <w:spacing w:after="0" w:line="360" w:lineRule="auto"/>
        <w:jc w:val="both"/>
        <w:rPr>
          <w:rFonts w:ascii="Arial" w:eastAsia="Times New Roman" w:hAnsi="Arial" w:cs="Arial"/>
          <w:b/>
          <w:sz w:val="24"/>
          <w:szCs w:val="24"/>
        </w:rPr>
      </w:pPr>
      <w:r>
        <w:rPr>
          <w:rFonts w:ascii="Arial" w:eastAsia="Times New Roman" w:hAnsi="Arial" w:cs="Arial"/>
          <w:b/>
          <w:sz w:val="24"/>
          <w:szCs w:val="24"/>
        </w:rPr>
        <w:t>Intervenir de forma integral, con las mujeres y menores en riesgo o víctimas de violencia de género, especialmente por prostitución y/o trata con fines de explotación sexual que lo soliciten.</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Durante el año 2025 se ha de destacar la intervención jurídica en los siguientes ámbitos: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Atender las demandas de asesoramiento jurídico de las mujeres que vienen a nuestra sede, buscando información y orientación en los procedimientos legales.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Acompañamiento a mujeres a citas y comparecencias en sede policial, judicial, entre otras.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Asesoramiento y acompañamiento en procedimientos penales.</w:t>
      </w:r>
    </w:p>
    <w:p>
      <w:pPr>
        <w:spacing w:after="0" w:line="360" w:lineRule="auto"/>
        <w:ind w:left="360"/>
        <w:jc w:val="both"/>
        <w:rPr>
          <w:rFonts w:ascii="Arial" w:eastAsia="Times New Roman" w:hAnsi="Arial" w:cs="Arial"/>
          <w:sz w:val="24"/>
          <w:szCs w:val="24"/>
        </w:rPr>
      </w:pPr>
      <w:r>
        <w:rPr>
          <w:rFonts w:ascii="Arial" w:eastAsia="Times New Roman" w:hAnsi="Arial" w:cs="Arial"/>
          <w:sz w:val="24"/>
          <w:szCs w:val="24"/>
        </w:rPr>
        <w:t>- Preparación de documentación y gestión directa de los trámites de expedientes de extranjería.</w:t>
      </w:r>
    </w:p>
    <w:p>
      <w:pPr>
        <w:spacing w:after="0" w:line="360" w:lineRule="auto"/>
        <w:ind w:left="360"/>
        <w:jc w:val="both"/>
        <w:rPr>
          <w:rFonts w:ascii="Arial" w:eastAsia="Times New Roman" w:hAnsi="Arial" w:cs="Arial"/>
          <w:sz w:val="24"/>
          <w:szCs w:val="24"/>
        </w:rPr>
      </w:pPr>
    </w:p>
    <w:p>
      <w:pPr>
        <w:spacing w:line="360" w:lineRule="auto"/>
        <w:jc w:val="both"/>
        <w:rPr>
          <w:rFonts w:ascii="Arial" w:eastAsia="Times New Roman" w:hAnsi="Arial" w:cs="Arial"/>
          <w:sz w:val="24"/>
          <w:szCs w:val="24"/>
        </w:rPr>
      </w:pPr>
      <w:r>
        <w:rPr>
          <w:rFonts w:ascii="Arial" w:eastAsia="Times New Roman" w:hAnsi="Arial" w:cs="Arial"/>
          <w:b/>
          <w:sz w:val="24"/>
          <w:szCs w:val="24"/>
        </w:rPr>
        <w:t>Asesoramiento e información en materia jurídica al Equipo Técnico del Programa</w:t>
      </w:r>
      <w:r>
        <w:rPr>
          <w:rFonts w:ascii="Arial" w:eastAsia="Times New Roman" w:hAnsi="Arial" w:cs="Arial"/>
          <w:sz w:val="24"/>
          <w:szCs w:val="24"/>
        </w:rPr>
        <w:t xml:space="preserve">, así como al Equipo del Proyecto La Casita que tiene la Congregación de Oblatas del Santísimo Redentor en Tenerife. </w:t>
      </w:r>
    </w:p>
    <w:p>
      <w:pPr>
        <w:spacing w:line="360" w:lineRule="auto"/>
        <w:jc w:val="both"/>
        <w:rPr>
          <w:rFonts w:ascii="Arial" w:eastAsia="Times New Roman" w:hAnsi="Arial" w:cs="Arial"/>
          <w:sz w:val="24"/>
          <w:szCs w:val="24"/>
        </w:rPr>
      </w:pPr>
      <w:r>
        <w:rPr>
          <w:rFonts w:ascii="Arial" w:eastAsia="Times New Roman" w:hAnsi="Arial" w:cs="Arial"/>
          <w:b/>
          <w:sz w:val="24"/>
          <w:szCs w:val="24"/>
        </w:rPr>
        <w:t>Visibilizar, informar y orientar en la lucha para la erradicación de la violencia de género por prostitución y/o TSH con fines de explotación, mediante la difusión, exposición y dinamización en otros espacios profesionales y a la sociedad civil.</w:t>
      </w:r>
      <w:r>
        <w:rPr>
          <w:rFonts w:ascii="Arial" w:eastAsia="Times New Roman" w:hAnsi="Arial" w:cs="Arial"/>
          <w:sz w:val="24"/>
          <w:szCs w:val="24"/>
        </w:rPr>
        <w:t xml:space="preserve">  </w:t>
      </w:r>
    </w:p>
    <w:p>
      <w:pPr>
        <w:spacing w:after="160" w:line="360" w:lineRule="auto"/>
        <w:jc w:val="both"/>
        <w:rPr>
          <w:rFonts w:ascii="Arial" w:hAnsi="Arial" w:cs="Arial"/>
          <w:sz w:val="24"/>
          <w:szCs w:val="24"/>
        </w:rPr>
      </w:pPr>
      <w:r>
        <w:rPr>
          <w:rFonts w:ascii="Arial" w:hAnsi="Arial" w:cs="Arial"/>
          <w:sz w:val="24"/>
          <w:szCs w:val="24"/>
        </w:rPr>
        <w:t>A lo largo del año, se participa en reuniones con los representantes de distintas entidades, organismos públicos y Fuerzas y Cuerpos de Seguridad del Estado. Entre otras, se destacan las siguientes:</w:t>
      </w:r>
    </w:p>
    <w:p>
      <w:pPr>
        <w:spacing w:after="160" w:line="360" w:lineRule="auto"/>
        <w:jc w:val="both"/>
        <w:rPr>
          <w:rFonts w:ascii="Arial" w:hAnsi="Arial" w:cs="Arial"/>
          <w:sz w:val="24"/>
          <w:szCs w:val="24"/>
        </w:rPr>
      </w:pPr>
      <w:r>
        <w:rPr>
          <w:rFonts w:ascii="Arial" w:hAnsi="Arial" w:cs="Arial"/>
          <w:sz w:val="24"/>
          <w:szCs w:val="24"/>
        </w:rPr>
        <w:t>- Mesa de Migraciones convocada por Pastoral de Migraciones (26 de mayo  y 17 de noviembre de 2025)</w:t>
      </w:r>
    </w:p>
    <w:p>
      <w:pPr>
        <w:spacing w:after="160" w:line="360" w:lineRule="auto"/>
        <w:jc w:val="both"/>
        <w:rPr>
          <w:rFonts w:ascii="Arial" w:hAnsi="Arial" w:cs="Arial"/>
          <w:sz w:val="24"/>
          <w:szCs w:val="24"/>
        </w:rPr>
      </w:pPr>
      <w:r>
        <w:rPr>
          <w:rFonts w:ascii="Arial" w:hAnsi="Arial" w:cs="Arial"/>
          <w:sz w:val="24"/>
          <w:szCs w:val="24"/>
        </w:rPr>
        <w:t>- Reunión del grupo “EnRed.Contigo” en la sede de Centro Lugo (Cáritas) el 20 de marzo de 2025.</w:t>
      </w:r>
    </w:p>
    <w:p>
      <w:pPr>
        <w:spacing w:after="160" w:line="360" w:lineRule="auto"/>
        <w:jc w:val="both"/>
        <w:rPr>
          <w:rFonts w:ascii="Arial" w:hAnsi="Arial" w:cs="Arial"/>
          <w:sz w:val="24"/>
          <w:szCs w:val="24"/>
        </w:rPr>
      </w:pPr>
      <w:r>
        <w:rPr>
          <w:rFonts w:ascii="Arial" w:hAnsi="Arial" w:cs="Arial"/>
          <w:sz w:val="24"/>
          <w:szCs w:val="24"/>
        </w:rPr>
        <w:lastRenderedPageBreak/>
        <w:t>- Reuniones convocadas por la Red del Cabildo de Gran Canaria (21 de febrero, 20 de junio,26 de septiembre y 28 de noviembre de 2025).</w:t>
      </w:r>
    </w:p>
    <w:p>
      <w:pPr>
        <w:spacing w:after="160" w:line="360" w:lineRule="auto"/>
        <w:jc w:val="both"/>
        <w:rPr>
          <w:rFonts w:ascii="Arial" w:hAnsi="Arial" w:cs="Arial"/>
          <w:sz w:val="24"/>
          <w:szCs w:val="24"/>
        </w:rPr>
      </w:pPr>
      <w:r>
        <w:rPr>
          <w:rFonts w:ascii="Arial" w:hAnsi="Arial" w:cs="Arial"/>
          <w:sz w:val="24"/>
          <w:szCs w:val="24"/>
        </w:rPr>
        <w:t>- Tres reuniones con UCRIF de la Policía Nacional en Comisaría de Las Palmas (25 de abril, 22 de julio y 22 de octubre de 2025)</w:t>
      </w:r>
    </w:p>
    <w:p>
      <w:pPr>
        <w:spacing w:after="160" w:line="360" w:lineRule="auto"/>
        <w:jc w:val="both"/>
        <w:rPr>
          <w:rFonts w:ascii="Arial" w:hAnsi="Arial" w:cs="Arial"/>
          <w:sz w:val="24"/>
          <w:szCs w:val="24"/>
        </w:rPr>
      </w:pPr>
      <w:r>
        <w:rPr>
          <w:rFonts w:ascii="Arial" w:hAnsi="Arial" w:cs="Arial"/>
          <w:sz w:val="24"/>
          <w:szCs w:val="24"/>
        </w:rPr>
        <w:t xml:space="preserve">- Dos reuniones con Grupo Especializado de Trata de la Guardia Civil de Las Palmas en la sede del Programa Oblatas Daniela a lo largo del año. </w:t>
      </w:r>
    </w:p>
    <w:p>
      <w:pPr>
        <w:spacing w:after="160" w:line="360" w:lineRule="auto"/>
        <w:jc w:val="both"/>
        <w:rPr>
          <w:rFonts w:ascii="Arial" w:hAnsi="Arial" w:cs="Arial"/>
          <w:sz w:val="24"/>
          <w:szCs w:val="24"/>
        </w:rPr>
      </w:pPr>
      <w:r>
        <w:rPr>
          <w:rFonts w:ascii="Arial" w:hAnsi="Arial" w:cs="Arial"/>
          <w:sz w:val="24"/>
          <w:szCs w:val="24"/>
        </w:rPr>
        <w:t>- Reunión con el Consulado de Colombia en Las Palmas, el 8 de octubre de 2025.</w:t>
      </w:r>
    </w:p>
    <w:p>
      <w:pPr>
        <w:spacing w:after="160" w:line="360" w:lineRule="auto"/>
        <w:jc w:val="both"/>
        <w:rPr>
          <w:rFonts w:ascii="Arial" w:hAnsi="Arial" w:cs="Arial"/>
          <w:sz w:val="24"/>
          <w:szCs w:val="24"/>
        </w:rPr>
      </w:pPr>
      <w:r>
        <w:rPr>
          <w:rFonts w:ascii="Arial" w:hAnsi="Arial" w:cs="Arial"/>
          <w:sz w:val="24"/>
          <w:szCs w:val="24"/>
        </w:rPr>
        <w:t>- Reunión con el Interlocutor Social Nacional de UCRIF y entidades especializadas el 5 de noviembre de 2025, en la Comisaría Centro de Las Palmas.</w:t>
      </w:r>
    </w:p>
    <w:p>
      <w:pPr>
        <w:spacing w:after="160" w:line="360" w:lineRule="auto"/>
        <w:jc w:val="both"/>
        <w:rPr>
          <w:rFonts w:ascii="Arial" w:hAnsi="Arial" w:cs="Arial"/>
          <w:sz w:val="24"/>
          <w:szCs w:val="24"/>
        </w:rPr>
      </w:pPr>
      <w:r>
        <w:rPr>
          <w:rFonts w:ascii="Arial" w:hAnsi="Arial" w:cs="Arial"/>
          <w:sz w:val="24"/>
          <w:szCs w:val="24"/>
        </w:rPr>
        <w:t xml:space="preserve">- Reunión con Fiscal Delegada para Extranjería en Las Palmas, doña Teseida Garcia, en la sede de fiscalía, el 27 de noviembre de 2025, junto con otras entidades especializadas. </w:t>
      </w:r>
    </w:p>
    <w:p>
      <w:pPr>
        <w:spacing w:after="160" w:line="360" w:lineRule="auto"/>
        <w:jc w:val="both"/>
        <w:rPr>
          <w:rFonts w:ascii="Arial" w:hAnsi="Arial" w:cs="Arial"/>
          <w:sz w:val="24"/>
          <w:szCs w:val="24"/>
        </w:rPr>
      </w:pPr>
      <w:r>
        <w:rPr>
          <w:rFonts w:ascii="Arial" w:hAnsi="Arial" w:cs="Arial"/>
          <w:sz w:val="24"/>
          <w:szCs w:val="24"/>
        </w:rPr>
        <w:t>- Reunión con grupo de extranjería y trata de la Comisaría de Policía Nacional de Puerto del Rosario (Fuerteventura), el 2 de diciembre de 2025, en las dependencias de Puerto del Rosario.</w:t>
      </w:r>
    </w:p>
    <w:p>
      <w:pPr>
        <w:spacing w:after="0" w:line="360" w:lineRule="auto"/>
        <w:jc w:val="both"/>
        <w:rPr>
          <w:rFonts w:ascii="Arial" w:hAnsi="Arial" w:cs="Arial"/>
          <w:sz w:val="24"/>
          <w:szCs w:val="24"/>
        </w:rPr>
      </w:pPr>
    </w:p>
    <w:p>
      <w:pPr>
        <w:spacing w:after="0" w:line="360" w:lineRule="auto"/>
        <w:jc w:val="both"/>
        <w:rPr>
          <w:rFonts w:ascii="Arial" w:eastAsia="Times New Roman" w:hAnsi="Arial" w:cs="Arial"/>
          <w:b/>
          <w:sz w:val="24"/>
          <w:szCs w:val="24"/>
        </w:rPr>
      </w:pPr>
      <w:r>
        <w:rPr>
          <w:rFonts w:ascii="Arial" w:eastAsia="Times New Roman" w:hAnsi="Arial" w:cs="Arial"/>
          <w:b/>
          <w:sz w:val="24"/>
          <w:szCs w:val="24"/>
        </w:rPr>
        <w:t>Adquirir y profundizar, como equipo especializado del Programa Oblatas Daniela, en conocimientos y herramientas para la intervención integral e interdisciplinar, con mujeres en contextos de prostitución y trata.</w:t>
      </w:r>
    </w:p>
    <w:p>
      <w:pPr>
        <w:spacing w:after="0" w:line="360" w:lineRule="auto"/>
        <w:jc w:val="both"/>
        <w:rPr>
          <w:rFonts w:ascii="Arial" w:eastAsia="Times New Roman" w:hAnsi="Arial" w:cs="Arial"/>
          <w:b/>
          <w:sz w:val="24"/>
          <w:szCs w:val="24"/>
        </w:rPr>
      </w:pPr>
    </w:p>
    <w:p>
      <w:pPr>
        <w:spacing w:after="0" w:line="360" w:lineRule="auto"/>
        <w:jc w:val="both"/>
        <w:rPr>
          <w:rFonts w:ascii="Arial" w:eastAsia="Times New Roman" w:hAnsi="Arial" w:cs="Arial"/>
          <w:b/>
          <w:sz w:val="24"/>
          <w:szCs w:val="24"/>
        </w:rPr>
      </w:pPr>
      <w:r>
        <w:rPr>
          <w:rFonts w:ascii="Arial" w:eastAsia="Times New Roman" w:hAnsi="Arial" w:cs="Arial"/>
          <w:sz w:val="24"/>
          <w:szCs w:val="24"/>
        </w:rPr>
        <w:t xml:space="preserve">Se ha asistido regularmente a las reuniones de trabajo del equipo técnico, así como a reuniones del equipo interdisciplinar del Programa Oblatas Daniela. </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Acciones formativas realizadas: </w:t>
      </w:r>
    </w:p>
    <w:p>
      <w:pPr>
        <w:spacing w:after="160" w:line="360" w:lineRule="auto"/>
        <w:contextualSpacing/>
        <w:jc w:val="both"/>
        <w:rPr>
          <w:rFonts w:ascii="Arial" w:hAnsi="Arial" w:cs="Arial"/>
          <w:sz w:val="24"/>
          <w:szCs w:val="24"/>
        </w:rPr>
      </w:pPr>
      <w:r>
        <w:rPr>
          <w:rFonts w:ascii="Arial" w:hAnsi="Arial" w:cs="Arial"/>
          <w:sz w:val="24"/>
          <w:szCs w:val="24"/>
        </w:rPr>
        <w:t>- Formación sobre “Counselling y escucha”, organizado por la Diócesis de Canarias, de octubre de 2024 a mayo de 2025, presencial, 50 horas lectivas.</w:t>
      </w:r>
    </w:p>
    <w:p>
      <w:pPr>
        <w:spacing w:after="160" w:line="360" w:lineRule="auto"/>
        <w:contextualSpacing/>
        <w:jc w:val="both"/>
        <w:rPr>
          <w:rFonts w:ascii="Arial" w:hAnsi="Arial" w:cs="Arial"/>
          <w:sz w:val="24"/>
          <w:szCs w:val="24"/>
        </w:rPr>
      </w:pPr>
      <w:r>
        <w:rPr>
          <w:rFonts w:ascii="Arial" w:hAnsi="Arial" w:cs="Arial"/>
          <w:sz w:val="24"/>
          <w:szCs w:val="24"/>
        </w:rPr>
        <w:t>- Jornada de Médicos del Mundo, en la sede del Gabinete Literario, el 7 de abril de 2025.</w:t>
      </w:r>
    </w:p>
    <w:p>
      <w:pPr>
        <w:spacing w:after="160" w:line="360" w:lineRule="auto"/>
        <w:contextualSpacing/>
        <w:jc w:val="both"/>
        <w:rPr>
          <w:rFonts w:ascii="Arial" w:hAnsi="Arial" w:cs="Arial"/>
          <w:sz w:val="24"/>
          <w:szCs w:val="24"/>
        </w:rPr>
      </w:pPr>
      <w:r>
        <w:rPr>
          <w:rFonts w:ascii="Arial" w:hAnsi="Arial" w:cs="Arial"/>
          <w:sz w:val="24"/>
          <w:szCs w:val="24"/>
        </w:rPr>
        <w:lastRenderedPageBreak/>
        <w:t xml:space="preserve">- Jornada sobre “Migraciones y duelo”, organizadas por el Centro de Formación del Profesorado de Las Palmas, el 7 y 8 de mayo de 2025. </w:t>
      </w:r>
    </w:p>
    <w:p>
      <w:pPr>
        <w:spacing w:after="160" w:line="360" w:lineRule="auto"/>
        <w:contextualSpacing/>
        <w:jc w:val="both"/>
        <w:rPr>
          <w:rFonts w:ascii="Arial" w:hAnsi="Arial" w:cs="Arial"/>
          <w:sz w:val="24"/>
          <w:szCs w:val="24"/>
        </w:rPr>
      </w:pPr>
      <w:r>
        <w:rPr>
          <w:rFonts w:ascii="Arial" w:hAnsi="Arial" w:cs="Arial"/>
          <w:sz w:val="24"/>
          <w:szCs w:val="24"/>
        </w:rPr>
        <w:t xml:space="preserve">- Presentación de la Guía Práctica sobre Reglamento de Extranjería, en la sede del Cabildo de Gran Canaria, el 11 de junio de 2025. </w:t>
      </w:r>
    </w:p>
    <w:p>
      <w:pPr>
        <w:spacing w:after="160" w:line="360" w:lineRule="auto"/>
        <w:contextualSpacing/>
        <w:jc w:val="both"/>
        <w:rPr>
          <w:rFonts w:ascii="Arial" w:hAnsi="Arial" w:cs="Arial"/>
          <w:sz w:val="24"/>
          <w:szCs w:val="24"/>
        </w:rPr>
      </w:pPr>
      <w:r>
        <w:rPr>
          <w:rFonts w:ascii="Arial" w:hAnsi="Arial" w:cs="Arial"/>
          <w:sz w:val="24"/>
          <w:szCs w:val="24"/>
        </w:rPr>
        <w:t>- “Rompiendo barreras” por la igualdad y el acceso a mecanismos de protección, organizado por CEAR, el 1 de julio de 2025, en la sede de Casa África.</w:t>
      </w:r>
    </w:p>
    <w:p>
      <w:pPr>
        <w:spacing w:after="160" w:line="360" w:lineRule="auto"/>
        <w:contextualSpacing/>
        <w:jc w:val="both"/>
        <w:rPr>
          <w:rFonts w:ascii="Arial" w:hAnsi="Arial" w:cs="Arial"/>
          <w:sz w:val="24"/>
          <w:szCs w:val="24"/>
        </w:rPr>
      </w:pPr>
      <w:r>
        <w:rPr>
          <w:rFonts w:ascii="Arial" w:hAnsi="Arial" w:cs="Arial"/>
          <w:sz w:val="24"/>
          <w:szCs w:val="24"/>
        </w:rPr>
        <w:t>- Jornadas de sensibilización contra la Trata “Prostitución en la cultura!, organizadas por Programa Oblatas Daniela, en la Casa de Colón y en el espacio Violeta de la Biblioteca de la ULPGC, los días 22, 23 y 24 de septiembre de 2025.</w:t>
      </w:r>
    </w:p>
    <w:p>
      <w:pPr>
        <w:spacing w:after="160" w:line="360" w:lineRule="auto"/>
        <w:contextualSpacing/>
        <w:jc w:val="both"/>
        <w:rPr>
          <w:rFonts w:ascii="Arial" w:hAnsi="Arial" w:cs="Arial"/>
          <w:sz w:val="24"/>
          <w:szCs w:val="24"/>
        </w:rPr>
      </w:pPr>
      <w:r>
        <w:rPr>
          <w:rFonts w:ascii="Arial" w:hAnsi="Arial" w:cs="Arial"/>
          <w:sz w:val="24"/>
          <w:szCs w:val="24"/>
        </w:rPr>
        <w:t xml:space="preserve">- Jornadas “Construyendo entornos seguros e inclusivos: prevención de la violencia en poblaciones vulnerables”, organizadas por Clave-A, en Fundación Mapfre Canarias, el 24 de septiembre de 2025. </w:t>
      </w:r>
    </w:p>
    <w:p>
      <w:pPr>
        <w:spacing w:after="160" w:line="360" w:lineRule="auto"/>
        <w:contextualSpacing/>
        <w:jc w:val="both"/>
        <w:rPr>
          <w:rFonts w:ascii="Arial" w:hAnsi="Arial" w:cs="Arial"/>
          <w:sz w:val="24"/>
          <w:szCs w:val="24"/>
        </w:rPr>
      </w:pPr>
      <w:r>
        <w:rPr>
          <w:rFonts w:ascii="Arial" w:hAnsi="Arial" w:cs="Arial"/>
          <w:sz w:val="24"/>
          <w:szCs w:val="24"/>
        </w:rPr>
        <w:t>- Jornadas sobre Ciberseguridad organizada por Mujeres, Solidaridad y Cooperación, en la sede del Cabildo Insular de Gran Canaria. 24 de octubre de 2025.</w:t>
      </w:r>
    </w:p>
    <w:p>
      <w:pPr>
        <w:spacing w:after="160" w:line="360" w:lineRule="auto"/>
        <w:contextualSpacing/>
        <w:jc w:val="both"/>
        <w:rPr>
          <w:rFonts w:ascii="Arial" w:hAnsi="Arial" w:cs="Arial"/>
          <w:sz w:val="24"/>
          <w:szCs w:val="24"/>
        </w:rPr>
      </w:pPr>
      <w:r>
        <w:rPr>
          <w:rFonts w:ascii="Arial" w:hAnsi="Arial" w:cs="Arial"/>
          <w:sz w:val="24"/>
          <w:szCs w:val="24"/>
        </w:rPr>
        <w:t xml:space="preserve">- Jornadas sobre violencia vicaria “No estamos locas, pero nos hacen la vida imposible”, organizadas por la Delegación del Gobierno en Canarias el 6 de noviembre de 2025. </w:t>
      </w:r>
    </w:p>
    <w:p>
      <w:pPr>
        <w:spacing w:after="160" w:line="360" w:lineRule="auto"/>
        <w:contextualSpacing/>
        <w:jc w:val="both"/>
        <w:rPr>
          <w:rFonts w:ascii="Arial" w:hAnsi="Arial" w:cs="Arial"/>
          <w:sz w:val="24"/>
          <w:szCs w:val="24"/>
        </w:rPr>
      </w:pPr>
      <w:r>
        <w:rPr>
          <w:rFonts w:ascii="Arial" w:hAnsi="Arial" w:cs="Arial"/>
          <w:sz w:val="24"/>
          <w:szCs w:val="24"/>
        </w:rPr>
        <w:t>- Seminario “Una visión amplia del sistema prostitucional” organizadas por Asociación La Sur/Feminicidio.net el 20 de noviembre de 2025.</w:t>
      </w:r>
    </w:p>
    <w:p>
      <w:pPr>
        <w:spacing w:after="160" w:line="360" w:lineRule="auto"/>
        <w:contextualSpacing/>
        <w:jc w:val="both"/>
        <w:rPr>
          <w:rFonts w:ascii="Arial" w:hAnsi="Arial" w:cs="Arial"/>
          <w:sz w:val="24"/>
          <w:szCs w:val="24"/>
        </w:rPr>
      </w:pPr>
      <w:r>
        <w:rPr>
          <w:rFonts w:ascii="Arial" w:hAnsi="Arial" w:cs="Arial"/>
          <w:sz w:val="24"/>
          <w:szCs w:val="24"/>
        </w:rPr>
        <w:t>- Jornadas “Mujeres conectadas. Estrategias contra el cibermachismo” organizadas por Canarias Ahora, en la sede de la ULPGC, sede del Grado de Educación, el 27 de noviembre de 2025.</w:t>
      </w:r>
    </w:p>
    <w:p>
      <w:pPr>
        <w:spacing w:after="160" w:line="360" w:lineRule="auto"/>
        <w:contextualSpacing/>
        <w:jc w:val="both"/>
        <w:rPr>
          <w:rFonts w:ascii="Arial" w:hAnsi="Arial" w:cs="Arial"/>
          <w:sz w:val="24"/>
          <w:szCs w:val="24"/>
        </w:rPr>
      </w:pPr>
      <w:r>
        <w:rPr>
          <w:rFonts w:ascii="Arial" w:hAnsi="Arial" w:cs="Arial"/>
          <w:sz w:val="24"/>
          <w:szCs w:val="24"/>
        </w:rPr>
        <w:t>- Seminario “Transformaciones recientes de los sistemas de explotación sexual” organizadas por La Sur/Feminicidio.net el 2 de diciembre de 2025</w:t>
      </w:r>
    </w:p>
    <w:p>
      <w:pPr>
        <w:spacing w:after="160" w:line="360" w:lineRule="auto"/>
        <w:contextualSpacing/>
        <w:jc w:val="both"/>
        <w:rPr>
          <w:rFonts w:ascii="Arial" w:hAnsi="Arial" w:cs="Arial"/>
          <w:sz w:val="24"/>
          <w:szCs w:val="24"/>
        </w:rPr>
      </w:pPr>
      <w:r>
        <w:rPr>
          <w:rFonts w:ascii="Arial" w:hAnsi="Arial" w:cs="Arial"/>
          <w:sz w:val="24"/>
          <w:szCs w:val="24"/>
        </w:rPr>
        <w:t>- Jornadas “Mujeres que habitan. Perspectiva de Género y Migración en el territorio canario” organizada por Gesplan en Casa África el 4 de diciembre de 2025.</w:t>
      </w:r>
    </w:p>
    <w:p>
      <w:pPr>
        <w:spacing w:after="160" w:line="360" w:lineRule="auto"/>
        <w:contextualSpacing/>
        <w:jc w:val="both"/>
        <w:rPr>
          <w:rFonts w:ascii="Arial" w:hAnsi="Arial" w:cs="Arial"/>
          <w:sz w:val="24"/>
          <w:szCs w:val="24"/>
        </w:rPr>
      </w:pPr>
    </w:p>
    <w:p>
      <w:pPr>
        <w:shd w:val="clear" w:color="auto" w:fill="B2A1C7" w:themeFill="accent4" w:themeFillTint="99"/>
        <w:contextualSpacing/>
        <w:jc w:val="both"/>
        <w:rPr>
          <w:rFonts w:ascii="Arial" w:eastAsia="Times New Roman" w:hAnsi="Arial" w:cs="Arial"/>
          <w:b/>
          <w:sz w:val="24"/>
          <w:szCs w:val="24"/>
        </w:rPr>
      </w:pPr>
      <w:r>
        <w:rPr>
          <w:rFonts w:ascii="Arial" w:eastAsia="Times New Roman" w:hAnsi="Arial" w:cs="Arial"/>
          <w:b/>
          <w:sz w:val="24"/>
          <w:szCs w:val="24"/>
        </w:rPr>
        <w:t>E.- EVALUACIÓN DE LA INTERVENCIÓN:</w:t>
      </w:r>
    </w:p>
    <w:p>
      <w:pPr>
        <w:spacing w:after="0"/>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Destacar la valoración positiva por parte de las mujeres que acuden al proyecto por contar con asesoramiento legal en distintos ámbitos, no solamente con el vinculado a extranjería.</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Se ha desarrollado y potenciado durante este año el trabajo en red, manteniendo una relación fluida y regular con instituciones y organizaciones.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Se ha potenciado la coordinación con otros organismos, ONG´s e instituciones para desarrollar un trabajo que mejore la calidad de la atención a las mujeres. Las instituciones con las que habitualmente se colabora son CEAR, Médicos del Mundo, Cáritas, Cruz Roja, entre otras.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Se valora positivamente la atención que desde los Juzgados, Delegación del Gobierno y Colegio de Abogados de Las Palmas se ha dado, - tanto al Programa Oblatas Daniela como a las mujeres usuarias del mismo-, siendo facilitadores en la comunicación y participación.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b/>
          <w:sz w:val="24"/>
          <w:szCs w:val="24"/>
        </w:rPr>
      </w:pPr>
      <w:r>
        <w:rPr>
          <w:rFonts w:ascii="Arial" w:eastAsia="Times New Roman" w:hAnsi="Arial" w:cs="Arial"/>
          <w:b/>
          <w:sz w:val="24"/>
          <w:szCs w:val="24"/>
        </w:rPr>
        <w:t>CONCLUSIONES Y PROPUESTAS:</w:t>
      </w:r>
    </w:p>
    <w:p>
      <w:pPr>
        <w:spacing w:after="0" w:line="360" w:lineRule="auto"/>
        <w:jc w:val="both"/>
        <w:rPr>
          <w:rFonts w:ascii="Arial" w:eastAsia="Times New Roman" w:hAnsi="Arial" w:cs="Arial"/>
          <w:b/>
          <w:sz w:val="24"/>
          <w:szCs w:val="24"/>
        </w:rPr>
      </w:pPr>
    </w:p>
    <w:p>
      <w:pPr>
        <w:spacing w:after="0" w:line="360" w:lineRule="auto"/>
        <w:jc w:val="both"/>
        <w:rPr>
          <w:rFonts w:ascii="Arial" w:hAnsi="Arial" w:cs="Arial"/>
          <w:sz w:val="24"/>
          <w:szCs w:val="24"/>
        </w:rPr>
      </w:pPr>
      <w:r>
        <w:rPr>
          <w:rFonts w:ascii="Arial" w:hAnsi="Arial" w:cs="Arial"/>
          <w:sz w:val="24"/>
          <w:szCs w:val="24"/>
        </w:rPr>
        <w:t>Se considera positivo la aprobación del nuevo Reglamento de Extranjería, que entró en vigor en mayo de este año 2025, lo que ha simplificado algunos trámites.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Se considera relevante desde el área jurídica continuar potenciando espacios para el encuentro, formación y sensibilización tanto de la ciudadanía como de colectivos más implicados en el tema de la trata (abogados, policías, personal sanitario, etc.).</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Aumento en las labores de coordinación con otros agentes intervinientes, tales como Fuerzas y Cuerpos de Seguridad del Estado, Subdelegación del Gobierno, Colegio de Abogados, letrados del turno de oficio, personal de los juzgados y de otras administraciones públicas, etc., resaltando desde el área la mejora en la accesibilidad y disponibilidad del servicio, teniendo como objetivo un acompañamiento de calidad a las necesidades y demandas de las mujeres.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En cuanto a la presencia y participación en espacios vinculados, se destaca la representación del Programa Oblatas Daniela en las reuniones bimensuales con UCRIF, Fiscal Delegada de extranjería, con otras entidades especializadas y colectivos, así como en la Red Española contra la Trata de Personas y el grupo de Fronteras.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Como aspectos a mejorar estaría la aplicación generalizada de la prueba pre constituida en la declaración de las víctimas, para evitar la victimización secundaria y/o que no se cuente con su testimonio como medio de prueba porque resulte imposible su localización para su asistencia a la vista oral, ya que muchas de las mujeres retornan a su país  o fijan su residencia fuera de España, no manteniendo un domicilio dentro del territorio español donde ser citadas; la agilización de los procedimientos judiciales y de la resolución de las solicitudes de nacionalidad española.</w:t>
      </w:r>
    </w:p>
    <w:p>
      <w:pPr>
        <w:spacing w:after="0" w:line="360" w:lineRule="auto"/>
        <w:jc w:val="both"/>
        <w:rPr>
          <w:rFonts w:ascii="Arial" w:hAnsi="Arial" w:cs="Arial"/>
          <w:sz w:val="24"/>
          <w:szCs w:val="24"/>
        </w:rPr>
      </w:pPr>
      <w:r>
        <w:rPr>
          <w:rFonts w:ascii="Arial" w:hAnsi="Arial" w:cs="Arial"/>
          <w:sz w:val="24"/>
          <w:szCs w:val="24"/>
        </w:rPr>
        <w:t xml:space="preserve">También a mejorar la aplicación de la perspectiva de género en todos los ámbitos y por parte de todos los operadores. </w:t>
      </w:r>
    </w:p>
    <w:p>
      <w:pPr>
        <w:spacing w:after="0" w:line="360" w:lineRule="auto"/>
        <w:jc w:val="both"/>
        <w:rPr>
          <w:rFonts w:ascii="Arial" w:hAnsi="Arial" w:cs="Arial"/>
          <w:sz w:val="24"/>
          <w:szCs w:val="24"/>
        </w:rPr>
      </w:pPr>
      <w:r>
        <w:rPr>
          <w:rFonts w:ascii="Arial" w:hAnsi="Arial" w:cs="Arial"/>
          <w:sz w:val="24"/>
          <w:szCs w:val="24"/>
        </w:rPr>
        <w:t>Resulta necesario la creación de un turno de oficio específico para víctimas de trata de seres humanos y explotación, y que la mujer cuente desde las primeras diligencias, incluso antes de la entrevista, con asistencia letrada especializada y gratuita, en aplicación efectiva del Estatuto de la Víctima.</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También es necesario contar con medios más eficaces para la detección e identificación temprana de víctimas de trata en las fronteras tanto marítimas como terrestres. </w:t>
      </w:r>
    </w:p>
    <w:p>
      <w:pPr>
        <w:spacing w:after="0" w:line="360" w:lineRule="auto"/>
        <w:jc w:val="both"/>
        <w:rPr>
          <w:rFonts w:ascii="Arial" w:hAnsi="Arial" w:cs="Arial"/>
          <w:sz w:val="24"/>
          <w:szCs w:val="24"/>
        </w:rPr>
      </w:pPr>
      <w:r>
        <w:rPr>
          <w:rFonts w:ascii="Arial" w:hAnsi="Arial" w:cs="Arial"/>
          <w:sz w:val="24"/>
          <w:szCs w:val="24"/>
        </w:rPr>
        <w:t xml:space="preserve">Igualmente necesaria e imprescindible, la aprobación de la Ley Integral contra la Trata, en la que como entidad especializada se ha puesto hincapié desde el principio y que ha requerido un esfuerzo y una dedicación significativa.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Como aspecto a potenciar, el trabajo de sensibilización y concienciación social de esta problemática que afecta a millones de niñas y mujeres en todo el mundo, visto como una vulneración de los derechos humanos y no solamente desde el aspecto punitivo de la persecución del delito.  </w:t>
      </w:r>
    </w:p>
    <w:p>
      <w:pPr>
        <w:widowControl w:val="0"/>
        <w:autoSpaceDE w:val="0"/>
        <w:autoSpaceDN w:val="0"/>
        <w:spacing w:before="241" w:after="0" w:line="360" w:lineRule="auto"/>
        <w:rPr>
          <w:rFonts w:ascii="Arial" w:hAnsi="Arial" w:cs="Arial"/>
          <w:sz w:val="24"/>
          <w:szCs w:val="24"/>
        </w:rPr>
      </w:pPr>
      <w:r>
        <w:rPr>
          <w:rFonts w:cs="Calibri"/>
          <w:noProof/>
          <w:lang w:eastAsia="es-ES"/>
        </w:rPr>
        <w:lastRenderedPageBreak/>
        <mc:AlternateContent>
          <mc:Choice Requires="wps">
            <w:drawing>
              <wp:anchor distT="0" distB="0" distL="0" distR="0" simplePos="0" relativeHeight="251676672" behindDoc="1" locked="0" layoutInCell="1" allowOverlap="1">
                <wp:simplePos x="0" y="0"/>
                <wp:positionH relativeFrom="page">
                  <wp:posOffset>661670</wp:posOffset>
                </wp:positionH>
                <wp:positionV relativeFrom="paragraph">
                  <wp:posOffset>522605</wp:posOffset>
                </wp:positionV>
                <wp:extent cx="5838825" cy="579755"/>
                <wp:effectExtent l="0" t="0" r="9525" b="0"/>
                <wp:wrapTopAndBottom/>
                <wp:docPr id="2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579755"/>
                        </a:xfrm>
                        <a:prstGeom prst="rect">
                          <a:avLst/>
                        </a:prstGeom>
                        <a:solidFill>
                          <a:srgbClr val="5F4879"/>
                        </a:solidFill>
                      </wps:spPr>
                      <wps:txbx>
                        <w:txbxContent>
                          <w:p>
                            <w:pPr>
                              <w:shd w:val="clear" w:color="auto" w:fill="365F91" w:themeFill="accent1" w:themeFillShade="BF"/>
                              <w:spacing w:line="278" w:lineRule="auto"/>
                              <w:ind w:left="28"/>
                              <w:rPr>
                                <w:b/>
                                <w:color w:val="000000"/>
                                <w:sz w:val="32"/>
                              </w:rPr>
                            </w:pPr>
                            <w:r>
                              <w:rPr>
                                <w:b/>
                                <w:color w:val="FFFFFF"/>
                                <w:sz w:val="32"/>
                              </w:rPr>
                              <w:t>4.-</w:t>
                            </w:r>
                            <w:r>
                              <w:rPr>
                                <w:b/>
                                <w:color w:val="FFFFFF"/>
                                <w:spacing w:val="40"/>
                                <w:sz w:val="32"/>
                              </w:rPr>
                              <w:t xml:space="preserve"> </w:t>
                            </w:r>
                            <w:r>
                              <w:rPr>
                                <w:b/>
                                <w:color w:val="FFFFFF"/>
                                <w:sz w:val="32"/>
                              </w:rPr>
                              <w:t>PISO</w:t>
                            </w:r>
                            <w:r>
                              <w:rPr>
                                <w:b/>
                                <w:color w:val="FFFFFF"/>
                                <w:spacing w:val="40"/>
                                <w:sz w:val="32"/>
                              </w:rPr>
                              <w:t xml:space="preserve"> </w:t>
                            </w:r>
                            <w:r>
                              <w:rPr>
                                <w:b/>
                                <w:color w:val="FFFFFF"/>
                                <w:sz w:val="32"/>
                              </w:rPr>
                              <w:t>DE</w:t>
                            </w:r>
                            <w:r>
                              <w:rPr>
                                <w:b/>
                                <w:color w:val="FFFFFF"/>
                                <w:spacing w:val="40"/>
                                <w:sz w:val="32"/>
                              </w:rPr>
                              <w:t xml:space="preserve"> </w:t>
                            </w:r>
                            <w:r>
                              <w:rPr>
                                <w:b/>
                                <w:color w:val="FFFFFF"/>
                                <w:sz w:val="32"/>
                              </w:rPr>
                              <w:t>AUTONOMIA</w:t>
                            </w:r>
                            <w:r>
                              <w:rPr>
                                <w:b/>
                                <w:color w:val="FFFFFF"/>
                                <w:spacing w:val="40"/>
                                <w:sz w:val="32"/>
                              </w:rPr>
                              <w:t xml:space="preserve"> </w:t>
                            </w:r>
                            <w:r>
                              <w:rPr>
                                <w:b/>
                                <w:color w:val="FFFFFF"/>
                                <w:sz w:val="32"/>
                              </w:rPr>
                              <w:t>Y</w:t>
                            </w:r>
                            <w:r>
                              <w:rPr>
                                <w:b/>
                                <w:color w:val="FFFFFF"/>
                                <w:spacing w:val="40"/>
                                <w:sz w:val="32"/>
                              </w:rPr>
                              <w:t xml:space="preserve"> </w:t>
                            </w:r>
                            <w:r>
                              <w:rPr>
                                <w:b/>
                                <w:color w:val="FFFFFF"/>
                                <w:sz w:val="32"/>
                              </w:rPr>
                              <w:t>AYUDAS</w:t>
                            </w:r>
                            <w:r>
                              <w:rPr>
                                <w:b/>
                                <w:color w:val="FFFFFF"/>
                                <w:spacing w:val="40"/>
                                <w:sz w:val="32"/>
                              </w:rPr>
                              <w:t xml:space="preserve"> </w:t>
                            </w:r>
                            <w:r>
                              <w:rPr>
                                <w:b/>
                                <w:color w:val="FFFFFF"/>
                                <w:sz w:val="32"/>
                              </w:rPr>
                              <w:t>DE</w:t>
                            </w:r>
                            <w:r>
                              <w:rPr>
                                <w:b/>
                                <w:color w:val="FFFFFF"/>
                                <w:spacing w:val="40"/>
                                <w:sz w:val="32"/>
                              </w:rPr>
                              <w:t xml:space="preserve"> </w:t>
                            </w:r>
                            <w:r>
                              <w:rPr>
                                <w:b/>
                                <w:color w:val="FFFFFF"/>
                                <w:sz w:val="32"/>
                              </w:rPr>
                              <w:t>EMERGENCIA</w:t>
                            </w:r>
                            <w:r>
                              <w:rPr>
                                <w:b/>
                                <w:color w:val="FFFFFF"/>
                                <w:spacing w:val="40"/>
                                <w:sz w:val="32"/>
                              </w:rPr>
                              <w:t xml:space="preserve"> </w:t>
                            </w:r>
                            <w:r>
                              <w:rPr>
                                <w:b/>
                                <w:color w:val="FFFFFF"/>
                                <w:sz w:val="32"/>
                              </w:rPr>
                              <w:t>A</w:t>
                            </w:r>
                            <w:r>
                              <w:rPr>
                                <w:b/>
                                <w:color w:val="FFFFFF"/>
                                <w:spacing w:val="40"/>
                                <w:sz w:val="32"/>
                              </w:rPr>
                              <w:t xml:space="preserve"> </w:t>
                            </w:r>
                            <w:r>
                              <w:rPr>
                                <w:b/>
                                <w:color w:val="FFFFFF"/>
                                <w:sz w:val="32"/>
                              </w:rPr>
                              <w:t>MUJERES VÍCTIMAS DE TRATA Y/O EN CONTEXTO DE PROSTITUCIÓN.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52.1pt;margin-top:41.15pt;width:459.75pt;height:45.6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" fillcolor="#5f4879" stroked="f">
                <v:path arrowok="t"/>
                <v:textbox inset="0,0,0,0">
                  <w:txbxContent>
                    <w:p>
                      <w:pPr>
                        <w:shd w:val="clear" w:color="auto" w:fill="365F91" w:themeFill="accent1" w:themeFillShade="BF"/>
                        <w:spacing w:line="278" w:lineRule="auto"/>
                        <w:ind w:left="28"/>
                        <w:rPr>
                          <w:b/>
                          <w:color w:val="000000"/>
                          <w:sz w:val="32"/>
                        </w:rPr>
                      </w:pPr>
                      <w:r>
                        <w:rPr>
                          <w:b/>
                          <w:color w:val="FFFFFF"/>
                          <w:sz w:val="32"/>
                        </w:rPr>
                        <w:t>4.-</w:t>
                      </w:r>
                      <w:r>
                        <w:rPr>
                          <w:b/>
                          <w:color w:val="FFFFFF"/>
                          <w:spacing w:val="40"/>
                          <w:sz w:val="32"/>
                        </w:rPr>
                        <w:t xml:space="preserve"> </w:t>
                      </w:r>
                      <w:r>
                        <w:rPr>
                          <w:b/>
                          <w:color w:val="FFFFFF"/>
                          <w:sz w:val="32"/>
                        </w:rPr>
                        <w:t>PISO</w:t>
                      </w:r>
                      <w:r>
                        <w:rPr>
                          <w:b/>
                          <w:color w:val="FFFFFF"/>
                          <w:spacing w:val="40"/>
                          <w:sz w:val="32"/>
                        </w:rPr>
                        <w:t xml:space="preserve"> </w:t>
                      </w:r>
                      <w:r>
                        <w:rPr>
                          <w:b/>
                          <w:color w:val="FFFFFF"/>
                          <w:sz w:val="32"/>
                        </w:rPr>
                        <w:t>DE</w:t>
                      </w:r>
                      <w:r>
                        <w:rPr>
                          <w:b/>
                          <w:color w:val="FFFFFF"/>
                          <w:spacing w:val="40"/>
                          <w:sz w:val="32"/>
                        </w:rPr>
                        <w:t xml:space="preserve"> </w:t>
                      </w:r>
                      <w:r>
                        <w:rPr>
                          <w:b/>
                          <w:color w:val="FFFFFF"/>
                          <w:sz w:val="32"/>
                        </w:rPr>
                        <w:t>AUTONOMIA</w:t>
                      </w:r>
                      <w:r>
                        <w:rPr>
                          <w:b/>
                          <w:color w:val="FFFFFF"/>
                          <w:spacing w:val="40"/>
                          <w:sz w:val="32"/>
                        </w:rPr>
                        <w:t xml:space="preserve"> </w:t>
                      </w:r>
                      <w:r>
                        <w:rPr>
                          <w:b/>
                          <w:color w:val="FFFFFF"/>
                          <w:sz w:val="32"/>
                        </w:rPr>
                        <w:t>Y</w:t>
                      </w:r>
                      <w:r>
                        <w:rPr>
                          <w:b/>
                          <w:color w:val="FFFFFF"/>
                          <w:spacing w:val="40"/>
                          <w:sz w:val="32"/>
                        </w:rPr>
                        <w:t xml:space="preserve"> </w:t>
                      </w:r>
                      <w:r>
                        <w:rPr>
                          <w:b/>
                          <w:color w:val="FFFFFF"/>
                          <w:sz w:val="32"/>
                        </w:rPr>
                        <w:t>AYUDAS</w:t>
                      </w:r>
                      <w:r>
                        <w:rPr>
                          <w:b/>
                          <w:color w:val="FFFFFF"/>
                          <w:spacing w:val="40"/>
                          <w:sz w:val="32"/>
                        </w:rPr>
                        <w:t xml:space="preserve"> </w:t>
                      </w:r>
                      <w:r>
                        <w:rPr>
                          <w:b/>
                          <w:color w:val="FFFFFF"/>
                          <w:sz w:val="32"/>
                        </w:rPr>
                        <w:t>DE</w:t>
                      </w:r>
                      <w:r>
                        <w:rPr>
                          <w:b/>
                          <w:color w:val="FFFFFF"/>
                          <w:spacing w:val="40"/>
                          <w:sz w:val="32"/>
                        </w:rPr>
                        <w:t xml:space="preserve"> </w:t>
                      </w:r>
                      <w:r>
                        <w:rPr>
                          <w:b/>
                          <w:color w:val="FFFFFF"/>
                          <w:sz w:val="32"/>
                        </w:rPr>
                        <w:t>EMERGENCIA</w:t>
                      </w:r>
                      <w:r>
                        <w:rPr>
                          <w:b/>
                          <w:color w:val="FFFFFF"/>
                          <w:spacing w:val="40"/>
                          <w:sz w:val="32"/>
                        </w:rPr>
                        <w:t xml:space="preserve"> </w:t>
                      </w:r>
                      <w:r>
                        <w:rPr>
                          <w:b/>
                          <w:color w:val="FFFFFF"/>
                          <w:sz w:val="32"/>
                        </w:rPr>
                        <w:t>A</w:t>
                      </w:r>
                      <w:r>
                        <w:rPr>
                          <w:b/>
                          <w:color w:val="FFFFFF"/>
                          <w:spacing w:val="40"/>
                          <w:sz w:val="32"/>
                        </w:rPr>
                        <w:t xml:space="preserve"> </w:t>
                      </w:r>
                      <w:r>
                        <w:rPr>
                          <w:b/>
                          <w:color w:val="FFFFFF"/>
                          <w:sz w:val="32"/>
                        </w:rPr>
                        <w:t>MUJERES VÍCTIMAS DE TRATA Y/O EN CONTEXTO DE PROSTITUCIÓN.</w:t>
                      </w:r>
                    </w:p>
                  </w:txbxContent>
                </v:textbox>
                <w10:wrap type="topAndBottom" anchorx="page"/>
              </v:shape>
            </w:pict>
          </mc:Fallback>
        </mc:AlternateContent>
      </w:r>
    </w:p>
    <w:p>
      <w:pPr>
        <w:widowControl w:val="0"/>
        <w:autoSpaceDE w:val="0"/>
        <w:autoSpaceDN w:val="0"/>
        <w:spacing w:before="241" w:after="0" w:line="360" w:lineRule="auto"/>
        <w:rPr>
          <w:rFonts w:ascii="Arial" w:hAnsi="Arial" w:cs="Arial"/>
          <w:sz w:val="24"/>
          <w:szCs w:val="24"/>
        </w:rPr>
      </w:pPr>
    </w:p>
    <w:p>
      <w:pPr>
        <w:widowControl w:val="0"/>
        <w:shd w:val="clear" w:color="auto" w:fill="B2A1C7" w:themeFill="accent4" w:themeFillTint="99"/>
        <w:tabs>
          <w:tab w:val="left" w:pos="9455"/>
        </w:tabs>
        <w:autoSpaceDE w:val="0"/>
        <w:autoSpaceDN w:val="0"/>
        <w:spacing w:after="0" w:line="360" w:lineRule="auto"/>
        <w:ind w:left="184"/>
        <w:outlineLvl w:val="0"/>
        <w:rPr>
          <w:rFonts w:ascii="Arial" w:hAnsi="Arial" w:cs="Arial"/>
          <w:b/>
          <w:bCs/>
          <w:sz w:val="24"/>
          <w:szCs w:val="24"/>
        </w:rPr>
      </w:pPr>
      <w:r>
        <w:rPr>
          <w:rFonts w:ascii="Arial" w:hAnsi="Arial" w:cs="Arial"/>
          <w:b/>
          <w:bCs/>
          <w:color w:val="000000"/>
          <w:sz w:val="24"/>
          <w:szCs w:val="24"/>
          <w:shd w:val="clear" w:color="auto" w:fill="B1A0C6"/>
        </w:rPr>
        <w:t xml:space="preserve">4.1.-DESCRIPCIÓN DEL </w:t>
      </w:r>
      <w:r>
        <w:rPr>
          <w:rFonts w:ascii="Arial" w:hAnsi="Arial" w:cs="Arial"/>
          <w:b/>
          <w:bCs/>
          <w:color w:val="000000"/>
          <w:spacing w:val="-2"/>
          <w:sz w:val="24"/>
          <w:szCs w:val="24"/>
          <w:shd w:val="clear" w:color="auto" w:fill="B1A0C6"/>
        </w:rPr>
        <w:t>PROYECTO</w:t>
      </w:r>
    </w:p>
    <w:p>
      <w:pPr>
        <w:widowControl w:val="0"/>
        <w:autoSpaceDE w:val="0"/>
        <w:autoSpaceDN w:val="0"/>
        <w:spacing w:before="242" w:after="0" w:line="360" w:lineRule="auto"/>
        <w:ind w:left="213" w:right="137"/>
        <w:jc w:val="both"/>
        <w:rPr>
          <w:rFonts w:ascii="Arial" w:hAnsi="Arial" w:cs="Arial"/>
          <w:sz w:val="24"/>
          <w:szCs w:val="24"/>
        </w:rPr>
      </w:pPr>
    </w:p>
    <w:p>
      <w:pPr>
        <w:widowControl w:val="0"/>
        <w:autoSpaceDE w:val="0"/>
        <w:autoSpaceDN w:val="0"/>
        <w:spacing w:before="242" w:after="0" w:line="360" w:lineRule="auto"/>
        <w:ind w:left="213" w:right="137"/>
        <w:jc w:val="both"/>
        <w:rPr>
          <w:rFonts w:ascii="Arial" w:hAnsi="Arial" w:cs="Arial"/>
          <w:sz w:val="24"/>
          <w:szCs w:val="24"/>
        </w:rPr>
      </w:pPr>
      <w:r>
        <w:rPr>
          <w:rFonts w:ascii="Arial" w:hAnsi="Arial" w:cs="Arial"/>
          <w:sz w:val="24"/>
          <w:szCs w:val="24"/>
        </w:rPr>
        <w:t xml:space="preserve">Desde el año 2021, a través de la subvención del Instituto Canario de Igualdad del Gobierno de Canarias, este proyecto, ya consolidado desde hace nueve años, se amplió para poder hacer frente a necesidades prioritarias de muchas mujeres que se atienden desde Programa Oblatas Daniela, denominándose al proyecto </w:t>
      </w:r>
      <w:r>
        <w:rPr>
          <w:rFonts w:ascii="Arial" w:hAnsi="Arial" w:cs="Arial"/>
          <w:b/>
          <w:i/>
          <w:sz w:val="24"/>
          <w:szCs w:val="24"/>
        </w:rPr>
        <w:t>“PISO DE ACOGIDA Y AYUDAS DE EMERGENCIA A MUJERES VÍCTIMAS DE TRATA Y/O EN CONTEXTO DE PROSTITUCIÓN”</w:t>
      </w:r>
      <w:r>
        <w:rPr>
          <w:rFonts w:ascii="Arial" w:hAnsi="Arial" w:cs="Arial"/>
          <w:sz w:val="24"/>
          <w:szCs w:val="24"/>
        </w:rPr>
        <w:t>.</w:t>
      </w:r>
    </w:p>
    <w:p>
      <w:pPr>
        <w:widowControl w:val="0"/>
        <w:autoSpaceDE w:val="0"/>
        <w:autoSpaceDN w:val="0"/>
        <w:spacing w:before="242" w:after="0" w:line="360" w:lineRule="auto"/>
        <w:ind w:left="213" w:right="137"/>
        <w:jc w:val="both"/>
        <w:rPr>
          <w:rFonts w:ascii="Arial" w:hAnsi="Arial" w:cs="Arial"/>
          <w:sz w:val="24"/>
          <w:szCs w:val="24"/>
        </w:rPr>
      </w:pPr>
    </w:p>
    <w:p>
      <w:pPr>
        <w:widowControl w:val="0"/>
        <w:autoSpaceDE w:val="0"/>
        <w:autoSpaceDN w:val="0"/>
        <w:spacing w:before="1" w:after="0" w:line="360" w:lineRule="auto"/>
        <w:ind w:left="213" w:right="135"/>
        <w:jc w:val="both"/>
        <w:rPr>
          <w:rFonts w:ascii="Arial" w:hAnsi="Arial" w:cs="Arial"/>
          <w:sz w:val="24"/>
          <w:szCs w:val="24"/>
        </w:rPr>
      </w:pPr>
      <w:r>
        <w:rPr>
          <w:rFonts w:ascii="Arial" w:hAnsi="Arial" w:cs="Arial"/>
          <w:sz w:val="24"/>
          <w:szCs w:val="24"/>
        </w:rPr>
        <w:t>Concretamente el Piso de Autonomía ha tratado de proporcionar a las mujeres que han alcanzado satisfactoriamente sus objetivos en cuanto al proceso personal en la Casa de</w:t>
      </w:r>
      <w:r>
        <w:rPr>
          <w:rFonts w:ascii="Arial" w:hAnsi="Arial" w:cs="Arial"/>
          <w:spacing w:val="-2"/>
          <w:sz w:val="24"/>
          <w:szCs w:val="24"/>
        </w:rPr>
        <w:t xml:space="preserve"> </w:t>
      </w:r>
      <w:r>
        <w:rPr>
          <w:rFonts w:ascii="Arial" w:hAnsi="Arial" w:cs="Arial"/>
          <w:sz w:val="24"/>
          <w:szCs w:val="24"/>
        </w:rPr>
        <w:t>Acogida y que, aun no disponiendo de ingresos económicos estables y suficientes para su total independencia, éste se convierte en un espacio que les ha permitido avanzar en su autonomía personal, crecer en su autoconocimiento poniendo en práctica las habilidades de resolución de conflictos en la convivencia, así como otras habilidades favorables para su inserción sociolaboral.</w:t>
      </w:r>
    </w:p>
    <w:p>
      <w:pPr>
        <w:widowControl w:val="0"/>
        <w:autoSpaceDE w:val="0"/>
        <w:autoSpaceDN w:val="0"/>
        <w:spacing w:before="1" w:after="0" w:line="360" w:lineRule="auto"/>
        <w:ind w:left="213" w:right="135"/>
        <w:jc w:val="both"/>
        <w:rPr>
          <w:rFonts w:ascii="Arial" w:hAnsi="Arial" w:cs="Arial"/>
          <w:sz w:val="24"/>
          <w:szCs w:val="24"/>
        </w:rPr>
      </w:pPr>
    </w:p>
    <w:p>
      <w:pPr>
        <w:widowControl w:val="0"/>
        <w:autoSpaceDE w:val="0"/>
        <w:autoSpaceDN w:val="0"/>
        <w:spacing w:after="0" w:line="360" w:lineRule="auto"/>
        <w:ind w:left="213" w:right="138"/>
        <w:jc w:val="both"/>
        <w:rPr>
          <w:rFonts w:ascii="Arial" w:hAnsi="Arial" w:cs="Arial"/>
          <w:sz w:val="24"/>
          <w:szCs w:val="24"/>
        </w:rPr>
      </w:pPr>
      <w:r>
        <w:rPr>
          <w:rFonts w:ascii="Arial" w:hAnsi="Arial" w:cs="Arial"/>
          <w:sz w:val="24"/>
          <w:szCs w:val="24"/>
        </w:rPr>
        <w:t>Por</w:t>
      </w:r>
      <w:r>
        <w:rPr>
          <w:rFonts w:ascii="Arial" w:hAnsi="Arial" w:cs="Arial"/>
          <w:spacing w:val="-3"/>
          <w:sz w:val="24"/>
          <w:szCs w:val="24"/>
        </w:rPr>
        <w:t xml:space="preserve"> </w:t>
      </w:r>
      <w:r>
        <w:rPr>
          <w:rFonts w:ascii="Arial" w:hAnsi="Arial" w:cs="Arial"/>
          <w:sz w:val="24"/>
          <w:szCs w:val="24"/>
        </w:rPr>
        <w:t>otra</w:t>
      </w:r>
      <w:r>
        <w:rPr>
          <w:rFonts w:ascii="Arial" w:hAnsi="Arial" w:cs="Arial"/>
          <w:spacing w:val="-2"/>
          <w:sz w:val="24"/>
          <w:szCs w:val="24"/>
        </w:rPr>
        <w:t xml:space="preserve"> </w:t>
      </w:r>
      <w:r>
        <w:rPr>
          <w:rFonts w:ascii="Arial" w:hAnsi="Arial" w:cs="Arial"/>
          <w:sz w:val="24"/>
          <w:szCs w:val="24"/>
        </w:rPr>
        <w:t>parte,</w:t>
      </w:r>
      <w:r>
        <w:rPr>
          <w:rFonts w:ascii="Arial" w:hAnsi="Arial" w:cs="Arial"/>
          <w:spacing w:val="-2"/>
          <w:sz w:val="24"/>
          <w:szCs w:val="24"/>
        </w:rPr>
        <w:t xml:space="preserve"> </w:t>
      </w:r>
      <w:r>
        <w:rPr>
          <w:rFonts w:ascii="Arial" w:hAnsi="Arial" w:cs="Arial"/>
          <w:sz w:val="24"/>
          <w:szCs w:val="24"/>
        </w:rPr>
        <w:t>el</w:t>
      </w:r>
      <w:r>
        <w:rPr>
          <w:rFonts w:ascii="Arial" w:hAnsi="Arial" w:cs="Arial"/>
          <w:spacing w:val="-2"/>
          <w:sz w:val="24"/>
          <w:szCs w:val="24"/>
        </w:rPr>
        <w:t xml:space="preserve"> </w:t>
      </w:r>
      <w:r>
        <w:rPr>
          <w:rFonts w:ascii="Arial" w:hAnsi="Arial" w:cs="Arial"/>
          <w:sz w:val="24"/>
          <w:szCs w:val="24"/>
        </w:rPr>
        <w:t>proyecto</w:t>
      </w:r>
      <w:r>
        <w:rPr>
          <w:rFonts w:ascii="Arial" w:hAnsi="Arial" w:cs="Arial"/>
          <w:spacing w:val="-1"/>
          <w:sz w:val="24"/>
          <w:szCs w:val="24"/>
        </w:rPr>
        <w:t xml:space="preserve"> </w:t>
      </w:r>
      <w:r>
        <w:rPr>
          <w:rFonts w:ascii="Arial" w:hAnsi="Arial" w:cs="Arial"/>
          <w:sz w:val="24"/>
          <w:szCs w:val="24"/>
        </w:rPr>
        <w:t>también</w:t>
      </w:r>
      <w:r>
        <w:rPr>
          <w:rFonts w:ascii="Arial" w:hAnsi="Arial" w:cs="Arial"/>
          <w:spacing w:val="-3"/>
          <w:sz w:val="24"/>
          <w:szCs w:val="24"/>
        </w:rPr>
        <w:t xml:space="preserve"> </w:t>
      </w:r>
      <w:r>
        <w:rPr>
          <w:rFonts w:ascii="Arial" w:hAnsi="Arial" w:cs="Arial"/>
          <w:sz w:val="24"/>
          <w:szCs w:val="24"/>
        </w:rPr>
        <w:t>ha</w:t>
      </w:r>
      <w:r>
        <w:rPr>
          <w:rFonts w:ascii="Arial" w:hAnsi="Arial" w:cs="Arial"/>
          <w:spacing w:val="-2"/>
          <w:sz w:val="24"/>
          <w:szCs w:val="24"/>
        </w:rPr>
        <w:t xml:space="preserve"> </w:t>
      </w:r>
      <w:r>
        <w:rPr>
          <w:rFonts w:ascii="Arial" w:hAnsi="Arial" w:cs="Arial"/>
          <w:sz w:val="24"/>
          <w:szCs w:val="24"/>
        </w:rPr>
        <w:t>incluido</w:t>
      </w:r>
      <w:r>
        <w:rPr>
          <w:rFonts w:ascii="Arial" w:hAnsi="Arial" w:cs="Arial"/>
          <w:spacing w:val="-1"/>
          <w:sz w:val="24"/>
          <w:szCs w:val="24"/>
        </w:rPr>
        <w:t xml:space="preserve"> </w:t>
      </w:r>
      <w:r>
        <w:rPr>
          <w:rFonts w:ascii="Arial" w:hAnsi="Arial" w:cs="Arial"/>
          <w:sz w:val="24"/>
          <w:szCs w:val="24"/>
        </w:rPr>
        <w:t>la</w:t>
      </w:r>
      <w:r>
        <w:rPr>
          <w:rFonts w:ascii="Arial" w:hAnsi="Arial" w:cs="Arial"/>
          <w:spacing w:val="-2"/>
          <w:sz w:val="24"/>
          <w:szCs w:val="24"/>
        </w:rPr>
        <w:t xml:space="preserve"> </w:t>
      </w:r>
      <w:r>
        <w:rPr>
          <w:rFonts w:ascii="Arial" w:hAnsi="Arial" w:cs="Arial"/>
          <w:sz w:val="24"/>
          <w:szCs w:val="24"/>
        </w:rPr>
        <w:t>aportación</w:t>
      </w:r>
      <w:r>
        <w:rPr>
          <w:rFonts w:ascii="Arial" w:hAnsi="Arial" w:cs="Arial"/>
          <w:spacing w:val="-3"/>
          <w:sz w:val="24"/>
          <w:szCs w:val="24"/>
        </w:rPr>
        <w:t xml:space="preserve"> </w:t>
      </w:r>
      <w:r>
        <w:rPr>
          <w:rFonts w:ascii="Arial" w:hAnsi="Arial" w:cs="Arial"/>
          <w:sz w:val="24"/>
          <w:szCs w:val="24"/>
        </w:rPr>
        <w:t>de</w:t>
      </w:r>
      <w:r>
        <w:rPr>
          <w:rFonts w:ascii="Arial" w:hAnsi="Arial" w:cs="Arial"/>
          <w:spacing w:val="-2"/>
          <w:sz w:val="24"/>
          <w:szCs w:val="24"/>
        </w:rPr>
        <w:t xml:space="preserve"> </w:t>
      </w:r>
      <w:r>
        <w:rPr>
          <w:rFonts w:ascii="Arial" w:hAnsi="Arial" w:cs="Arial"/>
          <w:sz w:val="24"/>
          <w:szCs w:val="24"/>
        </w:rPr>
        <w:t>ayudas</w:t>
      </w:r>
      <w:r>
        <w:rPr>
          <w:rFonts w:ascii="Arial" w:hAnsi="Arial" w:cs="Arial"/>
          <w:spacing w:val="-2"/>
          <w:sz w:val="24"/>
          <w:szCs w:val="24"/>
        </w:rPr>
        <w:t xml:space="preserve"> </w:t>
      </w:r>
      <w:r>
        <w:rPr>
          <w:rFonts w:ascii="Arial" w:hAnsi="Arial" w:cs="Arial"/>
          <w:sz w:val="24"/>
          <w:szCs w:val="24"/>
        </w:rPr>
        <w:t>económicas</w:t>
      </w:r>
      <w:r>
        <w:rPr>
          <w:rFonts w:ascii="Arial" w:hAnsi="Arial" w:cs="Arial"/>
          <w:spacing w:val="-2"/>
          <w:sz w:val="24"/>
          <w:szCs w:val="24"/>
        </w:rPr>
        <w:t xml:space="preserve"> </w:t>
      </w:r>
      <w:r>
        <w:rPr>
          <w:rFonts w:ascii="Arial" w:hAnsi="Arial" w:cs="Arial"/>
          <w:sz w:val="24"/>
          <w:szCs w:val="24"/>
        </w:rPr>
        <w:t>a</w:t>
      </w:r>
      <w:r>
        <w:rPr>
          <w:rFonts w:ascii="Arial" w:hAnsi="Arial" w:cs="Arial"/>
          <w:spacing w:val="-2"/>
          <w:sz w:val="24"/>
          <w:szCs w:val="24"/>
        </w:rPr>
        <w:t xml:space="preserve"> </w:t>
      </w:r>
      <w:r>
        <w:rPr>
          <w:rFonts w:ascii="Arial" w:hAnsi="Arial" w:cs="Arial"/>
          <w:sz w:val="24"/>
          <w:szCs w:val="24"/>
        </w:rPr>
        <w:t>mujeres</w:t>
      </w:r>
      <w:r>
        <w:rPr>
          <w:rFonts w:ascii="Arial" w:hAnsi="Arial" w:cs="Arial"/>
          <w:spacing w:val="-2"/>
          <w:sz w:val="24"/>
          <w:szCs w:val="24"/>
        </w:rPr>
        <w:t xml:space="preserve"> </w:t>
      </w:r>
      <w:r>
        <w:rPr>
          <w:rFonts w:ascii="Arial" w:hAnsi="Arial" w:cs="Arial"/>
          <w:sz w:val="24"/>
          <w:szCs w:val="24"/>
        </w:rPr>
        <w:t xml:space="preserve">víctimas de trata y/o en contexto de prostitución, sobre todo para hacer frente a cubrir necesidades básicas, tales como alojamiento, manutención, medicamentos, etc., así como otras ayudas que han precisado las mujeres que les ha permitido el acceso a actividades formativas u otras facilitadoras de su integración social. </w:t>
      </w:r>
    </w:p>
    <w:p>
      <w:pPr>
        <w:widowControl w:val="0"/>
        <w:autoSpaceDE w:val="0"/>
        <w:autoSpaceDN w:val="0"/>
        <w:spacing w:after="0" w:line="360" w:lineRule="auto"/>
        <w:ind w:left="213" w:right="138"/>
        <w:jc w:val="both"/>
        <w:rPr>
          <w:rFonts w:ascii="Arial" w:hAnsi="Arial" w:cs="Arial"/>
          <w:sz w:val="24"/>
          <w:szCs w:val="24"/>
        </w:rPr>
      </w:pPr>
    </w:p>
    <w:p>
      <w:pPr>
        <w:widowControl w:val="0"/>
        <w:autoSpaceDE w:val="0"/>
        <w:autoSpaceDN w:val="0"/>
        <w:spacing w:after="0" w:line="360" w:lineRule="auto"/>
        <w:ind w:left="213" w:right="138"/>
        <w:jc w:val="both"/>
        <w:rPr>
          <w:rFonts w:ascii="Arial" w:hAnsi="Arial" w:cs="Arial"/>
          <w:sz w:val="24"/>
          <w:szCs w:val="24"/>
        </w:rPr>
      </w:pPr>
      <w:r>
        <w:rPr>
          <w:rFonts w:ascii="Arial" w:hAnsi="Arial" w:cs="Arial"/>
          <w:sz w:val="24"/>
          <w:szCs w:val="24"/>
        </w:rPr>
        <w:t>En cuanto al Piso de Autonomía, señalar como sus antecedentes que en el año 2010 se puso en marcha, en Las Palmas de Gran Canaria, el Programa Oblatas Daniela de Atención a mujeres en prostitución y VTSH con fines de explotación sexual. Uno de sus proyectos, la Casa de Acogida Daniela, ofrece un espacio</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acogida,</w:t>
      </w:r>
      <w:r>
        <w:rPr>
          <w:rFonts w:ascii="Arial" w:hAnsi="Arial" w:cs="Arial"/>
          <w:spacing w:val="-1"/>
          <w:sz w:val="24"/>
          <w:szCs w:val="24"/>
        </w:rPr>
        <w:t xml:space="preserve"> </w:t>
      </w:r>
      <w:r>
        <w:rPr>
          <w:rFonts w:ascii="Arial" w:hAnsi="Arial" w:cs="Arial"/>
          <w:sz w:val="24"/>
          <w:szCs w:val="24"/>
        </w:rPr>
        <w:t>protección</w:t>
      </w:r>
      <w:r>
        <w:rPr>
          <w:rFonts w:ascii="Arial" w:hAnsi="Arial" w:cs="Arial"/>
          <w:spacing w:val="-2"/>
          <w:sz w:val="24"/>
          <w:szCs w:val="24"/>
        </w:rPr>
        <w:t xml:space="preserve"> </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intervención</w:t>
      </w:r>
      <w:r>
        <w:rPr>
          <w:rFonts w:ascii="Arial" w:hAnsi="Arial" w:cs="Arial"/>
          <w:spacing w:val="-2"/>
          <w:sz w:val="24"/>
          <w:szCs w:val="24"/>
        </w:rPr>
        <w:t xml:space="preserve"> </w:t>
      </w:r>
      <w:r>
        <w:rPr>
          <w:rFonts w:ascii="Arial" w:hAnsi="Arial" w:cs="Arial"/>
          <w:sz w:val="24"/>
          <w:szCs w:val="24"/>
        </w:rPr>
        <w:t>integral</w:t>
      </w:r>
      <w:r>
        <w:rPr>
          <w:rFonts w:ascii="Arial" w:hAnsi="Arial" w:cs="Arial"/>
          <w:spacing w:val="-4"/>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este</w:t>
      </w:r>
      <w:r>
        <w:rPr>
          <w:rFonts w:ascii="Arial" w:hAnsi="Arial" w:cs="Arial"/>
          <w:spacing w:val="-1"/>
          <w:sz w:val="24"/>
          <w:szCs w:val="24"/>
        </w:rPr>
        <w:t xml:space="preserve"> </w:t>
      </w:r>
      <w:r>
        <w:rPr>
          <w:rFonts w:ascii="Arial" w:hAnsi="Arial" w:cs="Arial"/>
          <w:sz w:val="24"/>
          <w:szCs w:val="24"/>
        </w:rPr>
        <w:t>colectivo de</w:t>
      </w:r>
      <w:r>
        <w:rPr>
          <w:rFonts w:ascii="Arial" w:hAnsi="Arial" w:cs="Arial"/>
          <w:spacing w:val="-1"/>
          <w:sz w:val="24"/>
          <w:szCs w:val="24"/>
        </w:rPr>
        <w:t xml:space="preserve"> </w:t>
      </w:r>
      <w:r>
        <w:rPr>
          <w:rFonts w:ascii="Arial" w:hAnsi="Arial" w:cs="Arial"/>
          <w:sz w:val="24"/>
          <w:szCs w:val="24"/>
        </w:rPr>
        <w:t>mujeres,</w:t>
      </w:r>
      <w:r>
        <w:rPr>
          <w:rFonts w:ascii="Arial" w:hAnsi="Arial" w:cs="Arial"/>
          <w:spacing w:val="-1"/>
          <w:sz w:val="24"/>
          <w:szCs w:val="24"/>
        </w:rPr>
        <w:t xml:space="preserve"> </w:t>
      </w:r>
      <w:r>
        <w:rPr>
          <w:rFonts w:ascii="Arial" w:hAnsi="Arial" w:cs="Arial"/>
          <w:sz w:val="24"/>
          <w:szCs w:val="24"/>
        </w:rPr>
        <w:t>con</w:t>
      </w:r>
      <w:r>
        <w:rPr>
          <w:rFonts w:ascii="Arial" w:hAnsi="Arial" w:cs="Arial"/>
          <w:spacing w:val="-2"/>
          <w:sz w:val="24"/>
          <w:szCs w:val="24"/>
        </w:rPr>
        <w:t xml:space="preserve"> </w:t>
      </w:r>
      <w:r>
        <w:rPr>
          <w:rFonts w:ascii="Arial" w:hAnsi="Arial" w:cs="Arial"/>
          <w:sz w:val="24"/>
          <w:szCs w:val="24"/>
        </w:rPr>
        <w:t>una</w:t>
      </w:r>
      <w:r>
        <w:rPr>
          <w:rFonts w:ascii="Arial" w:hAnsi="Arial" w:cs="Arial"/>
          <w:spacing w:val="-1"/>
          <w:sz w:val="24"/>
          <w:szCs w:val="24"/>
        </w:rPr>
        <w:t xml:space="preserve"> </w:t>
      </w:r>
      <w:r>
        <w:rPr>
          <w:rFonts w:ascii="Arial" w:hAnsi="Arial" w:cs="Arial"/>
          <w:sz w:val="24"/>
          <w:szCs w:val="24"/>
        </w:rPr>
        <w:t>supervisión las 24 horas del día por un equipo de educadoras sociales. Tras unos años de andadura y, al haber recibido la oferta de cesión de un piso por parte de la Fundación Hermanos Juan y Juana Espino Suárez, el Programa toma la decisión de aceptar el inmueble para ofrecérselo en forma de Piso de Autonomía a aquellas mujeres que, una vez finalizado el tiempo de acogida en la casa, aun necesiten dar</w:t>
      </w:r>
      <w:r>
        <w:rPr>
          <w:rFonts w:ascii="Arial" w:hAnsi="Arial" w:cs="Arial"/>
          <w:spacing w:val="40"/>
          <w:sz w:val="24"/>
          <w:szCs w:val="24"/>
        </w:rPr>
        <w:t xml:space="preserve"> </w:t>
      </w:r>
      <w:r>
        <w:rPr>
          <w:rFonts w:ascii="Arial" w:hAnsi="Arial" w:cs="Arial"/>
          <w:sz w:val="24"/>
          <w:szCs w:val="24"/>
        </w:rPr>
        <w:t>continuidad al proceso iniciado, fortalecerse y reafirmarse personalmente, adquiriendo una mayor seguridad y autonomía de cara a la inserción social e independencia. En este caso, la supervisión del mismo se realiza de forma externa por parte del equipo del Programa.</w:t>
      </w:r>
    </w:p>
    <w:p>
      <w:pPr>
        <w:widowControl w:val="0"/>
        <w:autoSpaceDE w:val="0"/>
        <w:autoSpaceDN w:val="0"/>
        <w:spacing w:after="0" w:line="360" w:lineRule="auto"/>
        <w:ind w:left="213" w:right="138"/>
        <w:jc w:val="both"/>
        <w:rPr>
          <w:rFonts w:ascii="Arial" w:hAnsi="Arial" w:cs="Arial"/>
          <w:sz w:val="24"/>
          <w:szCs w:val="24"/>
        </w:rPr>
      </w:pPr>
    </w:p>
    <w:p>
      <w:pPr>
        <w:widowControl w:val="0"/>
        <w:autoSpaceDE w:val="0"/>
        <w:autoSpaceDN w:val="0"/>
        <w:spacing w:before="2" w:after="0" w:line="360" w:lineRule="auto"/>
        <w:ind w:left="213" w:right="142"/>
        <w:jc w:val="both"/>
        <w:rPr>
          <w:rFonts w:ascii="Arial" w:hAnsi="Arial" w:cs="Arial"/>
          <w:sz w:val="24"/>
          <w:szCs w:val="24"/>
        </w:rPr>
      </w:pPr>
      <w:r>
        <w:rPr>
          <w:rFonts w:ascii="Arial" w:hAnsi="Arial" w:cs="Arial"/>
          <w:sz w:val="24"/>
          <w:szCs w:val="24"/>
        </w:rPr>
        <w:t>El 28 de febrero de 2015 se procede a la inauguración del Piso de Autonomía ofertando cuatro plazas, haciéndose ese mismo día el traslado y acomodamiento de las dos primeras residentes.</w:t>
      </w:r>
    </w:p>
    <w:p>
      <w:pPr>
        <w:widowControl w:val="0"/>
        <w:autoSpaceDE w:val="0"/>
        <w:autoSpaceDN w:val="0"/>
        <w:spacing w:before="2" w:after="0" w:line="360" w:lineRule="auto"/>
        <w:ind w:left="213" w:right="142"/>
        <w:jc w:val="both"/>
        <w:rPr>
          <w:rFonts w:ascii="Arial" w:hAnsi="Arial" w:cs="Arial"/>
          <w:sz w:val="24"/>
          <w:szCs w:val="24"/>
        </w:rPr>
      </w:pPr>
    </w:p>
    <w:p>
      <w:pPr>
        <w:widowControl w:val="0"/>
        <w:autoSpaceDE w:val="0"/>
        <w:autoSpaceDN w:val="0"/>
        <w:spacing w:before="4" w:after="0" w:line="360" w:lineRule="auto"/>
        <w:ind w:left="213" w:right="137"/>
        <w:jc w:val="both"/>
        <w:rPr>
          <w:rFonts w:ascii="Arial" w:hAnsi="Arial" w:cs="Arial"/>
          <w:sz w:val="24"/>
          <w:szCs w:val="24"/>
        </w:rPr>
      </w:pPr>
      <w:r>
        <w:rPr>
          <w:rFonts w:ascii="Arial" w:hAnsi="Arial" w:cs="Arial"/>
          <w:sz w:val="24"/>
          <w:szCs w:val="24"/>
        </w:rPr>
        <w:t>En el año 2025 se continúa configurando el Piso de Autonomía como un hogar compartido,</w:t>
      </w:r>
      <w:r>
        <w:rPr>
          <w:rFonts w:ascii="Arial" w:hAnsi="Arial" w:cs="Arial"/>
          <w:spacing w:val="80"/>
          <w:sz w:val="24"/>
          <w:szCs w:val="24"/>
        </w:rPr>
        <w:t xml:space="preserve"> </w:t>
      </w:r>
      <w:r>
        <w:rPr>
          <w:rFonts w:ascii="Arial" w:hAnsi="Arial" w:cs="Arial"/>
          <w:sz w:val="24"/>
          <w:szCs w:val="24"/>
        </w:rPr>
        <w:t>donde pueden residir hasta un total de cuatro personas, mujeres e hijos/as si los tuviese a cargo.</w:t>
      </w:r>
      <w:r>
        <w:rPr>
          <w:rFonts w:ascii="Arial" w:hAnsi="Arial" w:cs="Arial"/>
          <w:spacing w:val="40"/>
          <w:sz w:val="24"/>
          <w:szCs w:val="24"/>
        </w:rPr>
        <w:t xml:space="preserve"> </w:t>
      </w:r>
      <w:r>
        <w:rPr>
          <w:rFonts w:ascii="Arial" w:hAnsi="Arial" w:cs="Arial"/>
          <w:sz w:val="24"/>
          <w:szCs w:val="24"/>
        </w:rPr>
        <w:t>Es una casa de uso independiente dónde la convivencia se rige por las normas acordadas por las propias</w:t>
      </w:r>
      <w:r>
        <w:rPr>
          <w:rFonts w:ascii="Arial" w:hAnsi="Arial" w:cs="Arial"/>
          <w:spacing w:val="40"/>
          <w:sz w:val="24"/>
          <w:szCs w:val="24"/>
        </w:rPr>
        <w:t xml:space="preserve"> </w:t>
      </w:r>
      <w:r>
        <w:rPr>
          <w:rFonts w:ascii="Arial" w:hAnsi="Arial" w:cs="Arial"/>
          <w:sz w:val="24"/>
          <w:szCs w:val="24"/>
        </w:rPr>
        <w:t>residentes, con el</w:t>
      </w:r>
      <w:r>
        <w:rPr>
          <w:rFonts w:ascii="Arial" w:hAnsi="Arial" w:cs="Arial"/>
          <w:spacing w:val="-2"/>
          <w:sz w:val="24"/>
          <w:szCs w:val="24"/>
        </w:rPr>
        <w:t xml:space="preserve"> </w:t>
      </w:r>
      <w:r>
        <w:rPr>
          <w:rFonts w:ascii="Arial" w:hAnsi="Arial" w:cs="Arial"/>
          <w:sz w:val="24"/>
          <w:szCs w:val="24"/>
        </w:rPr>
        <w:t>acompañamiento</w:t>
      </w:r>
      <w:r>
        <w:rPr>
          <w:rFonts w:ascii="Arial" w:hAnsi="Arial" w:cs="Arial"/>
          <w:spacing w:val="-1"/>
          <w:sz w:val="24"/>
          <w:szCs w:val="24"/>
        </w:rPr>
        <w:t xml:space="preserve"> </w:t>
      </w:r>
      <w:r>
        <w:rPr>
          <w:rFonts w:ascii="Arial" w:hAnsi="Arial" w:cs="Arial"/>
          <w:sz w:val="24"/>
          <w:szCs w:val="24"/>
        </w:rPr>
        <w:t>y supervisión del</w:t>
      </w:r>
      <w:r>
        <w:rPr>
          <w:rFonts w:ascii="Arial" w:hAnsi="Arial" w:cs="Arial"/>
          <w:spacing w:val="-2"/>
          <w:sz w:val="24"/>
          <w:szCs w:val="24"/>
        </w:rPr>
        <w:t xml:space="preserve"> </w:t>
      </w:r>
      <w:r>
        <w:rPr>
          <w:rFonts w:ascii="Arial" w:hAnsi="Arial" w:cs="Arial"/>
          <w:sz w:val="24"/>
          <w:szCs w:val="24"/>
        </w:rPr>
        <w:t>equipo de</w:t>
      </w:r>
      <w:r>
        <w:rPr>
          <w:rFonts w:ascii="Arial" w:hAnsi="Arial" w:cs="Arial"/>
          <w:spacing w:val="-2"/>
          <w:sz w:val="24"/>
          <w:szCs w:val="24"/>
        </w:rPr>
        <w:t xml:space="preserve"> </w:t>
      </w:r>
      <w:r>
        <w:rPr>
          <w:rFonts w:ascii="Arial" w:hAnsi="Arial" w:cs="Arial"/>
          <w:sz w:val="24"/>
          <w:szCs w:val="24"/>
        </w:rPr>
        <w:t>este proyecto.</w:t>
      </w:r>
      <w:r>
        <w:rPr>
          <w:rFonts w:ascii="Arial" w:hAnsi="Arial" w:cs="Arial"/>
          <w:spacing w:val="-3"/>
          <w:sz w:val="24"/>
          <w:szCs w:val="24"/>
        </w:rPr>
        <w:t xml:space="preserve"> </w:t>
      </w:r>
      <w:r>
        <w:rPr>
          <w:rFonts w:ascii="Arial" w:hAnsi="Arial" w:cs="Arial"/>
          <w:sz w:val="24"/>
          <w:szCs w:val="24"/>
        </w:rPr>
        <w:t>Se potencia, desde</w:t>
      </w:r>
      <w:r>
        <w:rPr>
          <w:rFonts w:ascii="Arial" w:hAnsi="Arial" w:cs="Arial"/>
          <w:spacing w:val="-2"/>
          <w:sz w:val="24"/>
          <w:szCs w:val="24"/>
        </w:rPr>
        <w:t xml:space="preserve"> </w:t>
      </w:r>
      <w:r>
        <w:rPr>
          <w:rFonts w:ascii="Arial" w:hAnsi="Arial" w:cs="Arial"/>
          <w:sz w:val="24"/>
          <w:szCs w:val="24"/>
        </w:rPr>
        <w:t>este tipo de espacios, la emancipación personal, los procesos de participación, las redes de apoyo social, y</w:t>
      </w:r>
      <w:r>
        <w:rPr>
          <w:rFonts w:ascii="Arial" w:hAnsi="Arial" w:cs="Arial"/>
          <w:spacing w:val="40"/>
          <w:sz w:val="24"/>
          <w:szCs w:val="24"/>
        </w:rPr>
        <w:t xml:space="preserve"> </w:t>
      </w:r>
      <w:r>
        <w:rPr>
          <w:rFonts w:ascii="Arial" w:hAnsi="Arial" w:cs="Arial"/>
          <w:sz w:val="24"/>
          <w:szCs w:val="24"/>
        </w:rPr>
        <w:t>el descubrir alternativas y/o nuevas formas de vida. Cada mujer establece con el equipo acuerdos personales para su acompañamiento y participa de actividades conjuntas con el resto de las</w:t>
      </w:r>
      <w:r>
        <w:rPr>
          <w:rFonts w:ascii="Arial" w:hAnsi="Arial" w:cs="Arial"/>
          <w:spacing w:val="40"/>
          <w:sz w:val="24"/>
          <w:szCs w:val="24"/>
        </w:rPr>
        <w:t xml:space="preserve"> </w:t>
      </w:r>
      <w:r>
        <w:rPr>
          <w:rFonts w:ascii="Arial" w:hAnsi="Arial" w:cs="Arial"/>
          <w:sz w:val="24"/>
          <w:szCs w:val="24"/>
        </w:rPr>
        <w:t>residentes, así como el cuidado y mantenimiento de esta casa.</w:t>
      </w:r>
    </w:p>
    <w:p>
      <w:pPr>
        <w:widowControl w:val="0"/>
        <w:autoSpaceDE w:val="0"/>
        <w:autoSpaceDN w:val="0"/>
        <w:spacing w:before="4" w:after="0" w:line="360" w:lineRule="auto"/>
        <w:ind w:left="213" w:right="137"/>
        <w:jc w:val="both"/>
        <w:rPr>
          <w:rFonts w:ascii="Arial" w:hAnsi="Arial" w:cs="Arial"/>
          <w:sz w:val="24"/>
          <w:szCs w:val="24"/>
        </w:rPr>
      </w:pPr>
    </w:p>
    <w:p>
      <w:pPr>
        <w:widowControl w:val="0"/>
        <w:shd w:val="clear" w:color="auto" w:fill="B2A1C7" w:themeFill="accent4" w:themeFillTint="99"/>
        <w:autoSpaceDE w:val="0"/>
        <w:autoSpaceDN w:val="0"/>
        <w:spacing w:before="242" w:after="0" w:line="360" w:lineRule="auto"/>
        <w:ind w:left="213"/>
        <w:outlineLvl w:val="1"/>
        <w:rPr>
          <w:rFonts w:ascii="Arial" w:hAnsi="Arial" w:cs="Arial"/>
          <w:b/>
          <w:bCs/>
          <w:sz w:val="24"/>
          <w:szCs w:val="24"/>
        </w:rPr>
      </w:pPr>
      <w:r>
        <w:rPr>
          <w:rFonts w:ascii="Arial" w:hAnsi="Arial" w:cs="Arial"/>
          <w:b/>
          <w:bCs/>
          <w:sz w:val="24"/>
          <w:szCs w:val="24"/>
        </w:rPr>
        <w:lastRenderedPageBreak/>
        <w:t>4.2. OBJETIVOS</w:t>
      </w:r>
      <w:r>
        <w:rPr>
          <w:rFonts w:ascii="Arial" w:hAnsi="Arial" w:cs="Arial"/>
          <w:b/>
          <w:bCs/>
          <w:spacing w:val="-7"/>
          <w:sz w:val="24"/>
          <w:szCs w:val="24"/>
        </w:rPr>
        <w:t xml:space="preserve"> </w:t>
      </w:r>
      <w:r>
        <w:rPr>
          <w:rFonts w:ascii="Arial" w:hAnsi="Arial" w:cs="Arial"/>
          <w:b/>
          <w:bCs/>
          <w:spacing w:val="-2"/>
          <w:sz w:val="24"/>
          <w:szCs w:val="24"/>
        </w:rPr>
        <w:t>GENERALES</w:t>
      </w:r>
    </w:p>
    <w:p>
      <w:pPr>
        <w:widowControl w:val="0"/>
        <w:autoSpaceDE w:val="0"/>
        <w:autoSpaceDN w:val="0"/>
        <w:spacing w:before="41" w:after="0" w:line="360" w:lineRule="auto"/>
        <w:ind w:left="213"/>
        <w:rPr>
          <w:rFonts w:ascii="Arial" w:hAnsi="Arial" w:cs="Arial"/>
          <w:sz w:val="24"/>
          <w:szCs w:val="24"/>
        </w:rPr>
      </w:pPr>
    </w:p>
    <w:p>
      <w:pPr>
        <w:widowControl w:val="0"/>
        <w:autoSpaceDE w:val="0"/>
        <w:autoSpaceDN w:val="0"/>
        <w:spacing w:before="41" w:after="0" w:line="360" w:lineRule="auto"/>
        <w:ind w:left="213"/>
        <w:rPr>
          <w:rFonts w:ascii="Arial" w:hAnsi="Arial" w:cs="Arial"/>
          <w:sz w:val="24"/>
          <w:szCs w:val="24"/>
        </w:rPr>
      </w:pPr>
      <w:r>
        <w:rPr>
          <w:rFonts w:ascii="Arial" w:hAnsi="Arial" w:cs="Arial"/>
          <w:sz w:val="24"/>
          <w:szCs w:val="24"/>
        </w:rPr>
        <w:t>1.- Reforzar el proceso de trabajo realizado previamente con cada una de las mujeres desde el proyecto Casa de Acogida Daniela, para facilitar su autonomía e</w:t>
      </w:r>
    </w:p>
    <w:p>
      <w:pPr>
        <w:widowControl w:val="0"/>
        <w:autoSpaceDE w:val="0"/>
        <w:autoSpaceDN w:val="0"/>
        <w:spacing w:before="41" w:after="0" w:line="360" w:lineRule="auto"/>
        <w:ind w:left="213"/>
        <w:rPr>
          <w:rFonts w:ascii="Arial" w:hAnsi="Arial" w:cs="Arial"/>
          <w:sz w:val="24"/>
          <w:szCs w:val="24"/>
        </w:rPr>
      </w:pPr>
      <w:r>
        <w:rPr>
          <w:rFonts w:ascii="Arial" w:hAnsi="Arial" w:cs="Arial"/>
          <w:sz w:val="24"/>
          <w:szCs w:val="24"/>
        </w:rPr>
        <w:t>inserción social.</w:t>
      </w:r>
    </w:p>
    <w:p>
      <w:pPr>
        <w:widowControl w:val="0"/>
        <w:autoSpaceDE w:val="0"/>
        <w:autoSpaceDN w:val="0"/>
        <w:spacing w:before="41" w:after="0" w:line="360" w:lineRule="auto"/>
        <w:ind w:left="213"/>
        <w:rPr>
          <w:rFonts w:ascii="Arial" w:hAnsi="Arial" w:cs="Arial"/>
          <w:sz w:val="24"/>
          <w:szCs w:val="24"/>
        </w:rPr>
      </w:pPr>
      <w:r>
        <w:rPr>
          <w:rFonts w:ascii="Arial" w:hAnsi="Arial" w:cs="Arial"/>
          <w:sz w:val="24"/>
          <w:szCs w:val="24"/>
        </w:rPr>
        <w:t>2.- Apoyar la cobertura de necesidades básicas y de acceso a actividades formativas de aquellas mujeres y los hijos/as dependientes de éstas que lo precisen.</w:t>
      </w:r>
    </w:p>
    <w:p>
      <w:pPr>
        <w:widowControl w:val="0"/>
        <w:autoSpaceDE w:val="0"/>
        <w:autoSpaceDN w:val="0"/>
        <w:spacing w:before="45" w:after="0" w:line="360" w:lineRule="auto"/>
        <w:rPr>
          <w:rFonts w:ascii="Arial" w:hAnsi="Arial" w:cs="Arial"/>
          <w:sz w:val="24"/>
          <w:szCs w:val="24"/>
        </w:rPr>
      </w:pPr>
    </w:p>
    <w:p>
      <w:pPr>
        <w:widowControl w:val="0"/>
        <w:shd w:val="clear" w:color="auto" w:fill="B2A1C7" w:themeFill="accent4" w:themeFillTint="99"/>
        <w:autoSpaceDE w:val="0"/>
        <w:autoSpaceDN w:val="0"/>
        <w:spacing w:after="0" w:line="360" w:lineRule="auto"/>
        <w:ind w:left="213"/>
        <w:outlineLvl w:val="1"/>
        <w:rPr>
          <w:rFonts w:ascii="Arial" w:hAnsi="Arial" w:cs="Arial"/>
          <w:b/>
          <w:bCs/>
          <w:spacing w:val="-2"/>
          <w:sz w:val="24"/>
          <w:szCs w:val="24"/>
        </w:rPr>
      </w:pPr>
      <w:r>
        <w:rPr>
          <w:rFonts w:ascii="Arial" w:hAnsi="Arial" w:cs="Arial"/>
          <w:b/>
          <w:bCs/>
          <w:sz w:val="24"/>
          <w:szCs w:val="24"/>
        </w:rPr>
        <w:t>4.3.- OBJETIVOS</w:t>
      </w:r>
      <w:r>
        <w:rPr>
          <w:rFonts w:ascii="Arial" w:hAnsi="Arial" w:cs="Arial"/>
          <w:b/>
          <w:bCs/>
          <w:spacing w:val="-9"/>
          <w:sz w:val="24"/>
          <w:szCs w:val="24"/>
        </w:rPr>
        <w:t xml:space="preserve"> </w:t>
      </w:r>
      <w:r>
        <w:rPr>
          <w:rFonts w:ascii="Arial" w:hAnsi="Arial" w:cs="Arial"/>
          <w:b/>
          <w:bCs/>
          <w:spacing w:val="-2"/>
          <w:sz w:val="24"/>
          <w:szCs w:val="24"/>
        </w:rPr>
        <w:t>ESPECIFICOS</w:t>
      </w:r>
    </w:p>
    <w:p>
      <w:pPr>
        <w:widowControl w:val="0"/>
        <w:autoSpaceDE w:val="0"/>
        <w:autoSpaceDN w:val="0"/>
        <w:spacing w:before="186" w:after="0" w:line="360" w:lineRule="auto"/>
        <w:jc w:val="both"/>
        <w:rPr>
          <w:rFonts w:ascii="Arial" w:hAnsi="Arial" w:cs="Arial"/>
          <w:sz w:val="24"/>
          <w:szCs w:val="24"/>
        </w:rPr>
      </w:pPr>
      <w:r>
        <w:rPr>
          <w:rFonts w:ascii="Arial" w:hAnsi="Arial" w:cs="Arial"/>
          <w:sz w:val="24"/>
          <w:szCs w:val="24"/>
        </w:rPr>
        <w:t>1.1.- Desarrollo de las actividades de la vida cotidiana de manera autónoma efectiva.</w:t>
      </w:r>
    </w:p>
    <w:p>
      <w:pPr>
        <w:widowControl w:val="0"/>
        <w:autoSpaceDE w:val="0"/>
        <w:autoSpaceDN w:val="0"/>
        <w:spacing w:before="186" w:after="0" w:line="360" w:lineRule="auto"/>
        <w:jc w:val="both"/>
        <w:rPr>
          <w:rFonts w:ascii="Arial" w:hAnsi="Arial" w:cs="Arial"/>
          <w:sz w:val="24"/>
          <w:szCs w:val="24"/>
        </w:rPr>
      </w:pPr>
      <w:r>
        <w:rPr>
          <w:rFonts w:ascii="Arial" w:hAnsi="Arial" w:cs="Arial"/>
          <w:sz w:val="24"/>
          <w:szCs w:val="24"/>
        </w:rPr>
        <w:t>1.2.- Proporcionar herramientas que favorezcan la autonomía de la mujer en su entorno social.</w:t>
      </w:r>
    </w:p>
    <w:p>
      <w:pPr>
        <w:widowControl w:val="0"/>
        <w:autoSpaceDE w:val="0"/>
        <w:autoSpaceDN w:val="0"/>
        <w:spacing w:before="186" w:after="0" w:line="360" w:lineRule="auto"/>
        <w:jc w:val="both"/>
        <w:rPr>
          <w:rFonts w:ascii="Arial" w:hAnsi="Arial" w:cs="Arial"/>
          <w:sz w:val="24"/>
          <w:szCs w:val="24"/>
        </w:rPr>
      </w:pPr>
      <w:r>
        <w:rPr>
          <w:rFonts w:ascii="Arial" w:hAnsi="Arial" w:cs="Arial"/>
          <w:sz w:val="24"/>
          <w:szCs w:val="24"/>
        </w:rPr>
        <w:t>1.3.- Detectar las necesidades de la mujer y apoyar en la consecución de sus objetivos.</w:t>
      </w:r>
    </w:p>
    <w:p>
      <w:pPr>
        <w:widowControl w:val="0"/>
        <w:autoSpaceDE w:val="0"/>
        <w:autoSpaceDN w:val="0"/>
        <w:spacing w:before="186" w:after="0" w:line="360" w:lineRule="auto"/>
        <w:jc w:val="both"/>
        <w:rPr>
          <w:rFonts w:ascii="Arial" w:hAnsi="Arial" w:cs="Arial"/>
          <w:sz w:val="24"/>
          <w:szCs w:val="24"/>
        </w:rPr>
      </w:pPr>
      <w:r>
        <w:rPr>
          <w:rFonts w:ascii="Arial" w:hAnsi="Arial" w:cs="Arial"/>
          <w:sz w:val="24"/>
          <w:szCs w:val="24"/>
        </w:rPr>
        <w:t>1.4.-Promover estrategias de organización de la vida cotidiana y resolución de conflictos.</w:t>
      </w:r>
    </w:p>
    <w:p>
      <w:pPr>
        <w:widowControl w:val="0"/>
        <w:autoSpaceDE w:val="0"/>
        <w:autoSpaceDN w:val="0"/>
        <w:spacing w:before="186" w:after="0" w:line="360" w:lineRule="auto"/>
        <w:jc w:val="both"/>
        <w:rPr>
          <w:rFonts w:ascii="Arial" w:hAnsi="Arial" w:cs="Arial"/>
          <w:sz w:val="24"/>
          <w:szCs w:val="24"/>
        </w:rPr>
      </w:pPr>
      <w:r>
        <w:rPr>
          <w:rFonts w:ascii="Arial" w:hAnsi="Arial" w:cs="Arial"/>
          <w:sz w:val="24"/>
          <w:szCs w:val="24"/>
        </w:rPr>
        <w:t>1.5.- Acompañar en el desarrollo de un comportamiento responsable del autocuidado físico, emocional, social, sanitario y económico.</w:t>
      </w:r>
    </w:p>
    <w:p>
      <w:pPr>
        <w:widowControl w:val="0"/>
        <w:autoSpaceDE w:val="0"/>
        <w:autoSpaceDN w:val="0"/>
        <w:spacing w:before="186" w:after="0" w:line="360" w:lineRule="auto"/>
        <w:jc w:val="both"/>
        <w:rPr>
          <w:rFonts w:ascii="Arial" w:hAnsi="Arial" w:cs="Arial"/>
          <w:sz w:val="24"/>
          <w:szCs w:val="24"/>
        </w:rPr>
      </w:pPr>
      <w:r>
        <w:rPr>
          <w:rFonts w:ascii="Arial" w:hAnsi="Arial" w:cs="Arial"/>
          <w:sz w:val="24"/>
          <w:szCs w:val="24"/>
        </w:rPr>
        <w:t>2.1.- Ofrecer alternativas que permitan cubrir las necesidades básicas de las mujeres y sus hijos/as, principalmente relacionadas con alojamiento, alimentación y otras necesidades básicas.</w:t>
      </w:r>
    </w:p>
    <w:p>
      <w:pPr>
        <w:widowControl w:val="0"/>
        <w:shd w:val="clear" w:color="auto" w:fill="B2A1C7" w:themeFill="accent4" w:themeFillTint="99"/>
        <w:autoSpaceDE w:val="0"/>
        <w:autoSpaceDN w:val="0"/>
        <w:spacing w:before="186" w:after="0" w:line="360" w:lineRule="auto"/>
        <w:jc w:val="both"/>
        <w:rPr>
          <w:rFonts w:ascii="Arial" w:hAnsi="Arial" w:cs="Arial"/>
          <w:b/>
          <w:sz w:val="24"/>
          <w:szCs w:val="24"/>
        </w:rPr>
      </w:pPr>
      <w:r>
        <w:rPr>
          <w:rFonts w:ascii="Arial" w:hAnsi="Arial" w:cs="Arial"/>
          <w:b/>
          <w:sz w:val="24"/>
          <w:szCs w:val="24"/>
        </w:rPr>
        <w:t>4.4.- DESCRIPCIÓN DE LA POBLACIÓN ATENDIDA</w:t>
      </w:r>
    </w:p>
    <w:p>
      <w:pPr>
        <w:widowControl w:val="0"/>
        <w:autoSpaceDE w:val="0"/>
        <w:autoSpaceDN w:val="0"/>
        <w:spacing w:after="0" w:line="360" w:lineRule="auto"/>
        <w:ind w:left="213"/>
        <w:jc w:val="both"/>
        <w:rPr>
          <w:rFonts w:ascii="Arial" w:hAnsi="Arial" w:cs="Arial"/>
          <w:b/>
          <w:bCs/>
          <w:color w:val="000000"/>
          <w:sz w:val="24"/>
          <w:szCs w:val="24"/>
          <w:shd w:val="clear" w:color="auto" w:fill="B1A0C6"/>
        </w:rPr>
      </w:pPr>
    </w:p>
    <w:p>
      <w:pPr>
        <w:widowControl w:val="0"/>
        <w:autoSpaceDE w:val="0"/>
        <w:autoSpaceDN w:val="0"/>
        <w:spacing w:after="0" w:line="360" w:lineRule="auto"/>
        <w:ind w:left="213"/>
        <w:jc w:val="both"/>
        <w:rPr>
          <w:rFonts w:ascii="Arial" w:hAnsi="Arial" w:cs="Arial"/>
          <w:b/>
          <w:sz w:val="24"/>
          <w:szCs w:val="24"/>
        </w:rPr>
      </w:pPr>
      <w:r>
        <w:rPr>
          <w:rFonts w:ascii="Arial" w:hAnsi="Arial" w:cs="Arial"/>
          <w:sz w:val="24"/>
          <w:szCs w:val="24"/>
        </w:rPr>
        <w:t xml:space="preserve">El alcance del proyecto ha sido significativo, atendiendo a un total de </w:t>
      </w:r>
      <w:r>
        <w:rPr>
          <w:rFonts w:ascii="Arial" w:hAnsi="Arial" w:cs="Arial"/>
          <w:b/>
          <w:sz w:val="24"/>
          <w:szCs w:val="24"/>
        </w:rPr>
        <w:t>89 personas</w:t>
      </w:r>
      <w:r>
        <w:rPr>
          <w:rFonts w:ascii="Arial" w:hAnsi="Arial" w:cs="Arial"/>
          <w:sz w:val="24"/>
          <w:szCs w:val="24"/>
        </w:rPr>
        <w:t xml:space="preserve"> beneficiarias, desglosadas en </w:t>
      </w:r>
      <w:r>
        <w:rPr>
          <w:rFonts w:ascii="Arial" w:hAnsi="Arial" w:cs="Arial"/>
          <w:b/>
          <w:sz w:val="24"/>
          <w:szCs w:val="24"/>
        </w:rPr>
        <w:t>5 mujeres y 1 menor residentes en el Piso de Autonomía</w:t>
      </w:r>
      <w:r>
        <w:rPr>
          <w:rFonts w:ascii="Arial" w:hAnsi="Arial" w:cs="Arial"/>
          <w:sz w:val="24"/>
          <w:szCs w:val="24"/>
        </w:rPr>
        <w:t xml:space="preserve"> y </w:t>
      </w:r>
      <w:r>
        <w:rPr>
          <w:rFonts w:ascii="Arial" w:hAnsi="Arial" w:cs="Arial"/>
          <w:b/>
          <w:sz w:val="24"/>
          <w:szCs w:val="24"/>
        </w:rPr>
        <w:t>46 mujeres junto a 31 hijos e hijas convivientes, beneficiarios directos de las ayudas económicas.</w:t>
      </w:r>
    </w:p>
    <w:p>
      <w:pPr>
        <w:widowControl w:val="0"/>
        <w:autoSpaceDE w:val="0"/>
        <w:autoSpaceDN w:val="0"/>
        <w:spacing w:after="0" w:line="360" w:lineRule="auto"/>
        <w:ind w:left="213"/>
        <w:jc w:val="both"/>
        <w:rPr>
          <w:rFonts w:ascii="Arial" w:hAnsi="Arial" w:cs="Arial"/>
          <w:sz w:val="24"/>
          <w:szCs w:val="24"/>
        </w:rPr>
      </w:pPr>
      <w:r>
        <w:rPr>
          <w:rFonts w:ascii="Arial" w:hAnsi="Arial" w:cs="Arial"/>
          <w:sz w:val="24"/>
          <w:szCs w:val="24"/>
        </w:rPr>
        <w:lastRenderedPageBreak/>
        <w:t>Indicadores fijados en cuanto al Piso de Autonomía:</w:t>
      </w:r>
    </w:p>
    <w:p>
      <w:pPr>
        <w:widowControl w:val="0"/>
        <w:autoSpaceDE w:val="0"/>
        <w:autoSpaceDN w:val="0"/>
        <w:spacing w:after="0" w:line="360" w:lineRule="auto"/>
        <w:ind w:left="213"/>
        <w:jc w:val="both"/>
        <w:rPr>
          <w:rFonts w:ascii="Arial" w:hAnsi="Arial" w:cs="Arial"/>
          <w:b/>
          <w:sz w:val="24"/>
          <w:szCs w:val="24"/>
        </w:rPr>
      </w:pPr>
    </w:p>
    <w:p>
      <w:pPr>
        <w:widowControl w:val="0"/>
        <w:autoSpaceDE w:val="0"/>
        <w:autoSpaceDN w:val="0"/>
        <w:spacing w:after="0" w:line="360" w:lineRule="auto"/>
        <w:ind w:left="213"/>
        <w:jc w:val="both"/>
        <w:rPr>
          <w:rFonts w:ascii="Arial" w:hAnsi="Arial" w:cs="Arial"/>
          <w:sz w:val="24"/>
          <w:szCs w:val="24"/>
          <w:u w:val="single"/>
        </w:rPr>
      </w:pPr>
      <w:r>
        <w:rPr>
          <w:rFonts w:ascii="Arial" w:hAnsi="Arial" w:cs="Arial"/>
          <w:sz w:val="24"/>
          <w:szCs w:val="24"/>
          <w:u w:val="single"/>
        </w:rPr>
        <w:t>-Porcentaje de ocupación del piso de autonomía:</w:t>
      </w:r>
    </w:p>
    <w:p>
      <w:pPr>
        <w:widowControl w:val="0"/>
        <w:autoSpaceDE w:val="0"/>
        <w:autoSpaceDN w:val="0"/>
        <w:spacing w:after="0" w:line="360" w:lineRule="auto"/>
        <w:ind w:left="213"/>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r>
        <w:rPr>
          <w:rFonts w:ascii="Arial" w:hAnsi="Arial" w:cs="Arial"/>
          <w:sz w:val="24"/>
          <w:szCs w:val="24"/>
        </w:rPr>
        <w:t xml:space="preserve">La ocupación del Piso de Autonomía ha sido de un 75 % en los cinco primeros meses del año, pasando al 100% en los meses de junio, julio y agosto. Los meses de menor ocupación fueron septiembre, octubre y noviembre tras la emancipación de dos mujeres y un menor residente. </w:t>
      </w:r>
    </w:p>
    <w:p>
      <w:pPr>
        <w:widowControl w:val="0"/>
        <w:autoSpaceDE w:val="0"/>
        <w:autoSpaceDN w:val="0"/>
        <w:spacing w:after="0" w:line="360" w:lineRule="auto"/>
        <w:ind w:left="213"/>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p>
    <w:p>
      <w:pPr>
        <w:widowControl w:val="0"/>
        <w:autoSpaceDE w:val="0"/>
        <w:autoSpaceDN w:val="0"/>
        <w:spacing w:after="0" w:line="240" w:lineRule="auto"/>
        <w:ind w:left="213"/>
        <w:jc w:val="both"/>
        <w:rPr>
          <w:rFonts w:ascii="Arial" w:hAnsi="Arial" w:cs="Arial"/>
          <w:sz w:val="24"/>
          <w:szCs w:val="24"/>
        </w:rPr>
      </w:pPr>
    </w:p>
    <w:tbl>
      <w:tblPr>
        <w:tblW w:w="9575" w:type="dxa"/>
        <w:tblInd w:w="214" w:type="dxa"/>
        <w:tblLayout w:type="fixed"/>
        <w:tblCellMar>
          <w:left w:w="10" w:type="dxa"/>
          <w:right w:w="10" w:type="dxa"/>
        </w:tblCellMar>
        <w:tblLook w:val="04A0" w:firstRow="1" w:lastRow="0" w:firstColumn="1" w:lastColumn="0" w:noHBand="0" w:noVBand="1"/>
      </w:tblPr>
      <w:tblGrid>
        <w:gridCol w:w="648"/>
        <w:gridCol w:w="1612"/>
        <w:gridCol w:w="1078"/>
        <w:gridCol w:w="1396"/>
        <w:gridCol w:w="1014"/>
        <w:gridCol w:w="709"/>
        <w:gridCol w:w="3118"/>
      </w:tblGrid>
      <w:tr>
        <w:trPr>
          <w:trHeight w:val="839"/>
        </w:trPr>
        <w:tc>
          <w:tcPr>
            <w:tcW w:w="648" w:type="dxa"/>
            <w:tcBorders>
              <w:top w:val="single" w:sz="8" w:space="0" w:color="000000"/>
              <w:left w:val="single" w:sz="6" w:space="0" w:color="000000"/>
              <w:bottom w:val="single" w:sz="8" w:space="0" w:color="000000"/>
              <w:right w:val="single" w:sz="8"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13" w:right="1"/>
              <w:jc w:val="center"/>
              <w:rPr>
                <w:rFonts w:cs="Calibri"/>
                <w:sz w:val="18"/>
                <w:szCs w:val="18"/>
              </w:rPr>
            </w:pPr>
            <w:r>
              <w:rPr>
                <w:rFonts w:cs="Calibri"/>
                <w:b/>
                <w:color w:val="FFFFFF"/>
                <w:spacing w:val="-4"/>
                <w:sz w:val="18"/>
                <w:szCs w:val="18"/>
                <w:lang w:val="en-US"/>
              </w:rPr>
              <w:t>EDAD</w:t>
            </w:r>
          </w:p>
        </w:tc>
        <w:tc>
          <w:tcPr>
            <w:tcW w:w="1612" w:type="dxa"/>
            <w:tcBorders>
              <w:top w:val="single" w:sz="8" w:space="0" w:color="000000"/>
              <w:left w:val="single" w:sz="8" w:space="0" w:color="000000"/>
              <w:bottom w:val="single" w:sz="8" w:space="0" w:color="000000"/>
              <w:right w:val="single" w:sz="8"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211" w:firstLine="302"/>
              <w:rPr>
                <w:rFonts w:cs="Calibri"/>
                <w:sz w:val="18"/>
                <w:szCs w:val="18"/>
              </w:rPr>
            </w:pPr>
            <w:r>
              <w:rPr>
                <w:rFonts w:cs="Calibri"/>
                <w:b/>
                <w:color w:val="FFFFFF"/>
                <w:sz w:val="18"/>
                <w:szCs w:val="18"/>
                <w:lang w:val="en-US"/>
              </w:rPr>
              <w:t>PAÍS</w:t>
            </w:r>
            <w:r>
              <w:rPr>
                <w:rFonts w:cs="Calibri"/>
                <w:b/>
                <w:color w:val="FFFFFF"/>
                <w:spacing w:val="-4"/>
                <w:sz w:val="18"/>
                <w:szCs w:val="18"/>
                <w:lang w:val="en-US"/>
              </w:rPr>
              <w:t xml:space="preserve"> </w:t>
            </w:r>
            <w:r>
              <w:rPr>
                <w:rFonts w:cs="Calibri"/>
                <w:b/>
                <w:color w:val="FFFFFF"/>
                <w:sz w:val="18"/>
                <w:szCs w:val="18"/>
                <w:lang w:val="en-US"/>
              </w:rPr>
              <w:t xml:space="preserve">DE </w:t>
            </w:r>
            <w:r>
              <w:rPr>
                <w:rFonts w:cs="Calibri"/>
                <w:b/>
                <w:color w:val="FFFFFF"/>
                <w:spacing w:val="-2"/>
                <w:sz w:val="18"/>
                <w:szCs w:val="18"/>
                <w:lang w:val="en-US"/>
              </w:rPr>
              <w:t>NACIONALIDAD</w:t>
            </w:r>
          </w:p>
        </w:tc>
        <w:tc>
          <w:tcPr>
            <w:tcW w:w="1078" w:type="dxa"/>
            <w:tcBorders>
              <w:top w:val="single" w:sz="8" w:space="0" w:color="000000"/>
              <w:left w:val="single" w:sz="8" w:space="0" w:color="000000"/>
              <w:bottom w:val="single" w:sz="8" w:space="0" w:color="000000"/>
              <w:right w:val="double" w:sz="4"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188"/>
              <w:rPr>
                <w:rFonts w:cs="Calibri"/>
                <w:sz w:val="18"/>
                <w:szCs w:val="18"/>
              </w:rPr>
            </w:pPr>
            <w:r>
              <w:rPr>
                <w:rFonts w:cs="Calibri"/>
                <w:b/>
                <w:color w:val="FFFFFF"/>
                <w:sz w:val="18"/>
                <w:szCs w:val="18"/>
                <w:lang w:val="en-US"/>
              </w:rPr>
              <w:t>E.</w:t>
            </w:r>
            <w:r>
              <w:rPr>
                <w:rFonts w:cs="Calibri"/>
                <w:b/>
                <w:color w:val="FFFFFF"/>
                <w:spacing w:val="-1"/>
                <w:sz w:val="18"/>
                <w:szCs w:val="18"/>
                <w:lang w:val="en-US"/>
              </w:rPr>
              <w:t xml:space="preserve"> </w:t>
            </w:r>
            <w:r>
              <w:rPr>
                <w:rFonts w:cs="Calibri"/>
                <w:b/>
                <w:color w:val="FFFFFF"/>
                <w:spacing w:val="-4"/>
                <w:sz w:val="18"/>
                <w:szCs w:val="18"/>
                <w:lang w:val="en-US"/>
              </w:rPr>
              <w:t>CIVIL</w:t>
            </w:r>
          </w:p>
        </w:tc>
        <w:tc>
          <w:tcPr>
            <w:tcW w:w="1396" w:type="dxa"/>
            <w:tcBorders>
              <w:top w:val="single" w:sz="8" w:space="0" w:color="000000"/>
              <w:left w:val="double" w:sz="4" w:space="0" w:color="000000"/>
              <w:bottom w:val="single" w:sz="8" w:space="0" w:color="000000"/>
              <w:right w:val="double" w:sz="4"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16" w:right="1"/>
              <w:jc w:val="center"/>
              <w:rPr>
                <w:rFonts w:cs="Calibri"/>
                <w:sz w:val="18"/>
                <w:szCs w:val="18"/>
              </w:rPr>
            </w:pPr>
            <w:r>
              <w:rPr>
                <w:rFonts w:cs="Calibri"/>
                <w:b/>
                <w:color w:val="FFFFFF"/>
                <w:spacing w:val="-4"/>
                <w:sz w:val="18"/>
                <w:szCs w:val="18"/>
                <w:lang w:val="en-US"/>
              </w:rPr>
              <w:t>SIT.</w:t>
            </w:r>
          </w:p>
          <w:p>
            <w:pPr>
              <w:widowControl w:val="0"/>
              <w:autoSpaceDE w:val="0"/>
              <w:autoSpaceDN w:val="0"/>
              <w:spacing w:after="0" w:line="240" w:lineRule="auto"/>
              <w:ind w:left="16"/>
              <w:jc w:val="center"/>
              <w:rPr>
                <w:rFonts w:cs="Calibri"/>
                <w:sz w:val="18"/>
                <w:szCs w:val="18"/>
              </w:rPr>
            </w:pPr>
            <w:r>
              <w:rPr>
                <w:rFonts w:cs="Calibri"/>
                <w:b/>
                <w:color w:val="FFFFFF"/>
                <w:spacing w:val="-2"/>
                <w:sz w:val="18"/>
                <w:szCs w:val="18"/>
                <w:lang w:val="en-US"/>
              </w:rPr>
              <w:t>LABORAL</w:t>
            </w:r>
          </w:p>
        </w:tc>
        <w:tc>
          <w:tcPr>
            <w:tcW w:w="1014" w:type="dxa"/>
            <w:tcBorders>
              <w:top w:val="single" w:sz="8" w:space="0" w:color="000000"/>
              <w:left w:val="double" w:sz="4" w:space="0" w:color="000000"/>
              <w:bottom w:val="single" w:sz="8" w:space="0" w:color="000000"/>
              <w:right w:val="double" w:sz="4"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229"/>
              <w:rPr>
                <w:rFonts w:cs="Calibri"/>
                <w:sz w:val="18"/>
                <w:szCs w:val="18"/>
              </w:rPr>
            </w:pPr>
            <w:r>
              <w:rPr>
                <w:rFonts w:cs="Calibri"/>
                <w:b/>
                <w:color w:val="FFFFFF"/>
                <w:spacing w:val="-2"/>
                <w:sz w:val="18"/>
                <w:szCs w:val="18"/>
                <w:lang w:val="en-US"/>
              </w:rPr>
              <w:t>SITUAC.</w:t>
            </w:r>
          </w:p>
          <w:p>
            <w:pPr>
              <w:widowControl w:val="0"/>
              <w:autoSpaceDE w:val="0"/>
              <w:autoSpaceDN w:val="0"/>
              <w:spacing w:after="0" w:line="240" w:lineRule="auto"/>
              <w:ind w:left="160"/>
              <w:rPr>
                <w:rFonts w:cs="Calibri"/>
                <w:sz w:val="18"/>
                <w:szCs w:val="18"/>
              </w:rPr>
            </w:pPr>
            <w:r>
              <w:rPr>
                <w:rFonts w:cs="Calibri"/>
                <w:b/>
                <w:color w:val="FFFFFF"/>
                <w:spacing w:val="-2"/>
                <w:sz w:val="18"/>
                <w:szCs w:val="18"/>
                <w:lang w:val="en-US"/>
              </w:rPr>
              <w:t>FAMILIAR</w:t>
            </w:r>
          </w:p>
        </w:tc>
        <w:tc>
          <w:tcPr>
            <w:tcW w:w="709" w:type="dxa"/>
            <w:tcBorders>
              <w:top w:val="single" w:sz="8" w:space="0" w:color="000000"/>
              <w:left w:val="double" w:sz="4" w:space="0" w:color="000000"/>
              <w:bottom w:val="single" w:sz="8" w:space="0" w:color="000000"/>
              <w:right w:val="double" w:sz="4"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23" w:right="4"/>
              <w:jc w:val="center"/>
              <w:rPr>
                <w:rFonts w:cs="Calibri"/>
                <w:sz w:val="18"/>
                <w:szCs w:val="18"/>
              </w:rPr>
            </w:pPr>
            <w:r>
              <w:rPr>
                <w:rFonts w:cs="Calibri"/>
                <w:b/>
                <w:color w:val="FFFFFF"/>
                <w:spacing w:val="-4"/>
                <w:sz w:val="18"/>
                <w:szCs w:val="18"/>
                <w:lang w:val="en-US"/>
              </w:rPr>
              <w:t>VTSH</w:t>
            </w:r>
          </w:p>
        </w:tc>
        <w:tc>
          <w:tcPr>
            <w:tcW w:w="3118" w:type="dxa"/>
            <w:tcBorders>
              <w:top w:val="single" w:sz="8" w:space="0" w:color="000000"/>
              <w:left w:val="double" w:sz="4" w:space="0" w:color="000000"/>
              <w:bottom w:val="single" w:sz="8" w:space="0" w:color="000000"/>
              <w:right w:val="single" w:sz="6" w:space="0" w:color="000000"/>
            </w:tcBorders>
            <w:shd w:val="clear" w:color="auto" w:fill="B1A0C6"/>
            <w:tcMar>
              <w:top w:w="0" w:type="dxa"/>
              <w:left w:w="0" w:type="dxa"/>
              <w:bottom w:w="0" w:type="dxa"/>
              <w:right w:w="0" w:type="dxa"/>
            </w:tcMar>
            <w:vAlign w:val="center"/>
          </w:tcPr>
          <w:p>
            <w:pPr>
              <w:widowControl w:val="0"/>
              <w:autoSpaceDE w:val="0"/>
              <w:autoSpaceDN w:val="0"/>
              <w:spacing w:before="1" w:after="0" w:line="240" w:lineRule="auto"/>
              <w:ind w:left="21" w:right="4"/>
              <w:jc w:val="center"/>
              <w:rPr>
                <w:rFonts w:cs="Calibri"/>
                <w:sz w:val="18"/>
                <w:szCs w:val="18"/>
              </w:rPr>
            </w:pPr>
            <w:r>
              <w:rPr>
                <w:rFonts w:cs="Calibri"/>
                <w:b/>
                <w:color w:val="FFFFFF"/>
                <w:spacing w:val="-2"/>
                <w:sz w:val="18"/>
                <w:szCs w:val="18"/>
                <w:lang w:val="en-US"/>
              </w:rPr>
              <w:t>DOCUMENTACIÓN</w:t>
            </w:r>
          </w:p>
        </w:tc>
      </w:tr>
      <w:tr>
        <w:trPr>
          <w:trHeight w:val="639"/>
        </w:trPr>
        <w:tc>
          <w:tcPr>
            <w:tcW w:w="648" w:type="dxa"/>
            <w:tcBorders>
              <w:top w:val="single" w:sz="8" w:space="0" w:color="000000"/>
              <w:left w:val="single" w:sz="6"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3"/>
              <w:jc w:val="center"/>
              <w:rPr>
                <w:rFonts w:cs="Calibri"/>
                <w:b/>
                <w:sz w:val="18"/>
                <w:szCs w:val="18"/>
                <w:lang w:val="en-US"/>
              </w:rPr>
            </w:pPr>
            <w:r>
              <w:rPr>
                <w:rFonts w:cs="Calibri"/>
                <w:b/>
                <w:sz w:val="18"/>
                <w:szCs w:val="18"/>
                <w:lang w:val="en-US"/>
              </w:rPr>
              <w:t>58</w:t>
            </w:r>
          </w:p>
        </w:tc>
        <w:tc>
          <w:tcPr>
            <w:tcW w:w="161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2" w:right="4"/>
              <w:jc w:val="center"/>
              <w:rPr>
                <w:rFonts w:cs="Calibri"/>
                <w:sz w:val="18"/>
                <w:szCs w:val="18"/>
              </w:rPr>
            </w:pPr>
            <w:r>
              <w:rPr>
                <w:rFonts w:cs="Calibri"/>
                <w:spacing w:val="-2"/>
                <w:sz w:val="18"/>
                <w:szCs w:val="18"/>
                <w:lang w:val="en-US"/>
              </w:rPr>
              <w:t>Argentina</w:t>
            </w:r>
          </w:p>
        </w:tc>
        <w:tc>
          <w:tcPr>
            <w:tcW w:w="1078" w:type="dxa"/>
            <w:tcBorders>
              <w:top w:val="single" w:sz="8" w:space="0" w:color="000000"/>
              <w:left w:val="single" w:sz="8"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12" w:right="95"/>
              <w:jc w:val="center"/>
              <w:rPr>
                <w:rFonts w:cs="Calibri"/>
                <w:sz w:val="18"/>
                <w:szCs w:val="18"/>
              </w:rPr>
            </w:pPr>
            <w:r>
              <w:rPr>
                <w:rFonts w:cs="Calibri"/>
                <w:spacing w:val="-2"/>
                <w:sz w:val="18"/>
                <w:szCs w:val="18"/>
                <w:lang w:val="en-US"/>
              </w:rPr>
              <w:t>Divorciada</w:t>
            </w:r>
          </w:p>
        </w:tc>
        <w:tc>
          <w:tcPr>
            <w:tcW w:w="1396"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before="1" w:after="0" w:line="240" w:lineRule="auto"/>
              <w:ind w:left="16"/>
              <w:jc w:val="center"/>
              <w:rPr>
                <w:rFonts w:cs="Calibri"/>
                <w:sz w:val="18"/>
                <w:szCs w:val="18"/>
              </w:rPr>
            </w:pPr>
            <w:r>
              <w:rPr>
                <w:rFonts w:cs="Calibri"/>
                <w:spacing w:val="-2"/>
                <w:sz w:val="18"/>
                <w:szCs w:val="18"/>
                <w:lang w:val="en-US"/>
              </w:rPr>
              <w:t>Desempleada</w:t>
            </w:r>
          </w:p>
        </w:tc>
        <w:tc>
          <w:tcPr>
            <w:tcW w:w="1014"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91"/>
              <w:jc w:val="center"/>
              <w:rPr>
                <w:rFonts w:cs="Calibri"/>
                <w:sz w:val="18"/>
                <w:szCs w:val="18"/>
                <w:lang w:val="en-US"/>
              </w:rPr>
            </w:pPr>
            <w:r>
              <w:rPr>
                <w:rFonts w:cs="Calibri"/>
                <w:sz w:val="18"/>
                <w:szCs w:val="18"/>
                <w:lang w:val="en-US"/>
              </w:rPr>
              <w:t>1 hijo</w:t>
            </w:r>
          </w:p>
        </w:tc>
        <w:tc>
          <w:tcPr>
            <w:tcW w:w="709"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3"/>
              <w:jc w:val="center"/>
              <w:rPr>
                <w:rFonts w:cs="Calibri"/>
                <w:sz w:val="18"/>
                <w:szCs w:val="18"/>
              </w:rPr>
            </w:pPr>
            <w:r>
              <w:rPr>
                <w:rFonts w:cs="Calibri"/>
                <w:spacing w:val="-5"/>
                <w:sz w:val="18"/>
                <w:szCs w:val="18"/>
                <w:lang w:val="en-US"/>
              </w:rPr>
              <w:t>No</w:t>
            </w:r>
          </w:p>
        </w:tc>
        <w:tc>
          <w:tcPr>
            <w:tcW w:w="3118" w:type="dxa"/>
            <w:tcBorders>
              <w:top w:val="single" w:sz="8" w:space="0" w:color="000000"/>
              <w:left w:val="double" w:sz="4" w:space="0" w:color="000000"/>
              <w:bottom w:val="single" w:sz="8" w:space="0" w:color="000000"/>
              <w:right w:val="single" w:sz="6" w:space="0" w:color="000000"/>
            </w:tcBorders>
            <w:shd w:val="clear" w:color="auto" w:fill="auto"/>
            <w:tcMar>
              <w:top w:w="0" w:type="dxa"/>
              <w:left w:w="0" w:type="dxa"/>
              <w:bottom w:w="0" w:type="dxa"/>
              <w:right w:w="0" w:type="dxa"/>
            </w:tcMar>
            <w:vAlign w:val="center"/>
          </w:tcPr>
          <w:p>
            <w:pPr>
              <w:widowControl w:val="0"/>
              <w:autoSpaceDE w:val="0"/>
              <w:autoSpaceDN w:val="0"/>
              <w:spacing w:before="1" w:after="0" w:line="240" w:lineRule="auto"/>
              <w:rPr>
                <w:rFonts w:cs="Calibri"/>
                <w:sz w:val="18"/>
                <w:szCs w:val="18"/>
                <w:lang w:val="en-US"/>
              </w:rPr>
            </w:pPr>
            <w:r>
              <w:rPr>
                <w:rFonts w:cs="Calibri"/>
                <w:sz w:val="18"/>
                <w:szCs w:val="18"/>
                <w:lang w:val="en-US"/>
              </w:rPr>
              <w:t xml:space="preserve">Pasaporte. </w:t>
            </w:r>
          </w:p>
        </w:tc>
      </w:tr>
      <w:tr>
        <w:trPr>
          <w:trHeight w:val="613"/>
        </w:trPr>
        <w:tc>
          <w:tcPr>
            <w:tcW w:w="648" w:type="dxa"/>
            <w:tcBorders>
              <w:top w:val="single" w:sz="8" w:space="0" w:color="000000"/>
              <w:left w:val="single" w:sz="6"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3"/>
              <w:jc w:val="center"/>
              <w:rPr>
                <w:rFonts w:cs="Calibri"/>
                <w:sz w:val="18"/>
                <w:szCs w:val="18"/>
              </w:rPr>
            </w:pPr>
            <w:r>
              <w:rPr>
                <w:rFonts w:cs="Calibri"/>
                <w:b/>
                <w:spacing w:val="-5"/>
                <w:sz w:val="18"/>
                <w:szCs w:val="18"/>
                <w:lang w:val="en-US"/>
              </w:rPr>
              <w:t>39</w:t>
            </w:r>
          </w:p>
        </w:tc>
        <w:tc>
          <w:tcPr>
            <w:tcW w:w="161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2"/>
              <w:jc w:val="center"/>
              <w:rPr>
                <w:rFonts w:cs="Calibri"/>
                <w:sz w:val="18"/>
                <w:szCs w:val="18"/>
              </w:rPr>
            </w:pPr>
            <w:r>
              <w:rPr>
                <w:rFonts w:cs="Calibri"/>
                <w:spacing w:val="-2"/>
                <w:sz w:val="18"/>
                <w:szCs w:val="18"/>
                <w:lang w:val="en-US"/>
              </w:rPr>
              <w:t>España</w:t>
            </w:r>
          </w:p>
        </w:tc>
        <w:tc>
          <w:tcPr>
            <w:tcW w:w="1078" w:type="dxa"/>
            <w:tcBorders>
              <w:top w:val="single" w:sz="8" w:space="0" w:color="000000"/>
              <w:left w:val="single" w:sz="8"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12" w:right="95"/>
              <w:jc w:val="center"/>
              <w:rPr>
                <w:rFonts w:cs="Calibri"/>
                <w:sz w:val="18"/>
                <w:szCs w:val="18"/>
              </w:rPr>
            </w:pPr>
            <w:r>
              <w:rPr>
                <w:rFonts w:cs="Calibri"/>
                <w:spacing w:val="-2"/>
                <w:sz w:val="18"/>
                <w:szCs w:val="18"/>
                <w:lang w:val="en-US"/>
              </w:rPr>
              <w:t>Soltera</w:t>
            </w:r>
          </w:p>
        </w:tc>
        <w:tc>
          <w:tcPr>
            <w:tcW w:w="1396"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6"/>
              <w:jc w:val="center"/>
              <w:rPr>
                <w:rFonts w:cs="Calibri"/>
                <w:sz w:val="18"/>
                <w:szCs w:val="18"/>
              </w:rPr>
            </w:pPr>
            <w:r>
              <w:rPr>
                <w:rFonts w:cs="Calibri"/>
                <w:spacing w:val="-2"/>
                <w:sz w:val="18"/>
                <w:szCs w:val="18"/>
                <w:lang w:val="en-US"/>
              </w:rPr>
              <w:t>Desempleada</w:t>
            </w:r>
          </w:p>
        </w:tc>
        <w:tc>
          <w:tcPr>
            <w:tcW w:w="1014"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99"/>
              <w:jc w:val="center"/>
              <w:rPr>
                <w:rFonts w:cs="Calibri"/>
                <w:sz w:val="18"/>
                <w:szCs w:val="18"/>
              </w:rPr>
            </w:pPr>
            <w:r>
              <w:rPr>
                <w:rFonts w:cs="Calibri"/>
                <w:sz w:val="18"/>
                <w:szCs w:val="18"/>
                <w:lang w:val="en-US"/>
              </w:rPr>
              <w:t>1</w:t>
            </w:r>
            <w:r>
              <w:rPr>
                <w:rFonts w:cs="Calibri"/>
                <w:spacing w:val="-3"/>
                <w:sz w:val="18"/>
                <w:szCs w:val="18"/>
                <w:lang w:val="en-US"/>
              </w:rPr>
              <w:t xml:space="preserve"> </w:t>
            </w:r>
            <w:r>
              <w:rPr>
                <w:rFonts w:cs="Calibri"/>
                <w:spacing w:val="-4"/>
                <w:sz w:val="18"/>
                <w:szCs w:val="18"/>
                <w:lang w:val="en-US"/>
              </w:rPr>
              <w:t>hijo</w:t>
            </w:r>
          </w:p>
        </w:tc>
        <w:tc>
          <w:tcPr>
            <w:tcW w:w="709"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3" w:right="2"/>
              <w:jc w:val="center"/>
              <w:rPr>
                <w:rFonts w:cs="Calibri"/>
                <w:sz w:val="18"/>
                <w:szCs w:val="18"/>
              </w:rPr>
            </w:pPr>
            <w:r>
              <w:rPr>
                <w:rFonts w:cs="Calibri"/>
                <w:spacing w:val="-5"/>
                <w:sz w:val="18"/>
                <w:szCs w:val="18"/>
                <w:lang w:val="en-US"/>
              </w:rPr>
              <w:t>No</w:t>
            </w:r>
          </w:p>
        </w:tc>
        <w:tc>
          <w:tcPr>
            <w:tcW w:w="3118" w:type="dxa"/>
            <w:tcBorders>
              <w:top w:val="single" w:sz="8" w:space="0" w:color="000000"/>
              <w:left w:val="double" w:sz="4" w:space="0" w:color="000000"/>
              <w:bottom w:val="single" w:sz="8" w:space="0" w:color="000000"/>
              <w:right w:val="single" w:sz="6"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1"/>
              <w:rPr>
                <w:rFonts w:cs="Calibri"/>
                <w:sz w:val="18"/>
                <w:szCs w:val="18"/>
              </w:rPr>
            </w:pPr>
            <w:r>
              <w:rPr>
                <w:rFonts w:cs="Calibri"/>
                <w:spacing w:val="-5"/>
                <w:sz w:val="18"/>
                <w:szCs w:val="18"/>
                <w:lang w:val="en-US"/>
              </w:rPr>
              <w:t>DNI</w:t>
            </w:r>
          </w:p>
        </w:tc>
      </w:tr>
      <w:tr>
        <w:trPr>
          <w:trHeight w:val="616"/>
        </w:trPr>
        <w:tc>
          <w:tcPr>
            <w:tcW w:w="648" w:type="dxa"/>
            <w:tcBorders>
              <w:top w:val="single" w:sz="8" w:space="0" w:color="000000"/>
              <w:left w:val="single" w:sz="6"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3"/>
              <w:jc w:val="center"/>
              <w:rPr>
                <w:rFonts w:cs="Calibri"/>
                <w:sz w:val="18"/>
                <w:szCs w:val="18"/>
              </w:rPr>
            </w:pPr>
            <w:r>
              <w:rPr>
                <w:rFonts w:cs="Calibri"/>
                <w:b/>
                <w:spacing w:val="-10"/>
                <w:sz w:val="18"/>
                <w:szCs w:val="18"/>
                <w:lang w:val="en-US"/>
              </w:rPr>
              <w:t>4</w:t>
            </w:r>
          </w:p>
        </w:tc>
        <w:tc>
          <w:tcPr>
            <w:tcW w:w="161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2"/>
              <w:jc w:val="center"/>
              <w:rPr>
                <w:rFonts w:cs="Calibri"/>
                <w:sz w:val="18"/>
                <w:szCs w:val="18"/>
              </w:rPr>
            </w:pPr>
            <w:r>
              <w:rPr>
                <w:rFonts w:cs="Calibri"/>
                <w:spacing w:val="-2"/>
                <w:sz w:val="18"/>
                <w:szCs w:val="18"/>
                <w:lang w:val="en-US"/>
              </w:rPr>
              <w:t>España</w:t>
            </w:r>
          </w:p>
        </w:tc>
        <w:tc>
          <w:tcPr>
            <w:tcW w:w="1078" w:type="dxa"/>
            <w:tcBorders>
              <w:top w:val="single" w:sz="8" w:space="0" w:color="000000"/>
              <w:left w:val="single" w:sz="8"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right="95"/>
              <w:jc w:val="center"/>
              <w:rPr>
                <w:rFonts w:cs="Calibri"/>
                <w:sz w:val="18"/>
                <w:szCs w:val="18"/>
              </w:rPr>
            </w:pPr>
            <w:r>
              <w:rPr>
                <w:rFonts w:cs="Calibri"/>
                <w:spacing w:val="-2"/>
                <w:sz w:val="18"/>
                <w:szCs w:val="18"/>
                <w:lang w:val="en-US"/>
              </w:rPr>
              <w:t>------------</w:t>
            </w:r>
            <w:r>
              <w:rPr>
                <w:rFonts w:cs="Calibri"/>
                <w:spacing w:val="-10"/>
                <w:sz w:val="18"/>
                <w:szCs w:val="18"/>
                <w:lang w:val="en-US"/>
              </w:rPr>
              <w:t>-</w:t>
            </w:r>
          </w:p>
        </w:tc>
        <w:tc>
          <w:tcPr>
            <w:tcW w:w="1396"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6" w:right="3"/>
              <w:jc w:val="center"/>
              <w:rPr>
                <w:rFonts w:cs="Calibri"/>
                <w:sz w:val="18"/>
                <w:szCs w:val="18"/>
              </w:rPr>
            </w:pPr>
            <w:r>
              <w:rPr>
                <w:rFonts w:cs="Calibri"/>
                <w:spacing w:val="-2"/>
                <w:sz w:val="18"/>
                <w:szCs w:val="18"/>
                <w:lang w:val="en-US"/>
              </w:rPr>
              <w:t>------------------</w:t>
            </w:r>
            <w:r>
              <w:rPr>
                <w:rFonts w:cs="Calibri"/>
                <w:spacing w:val="-10"/>
                <w:sz w:val="18"/>
                <w:szCs w:val="18"/>
                <w:lang w:val="en-US"/>
              </w:rPr>
              <w:t>-</w:t>
            </w:r>
          </w:p>
        </w:tc>
        <w:tc>
          <w:tcPr>
            <w:tcW w:w="1014"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4"/>
              <w:jc w:val="center"/>
              <w:rPr>
                <w:rFonts w:cs="Calibri"/>
                <w:sz w:val="18"/>
                <w:szCs w:val="18"/>
              </w:rPr>
            </w:pPr>
            <w:r>
              <w:rPr>
                <w:rFonts w:cs="Calibri"/>
                <w:spacing w:val="-2"/>
                <w:sz w:val="18"/>
                <w:szCs w:val="18"/>
                <w:lang w:val="en-US"/>
              </w:rPr>
              <w:t>-------</w:t>
            </w:r>
            <w:r>
              <w:rPr>
                <w:rFonts w:cs="Calibri"/>
                <w:spacing w:val="-10"/>
                <w:sz w:val="18"/>
                <w:szCs w:val="18"/>
                <w:lang w:val="en-US"/>
              </w:rPr>
              <w:t>-</w:t>
            </w:r>
          </w:p>
        </w:tc>
        <w:tc>
          <w:tcPr>
            <w:tcW w:w="709"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3" w:right="6"/>
              <w:jc w:val="center"/>
              <w:rPr>
                <w:rFonts w:cs="Calibri"/>
                <w:sz w:val="18"/>
                <w:szCs w:val="18"/>
              </w:rPr>
            </w:pPr>
            <w:r>
              <w:rPr>
                <w:rFonts w:cs="Calibri"/>
                <w:spacing w:val="-2"/>
                <w:sz w:val="18"/>
                <w:szCs w:val="18"/>
                <w:lang w:val="en-US"/>
              </w:rPr>
              <w:t>----------------</w:t>
            </w:r>
            <w:r>
              <w:rPr>
                <w:rFonts w:cs="Calibri"/>
                <w:spacing w:val="-10"/>
                <w:sz w:val="18"/>
                <w:szCs w:val="18"/>
                <w:lang w:val="en-US"/>
              </w:rPr>
              <w:t>-</w:t>
            </w:r>
          </w:p>
        </w:tc>
        <w:tc>
          <w:tcPr>
            <w:tcW w:w="3118" w:type="dxa"/>
            <w:tcBorders>
              <w:top w:val="single" w:sz="8" w:space="0" w:color="000000"/>
              <w:left w:val="double" w:sz="4" w:space="0" w:color="000000"/>
              <w:bottom w:val="single" w:sz="8" w:space="0" w:color="000000"/>
              <w:right w:val="single" w:sz="6"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1"/>
              <w:rPr>
                <w:rFonts w:cs="Calibri"/>
                <w:sz w:val="18"/>
                <w:szCs w:val="18"/>
              </w:rPr>
            </w:pPr>
            <w:r>
              <w:rPr>
                <w:rFonts w:cs="Calibri"/>
                <w:spacing w:val="-5"/>
                <w:sz w:val="18"/>
                <w:szCs w:val="18"/>
                <w:lang w:val="en-US"/>
              </w:rPr>
              <w:t>DNI</w:t>
            </w:r>
          </w:p>
        </w:tc>
      </w:tr>
      <w:tr>
        <w:trPr>
          <w:trHeight w:val="616"/>
        </w:trPr>
        <w:tc>
          <w:tcPr>
            <w:tcW w:w="648" w:type="dxa"/>
            <w:tcBorders>
              <w:top w:val="single" w:sz="8" w:space="0" w:color="000000"/>
              <w:left w:val="single" w:sz="6"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3"/>
              <w:jc w:val="center"/>
              <w:rPr>
                <w:rFonts w:cs="Calibri"/>
                <w:b/>
                <w:spacing w:val="-10"/>
                <w:sz w:val="18"/>
                <w:szCs w:val="18"/>
                <w:lang w:val="en-US"/>
              </w:rPr>
            </w:pPr>
            <w:r>
              <w:rPr>
                <w:rFonts w:cs="Calibri"/>
                <w:b/>
                <w:spacing w:val="-10"/>
                <w:sz w:val="18"/>
                <w:szCs w:val="18"/>
                <w:lang w:val="en-US"/>
              </w:rPr>
              <w:t>35</w:t>
            </w:r>
          </w:p>
        </w:tc>
        <w:tc>
          <w:tcPr>
            <w:tcW w:w="161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2"/>
              <w:jc w:val="center"/>
              <w:rPr>
                <w:rFonts w:cs="Calibri"/>
                <w:spacing w:val="-2"/>
                <w:sz w:val="18"/>
                <w:szCs w:val="18"/>
                <w:lang w:val="en-US"/>
              </w:rPr>
            </w:pPr>
            <w:r>
              <w:rPr>
                <w:rFonts w:cs="Calibri"/>
                <w:spacing w:val="-2"/>
                <w:sz w:val="18"/>
                <w:szCs w:val="18"/>
                <w:lang w:val="en-US"/>
              </w:rPr>
              <w:t>Colombia</w:t>
            </w:r>
          </w:p>
        </w:tc>
        <w:tc>
          <w:tcPr>
            <w:tcW w:w="1078" w:type="dxa"/>
            <w:tcBorders>
              <w:top w:val="single" w:sz="8" w:space="0" w:color="000000"/>
              <w:left w:val="single" w:sz="8"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right="95"/>
              <w:jc w:val="center"/>
              <w:rPr>
                <w:rFonts w:cs="Calibri"/>
                <w:spacing w:val="-2"/>
                <w:sz w:val="18"/>
                <w:szCs w:val="18"/>
                <w:lang w:val="en-US"/>
              </w:rPr>
            </w:pPr>
            <w:r>
              <w:rPr>
                <w:rFonts w:cs="Calibri"/>
                <w:spacing w:val="-2"/>
                <w:sz w:val="18"/>
                <w:szCs w:val="18"/>
                <w:lang w:val="en-US"/>
              </w:rPr>
              <w:t>Soltera</w:t>
            </w:r>
          </w:p>
        </w:tc>
        <w:tc>
          <w:tcPr>
            <w:tcW w:w="1396"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6" w:right="3"/>
              <w:jc w:val="center"/>
              <w:rPr>
                <w:rFonts w:cs="Calibri"/>
                <w:spacing w:val="-2"/>
                <w:sz w:val="18"/>
                <w:szCs w:val="18"/>
                <w:lang w:val="en-US"/>
              </w:rPr>
            </w:pPr>
            <w:r>
              <w:rPr>
                <w:rFonts w:cs="Calibri"/>
                <w:spacing w:val="-2"/>
                <w:sz w:val="18"/>
                <w:szCs w:val="18"/>
                <w:lang w:val="en-US"/>
              </w:rPr>
              <w:t>Empleada</w:t>
            </w:r>
          </w:p>
        </w:tc>
        <w:tc>
          <w:tcPr>
            <w:tcW w:w="1014"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4"/>
              <w:jc w:val="center"/>
              <w:rPr>
                <w:rFonts w:cs="Calibri"/>
                <w:spacing w:val="-2"/>
                <w:sz w:val="18"/>
                <w:szCs w:val="18"/>
                <w:lang w:val="en-US"/>
              </w:rPr>
            </w:pPr>
            <w:r>
              <w:rPr>
                <w:rFonts w:cs="Calibri"/>
                <w:spacing w:val="-2"/>
                <w:sz w:val="18"/>
                <w:szCs w:val="18"/>
                <w:lang w:val="en-US"/>
              </w:rPr>
              <w:t>2 hijas</w:t>
            </w:r>
          </w:p>
        </w:tc>
        <w:tc>
          <w:tcPr>
            <w:tcW w:w="709"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3" w:right="6"/>
              <w:jc w:val="center"/>
              <w:rPr>
                <w:rFonts w:cs="Calibri"/>
                <w:spacing w:val="-2"/>
                <w:sz w:val="18"/>
                <w:szCs w:val="18"/>
                <w:lang w:val="en-US"/>
              </w:rPr>
            </w:pPr>
            <w:r>
              <w:rPr>
                <w:rFonts w:cs="Calibri"/>
                <w:spacing w:val="-2"/>
                <w:sz w:val="18"/>
                <w:szCs w:val="18"/>
                <w:lang w:val="en-US"/>
              </w:rPr>
              <w:t>Sí</w:t>
            </w:r>
          </w:p>
        </w:tc>
        <w:tc>
          <w:tcPr>
            <w:tcW w:w="3118" w:type="dxa"/>
            <w:tcBorders>
              <w:top w:val="single" w:sz="8" w:space="0" w:color="000000"/>
              <w:left w:val="double" w:sz="4" w:space="0" w:color="000000"/>
              <w:bottom w:val="single" w:sz="8" w:space="0" w:color="000000"/>
              <w:right w:val="single" w:sz="6"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1"/>
              <w:rPr>
                <w:rFonts w:cs="Calibri"/>
                <w:spacing w:val="-5"/>
                <w:sz w:val="18"/>
                <w:szCs w:val="18"/>
              </w:rPr>
            </w:pPr>
            <w:r>
              <w:rPr>
                <w:rFonts w:cs="Calibri"/>
                <w:spacing w:val="-5"/>
                <w:sz w:val="18"/>
                <w:szCs w:val="18"/>
              </w:rPr>
              <w:t>Permiso de Trabajo y residencia</w:t>
            </w:r>
          </w:p>
        </w:tc>
      </w:tr>
      <w:tr>
        <w:trPr>
          <w:trHeight w:val="616"/>
        </w:trPr>
        <w:tc>
          <w:tcPr>
            <w:tcW w:w="648" w:type="dxa"/>
            <w:tcBorders>
              <w:top w:val="single" w:sz="8" w:space="0" w:color="000000"/>
              <w:left w:val="single" w:sz="6"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3"/>
              <w:jc w:val="center"/>
              <w:rPr>
                <w:rFonts w:cs="Calibri"/>
                <w:b/>
                <w:spacing w:val="-10"/>
                <w:sz w:val="18"/>
                <w:szCs w:val="18"/>
                <w:lang w:val="en-US"/>
              </w:rPr>
            </w:pPr>
            <w:r>
              <w:rPr>
                <w:rFonts w:cs="Calibri"/>
                <w:b/>
                <w:spacing w:val="-10"/>
                <w:sz w:val="18"/>
                <w:szCs w:val="18"/>
                <w:lang w:val="en-US"/>
              </w:rPr>
              <w:t>47</w:t>
            </w:r>
          </w:p>
        </w:tc>
        <w:tc>
          <w:tcPr>
            <w:tcW w:w="161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2"/>
              <w:jc w:val="center"/>
              <w:rPr>
                <w:rFonts w:cs="Calibri"/>
                <w:spacing w:val="-2"/>
                <w:sz w:val="18"/>
                <w:szCs w:val="18"/>
                <w:lang w:val="en-US"/>
              </w:rPr>
            </w:pPr>
            <w:r>
              <w:rPr>
                <w:rFonts w:cs="Calibri"/>
                <w:spacing w:val="-2"/>
                <w:sz w:val="18"/>
                <w:szCs w:val="18"/>
                <w:lang w:val="en-US"/>
              </w:rPr>
              <w:t>España</w:t>
            </w:r>
          </w:p>
        </w:tc>
        <w:tc>
          <w:tcPr>
            <w:tcW w:w="1078" w:type="dxa"/>
            <w:tcBorders>
              <w:top w:val="single" w:sz="8" w:space="0" w:color="000000"/>
              <w:left w:val="single" w:sz="8"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right="95"/>
              <w:jc w:val="center"/>
              <w:rPr>
                <w:rFonts w:cs="Calibri"/>
                <w:spacing w:val="-2"/>
                <w:sz w:val="18"/>
                <w:szCs w:val="18"/>
                <w:lang w:val="en-US"/>
              </w:rPr>
            </w:pPr>
            <w:r>
              <w:rPr>
                <w:rFonts w:cs="Calibri"/>
                <w:spacing w:val="-2"/>
                <w:sz w:val="18"/>
                <w:szCs w:val="18"/>
                <w:lang w:val="en-US"/>
              </w:rPr>
              <w:t>Soltera</w:t>
            </w:r>
          </w:p>
        </w:tc>
        <w:tc>
          <w:tcPr>
            <w:tcW w:w="1396"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6" w:right="3"/>
              <w:jc w:val="center"/>
              <w:rPr>
                <w:rFonts w:cs="Calibri"/>
                <w:spacing w:val="-2"/>
                <w:sz w:val="18"/>
                <w:szCs w:val="18"/>
                <w:lang w:val="en-US"/>
              </w:rPr>
            </w:pPr>
            <w:r>
              <w:rPr>
                <w:rFonts w:cs="Calibri"/>
                <w:spacing w:val="-2"/>
                <w:sz w:val="18"/>
                <w:szCs w:val="18"/>
                <w:lang w:val="en-US"/>
              </w:rPr>
              <w:t>Empleada</w:t>
            </w:r>
          </w:p>
        </w:tc>
        <w:tc>
          <w:tcPr>
            <w:tcW w:w="1014"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4"/>
              <w:rPr>
                <w:rFonts w:cs="Calibri"/>
                <w:spacing w:val="-2"/>
                <w:sz w:val="18"/>
                <w:szCs w:val="18"/>
                <w:lang w:val="en-US"/>
              </w:rPr>
            </w:pPr>
            <w:r>
              <w:rPr>
                <w:rFonts w:cs="Calibri"/>
                <w:spacing w:val="-2"/>
                <w:sz w:val="18"/>
                <w:szCs w:val="18"/>
                <w:lang w:val="en-US"/>
              </w:rPr>
              <w:t>2 hijas</w:t>
            </w:r>
          </w:p>
        </w:tc>
        <w:tc>
          <w:tcPr>
            <w:tcW w:w="709"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3" w:right="6"/>
              <w:jc w:val="center"/>
              <w:rPr>
                <w:rFonts w:cs="Calibri"/>
                <w:spacing w:val="-2"/>
                <w:sz w:val="18"/>
                <w:szCs w:val="18"/>
                <w:lang w:val="en-US"/>
              </w:rPr>
            </w:pPr>
            <w:r>
              <w:rPr>
                <w:rFonts w:cs="Calibri"/>
                <w:spacing w:val="-2"/>
                <w:sz w:val="18"/>
                <w:szCs w:val="18"/>
                <w:lang w:val="en-US"/>
              </w:rPr>
              <w:t>No</w:t>
            </w:r>
          </w:p>
        </w:tc>
        <w:tc>
          <w:tcPr>
            <w:tcW w:w="3118" w:type="dxa"/>
            <w:tcBorders>
              <w:top w:val="single" w:sz="8" w:space="0" w:color="000000"/>
              <w:left w:val="double" w:sz="4" w:space="0" w:color="000000"/>
              <w:bottom w:val="single" w:sz="8" w:space="0" w:color="000000"/>
              <w:right w:val="single" w:sz="6"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1"/>
              <w:rPr>
                <w:rFonts w:cs="Calibri"/>
                <w:spacing w:val="-5"/>
                <w:sz w:val="18"/>
                <w:szCs w:val="18"/>
                <w:lang w:val="en-US"/>
              </w:rPr>
            </w:pPr>
            <w:r>
              <w:rPr>
                <w:rFonts w:cs="Calibri"/>
                <w:spacing w:val="-5"/>
                <w:sz w:val="18"/>
                <w:szCs w:val="18"/>
                <w:lang w:val="en-US"/>
              </w:rPr>
              <w:t>DNI</w:t>
            </w:r>
          </w:p>
        </w:tc>
      </w:tr>
      <w:tr>
        <w:trPr>
          <w:trHeight w:val="616"/>
        </w:trPr>
        <w:tc>
          <w:tcPr>
            <w:tcW w:w="648" w:type="dxa"/>
            <w:tcBorders>
              <w:top w:val="single" w:sz="8" w:space="0" w:color="000000"/>
              <w:left w:val="single" w:sz="6"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3"/>
              <w:jc w:val="center"/>
              <w:rPr>
                <w:rFonts w:cs="Calibri"/>
                <w:b/>
                <w:spacing w:val="-10"/>
                <w:sz w:val="18"/>
                <w:szCs w:val="18"/>
                <w:lang w:val="en-US"/>
              </w:rPr>
            </w:pPr>
            <w:r>
              <w:rPr>
                <w:rFonts w:cs="Calibri"/>
                <w:b/>
                <w:spacing w:val="-10"/>
                <w:sz w:val="18"/>
                <w:szCs w:val="18"/>
                <w:lang w:val="en-US"/>
              </w:rPr>
              <w:t>32</w:t>
            </w:r>
          </w:p>
        </w:tc>
        <w:tc>
          <w:tcPr>
            <w:tcW w:w="161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2"/>
              <w:jc w:val="center"/>
              <w:rPr>
                <w:rFonts w:cs="Calibri"/>
                <w:spacing w:val="-2"/>
                <w:sz w:val="18"/>
                <w:szCs w:val="18"/>
                <w:lang w:val="en-US"/>
              </w:rPr>
            </w:pPr>
            <w:r>
              <w:rPr>
                <w:rFonts w:cs="Calibri"/>
                <w:spacing w:val="-2"/>
                <w:sz w:val="18"/>
                <w:szCs w:val="18"/>
                <w:lang w:val="en-US"/>
              </w:rPr>
              <w:t>Colombia</w:t>
            </w:r>
          </w:p>
        </w:tc>
        <w:tc>
          <w:tcPr>
            <w:tcW w:w="1078" w:type="dxa"/>
            <w:tcBorders>
              <w:top w:val="single" w:sz="8" w:space="0" w:color="000000"/>
              <w:left w:val="single" w:sz="8"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right="95"/>
              <w:jc w:val="center"/>
              <w:rPr>
                <w:rFonts w:cs="Calibri"/>
                <w:spacing w:val="-2"/>
                <w:sz w:val="18"/>
                <w:szCs w:val="18"/>
                <w:lang w:val="en-US"/>
              </w:rPr>
            </w:pPr>
            <w:r>
              <w:rPr>
                <w:rFonts w:cs="Calibri"/>
                <w:spacing w:val="-2"/>
                <w:sz w:val="18"/>
                <w:szCs w:val="18"/>
                <w:lang w:val="en-US"/>
              </w:rPr>
              <w:t>Soltera</w:t>
            </w:r>
          </w:p>
        </w:tc>
        <w:tc>
          <w:tcPr>
            <w:tcW w:w="1396"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16" w:right="3"/>
              <w:jc w:val="center"/>
              <w:rPr>
                <w:rFonts w:cs="Calibri"/>
                <w:spacing w:val="-2"/>
                <w:sz w:val="18"/>
                <w:szCs w:val="18"/>
                <w:lang w:val="en-US"/>
              </w:rPr>
            </w:pPr>
            <w:r>
              <w:rPr>
                <w:rFonts w:cs="Calibri"/>
                <w:spacing w:val="-2"/>
                <w:sz w:val="18"/>
                <w:szCs w:val="18"/>
                <w:lang w:val="en-US"/>
              </w:rPr>
              <w:t>Empleada</w:t>
            </w:r>
          </w:p>
        </w:tc>
        <w:tc>
          <w:tcPr>
            <w:tcW w:w="1014"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4"/>
              <w:rPr>
                <w:rFonts w:cs="Calibri"/>
                <w:spacing w:val="-2"/>
                <w:sz w:val="18"/>
                <w:szCs w:val="18"/>
                <w:lang w:val="en-US"/>
              </w:rPr>
            </w:pPr>
            <w:r>
              <w:rPr>
                <w:rFonts w:cs="Calibri"/>
                <w:spacing w:val="-2"/>
                <w:sz w:val="18"/>
                <w:szCs w:val="18"/>
                <w:lang w:val="en-US"/>
              </w:rPr>
              <w:t>Sin hijos</w:t>
            </w:r>
          </w:p>
        </w:tc>
        <w:tc>
          <w:tcPr>
            <w:tcW w:w="709" w:type="dxa"/>
            <w:tcBorders>
              <w:top w:val="single" w:sz="8" w:space="0" w:color="000000"/>
              <w:left w:val="double" w:sz="4" w:space="0" w:color="000000"/>
              <w:bottom w:val="single" w:sz="8" w:space="0" w:color="000000"/>
              <w:right w:val="double" w:sz="4"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3" w:right="6"/>
              <w:jc w:val="center"/>
              <w:rPr>
                <w:rFonts w:cs="Calibri"/>
                <w:spacing w:val="-2"/>
                <w:sz w:val="18"/>
                <w:szCs w:val="18"/>
                <w:lang w:val="en-US"/>
              </w:rPr>
            </w:pPr>
            <w:r>
              <w:rPr>
                <w:rFonts w:cs="Calibri"/>
                <w:spacing w:val="-2"/>
                <w:sz w:val="18"/>
                <w:szCs w:val="18"/>
                <w:lang w:val="en-US"/>
              </w:rPr>
              <w:t>Sí</w:t>
            </w:r>
          </w:p>
        </w:tc>
        <w:tc>
          <w:tcPr>
            <w:tcW w:w="3118" w:type="dxa"/>
            <w:tcBorders>
              <w:top w:val="single" w:sz="8" w:space="0" w:color="000000"/>
              <w:left w:val="double" w:sz="4" w:space="0" w:color="000000"/>
              <w:bottom w:val="single" w:sz="8" w:space="0" w:color="000000"/>
              <w:right w:val="single" w:sz="6" w:space="0" w:color="000000"/>
            </w:tcBorders>
            <w:shd w:val="clear" w:color="auto" w:fill="auto"/>
            <w:tcMar>
              <w:top w:w="0" w:type="dxa"/>
              <w:left w:w="0" w:type="dxa"/>
              <w:bottom w:w="0" w:type="dxa"/>
              <w:right w:w="0" w:type="dxa"/>
            </w:tcMar>
            <w:vAlign w:val="center"/>
          </w:tcPr>
          <w:p>
            <w:pPr>
              <w:widowControl w:val="0"/>
              <w:autoSpaceDE w:val="0"/>
              <w:autoSpaceDN w:val="0"/>
              <w:spacing w:after="0" w:line="243" w:lineRule="exact"/>
              <w:ind w:left="21"/>
              <w:rPr>
                <w:rFonts w:cs="Calibri"/>
                <w:spacing w:val="-5"/>
                <w:sz w:val="18"/>
                <w:szCs w:val="18"/>
              </w:rPr>
            </w:pPr>
            <w:r>
              <w:rPr>
                <w:rFonts w:cs="Calibri"/>
                <w:spacing w:val="-5"/>
                <w:sz w:val="18"/>
                <w:szCs w:val="18"/>
              </w:rPr>
              <w:t>Permiso de Trabajo y residencia</w:t>
            </w:r>
          </w:p>
        </w:tc>
      </w:tr>
    </w:tbl>
    <w:p>
      <w:pPr>
        <w:widowControl w:val="0"/>
        <w:autoSpaceDE w:val="0"/>
        <w:autoSpaceDN w:val="0"/>
        <w:spacing w:after="0" w:line="240" w:lineRule="auto"/>
        <w:ind w:left="213"/>
        <w:jc w:val="both"/>
        <w:rPr>
          <w:rFonts w:ascii="Arial" w:hAnsi="Arial" w:cs="Arial"/>
          <w:sz w:val="24"/>
          <w:szCs w:val="24"/>
        </w:rPr>
      </w:pPr>
    </w:p>
    <w:p>
      <w:pPr>
        <w:widowControl w:val="0"/>
        <w:autoSpaceDE w:val="0"/>
        <w:autoSpaceDN w:val="0"/>
        <w:spacing w:after="0" w:line="240" w:lineRule="auto"/>
        <w:ind w:right="136"/>
        <w:jc w:val="both"/>
        <w:rPr>
          <w:rFonts w:ascii="Arial" w:hAnsi="Arial" w:cs="Arial"/>
          <w:sz w:val="24"/>
          <w:szCs w:val="24"/>
        </w:rPr>
      </w:pPr>
    </w:p>
    <w:p>
      <w:pPr>
        <w:widowControl w:val="0"/>
        <w:autoSpaceDE w:val="0"/>
        <w:autoSpaceDN w:val="0"/>
        <w:spacing w:after="0" w:line="240" w:lineRule="auto"/>
        <w:ind w:right="136"/>
        <w:jc w:val="both"/>
        <w:rPr>
          <w:rFonts w:ascii="Arial" w:hAnsi="Arial" w:cs="Arial"/>
          <w:sz w:val="24"/>
          <w:szCs w:val="24"/>
        </w:rPr>
      </w:pPr>
    </w:p>
    <w:tbl>
      <w:tblPr>
        <w:tblW w:w="5000" w:type="pct"/>
        <w:tblLayout w:type="fixed"/>
        <w:tblCellMar>
          <w:left w:w="10" w:type="dxa"/>
          <w:right w:w="10" w:type="dxa"/>
        </w:tblCellMar>
        <w:tblLook w:val="04A0" w:firstRow="1" w:lastRow="0" w:firstColumn="1" w:lastColumn="0" w:noHBand="0" w:noVBand="1"/>
      </w:tblPr>
      <w:tblGrid>
        <w:gridCol w:w="1271"/>
        <w:gridCol w:w="500"/>
        <w:gridCol w:w="632"/>
        <w:gridCol w:w="700"/>
        <w:gridCol w:w="700"/>
        <w:gridCol w:w="633"/>
        <w:gridCol w:w="633"/>
        <w:gridCol w:w="700"/>
        <w:gridCol w:w="633"/>
        <w:gridCol w:w="700"/>
        <w:gridCol w:w="700"/>
        <w:gridCol w:w="700"/>
        <w:gridCol w:w="700"/>
      </w:tblGrid>
      <w:tr>
        <w:trPr>
          <w:trHeight w:val="552"/>
        </w:trPr>
        <w:tc>
          <w:tcPr>
            <w:tcW w:w="1271"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center"/>
          </w:tcPr>
          <w:p>
            <w:pPr>
              <w:widowControl w:val="0"/>
              <w:suppressAutoHyphens/>
              <w:autoSpaceDE w:val="0"/>
              <w:autoSpaceDN w:val="0"/>
              <w:spacing w:after="0" w:line="240" w:lineRule="auto"/>
              <w:rPr>
                <w:rFonts w:ascii="Arial" w:eastAsia="Times New Roman" w:hAnsi="Arial" w:cs="Arial"/>
                <w:b/>
                <w:sz w:val="16"/>
                <w:szCs w:val="16"/>
                <w:lang w:eastAsia="zh-CN"/>
              </w:rPr>
            </w:pPr>
            <w:r>
              <w:rPr>
                <w:rFonts w:ascii="Arial" w:eastAsia="Times New Roman" w:hAnsi="Arial" w:cs="Arial"/>
                <w:b/>
                <w:sz w:val="16"/>
                <w:szCs w:val="16"/>
                <w:lang w:eastAsia="zh-CN"/>
              </w:rPr>
              <w:t>MESES</w:t>
            </w:r>
          </w:p>
        </w:tc>
        <w:tc>
          <w:tcPr>
            <w:tcW w:w="5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EN</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FE</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MA</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AB</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MY</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JN</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JL</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AG</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SE</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OC</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NO</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vAlign w:val="bottom"/>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DI</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r>
      <w:tr>
        <w:trPr>
          <w:trHeight w:val="552"/>
        </w:trPr>
        <w:tc>
          <w:tcPr>
            <w:tcW w:w="1271" w:type="dxa"/>
            <w:tcBorders>
              <w:top w:val="single" w:sz="4" w:space="0" w:color="000000"/>
              <w:left w:val="single" w:sz="4" w:space="0" w:color="000000"/>
              <w:bottom w:val="single" w:sz="4" w:space="0" w:color="auto"/>
              <w:right w:val="single" w:sz="4" w:space="0" w:color="000000"/>
            </w:tcBorders>
            <w:shd w:val="clear" w:color="auto" w:fill="B8CCE4"/>
            <w:tcMar>
              <w:top w:w="0" w:type="dxa"/>
              <w:left w:w="108" w:type="dxa"/>
              <w:bottom w:w="0" w:type="dxa"/>
              <w:right w:w="108" w:type="dxa"/>
            </w:tcMar>
          </w:tcPr>
          <w:p>
            <w:pPr>
              <w:widowControl w:val="0"/>
              <w:suppressAutoHyphens/>
              <w:autoSpaceDE w:val="0"/>
              <w:autoSpaceDN w:val="0"/>
              <w:spacing w:after="0" w:line="240" w:lineRule="auto"/>
              <w:rPr>
                <w:rFonts w:ascii="Arial" w:eastAsia="Times New Roman" w:hAnsi="Arial" w:cs="Arial"/>
                <w:b/>
                <w:sz w:val="16"/>
                <w:szCs w:val="16"/>
                <w:lang w:eastAsia="zh-CN"/>
              </w:rPr>
            </w:pPr>
            <w:r>
              <w:rPr>
                <w:rFonts w:ascii="Arial" w:eastAsia="Times New Roman" w:hAnsi="Arial" w:cs="Arial"/>
                <w:b/>
                <w:sz w:val="16"/>
                <w:szCs w:val="16"/>
                <w:lang w:eastAsia="zh-CN"/>
              </w:rPr>
              <w:t>TOTAL OCUPACIÓN</w:t>
            </w:r>
          </w:p>
        </w:tc>
        <w:tc>
          <w:tcPr>
            <w:tcW w:w="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3</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75 %</w:t>
            </w:r>
          </w:p>
        </w:tc>
        <w:tc>
          <w:tcPr>
            <w:tcW w:w="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3 </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75 %</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3</w:t>
            </w:r>
          </w:p>
          <w:p>
            <w:pPr>
              <w:widowControl w:val="0"/>
              <w:autoSpaceDE w:val="0"/>
              <w:autoSpaceDN w:val="0"/>
              <w:spacing w:after="0" w:line="240" w:lineRule="auto"/>
              <w:jc w:val="center"/>
              <w:rPr>
                <w:rFonts w:ascii="Arial" w:eastAsia="Times New Roman" w:hAnsi="Arial" w:cs="Arial"/>
                <w:sz w:val="16"/>
                <w:szCs w:val="16"/>
                <w:lang w:eastAsia="es-ES"/>
              </w:rPr>
            </w:pPr>
            <w:r>
              <w:rPr>
                <w:rFonts w:ascii="Arial" w:eastAsia="Times New Roman" w:hAnsi="Arial" w:cs="Arial"/>
                <w:b/>
                <w:sz w:val="16"/>
                <w:szCs w:val="16"/>
                <w:lang w:eastAsia="zh-CN"/>
              </w:rPr>
              <w:t>75 %</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3</w:t>
            </w:r>
          </w:p>
          <w:p>
            <w:pPr>
              <w:widowControl w:val="0"/>
              <w:autoSpaceDE w:val="0"/>
              <w:autoSpaceDN w:val="0"/>
              <w:spacing w:after="0" w:line="240" w:lineRule="auto"/>
              <w:jc w:val="center"/>
              <w:rPr>
                <w:rFonts w:ascii="Arial" w:eastAsia="Times New Roman" w:hAnsi="Arial" w:cs="Arial"/>
                <w:sz w:val="16"/>
                <w:szCs w:val="16"/>
                <w:lang w:eastAsia="es-ES"/>
              </w:rPr>
            </w:pPr>
            <w:r>
              <w:rPr>
                <w:rFonts w:ascii="Arial" w:eastAsia="Times New Roman" w:hAnsi="Arial" w:cs="Arial"/>
                <w:b/>
                <w:sz w:val="16"/>
                <w:szCs w:val="16"/>
                <w:lang w:eastAsia="zh-CN"/>
              </w:rPr>
              <w:t>75 %</w:t>
            </w:r>
          </w:p>
        </w:tc>
        <w:tc>
          <w:tcPr>
            <w:tcW w:w="6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3 </w:t>
            </w:r>
          </w:p>
          <w:p>
            <w:pPr>
              <w:widowControl w:val="0"/>
              <w:autoSpaceDE w:val="0"/>
              <w:autoSpaceDN w:val="0"/>
              <w:spacing w:after="0" w:line="240" w:lineRule="auto"/>
              <w:jc w:val="center"/>
              <w:rPr>
                <w:rFonts w:ascii="Arial" w:eastAsia="Times New Roman" w:hAnsi="Arial" w:cs="Arial"/>
                <w:sz w:val="16"/>
                <w:szCs w:val="16"/>
                <w:lang w:eastAsia="es-ES"/>
              </w:rPr>
            </w:pPr>
            <w:r>
              <w:rPr>
                <w:rFonts w:ascii="Arial" w:eastAsia="Times New Roman" w:hAnsi="Arial" w:cs="Arial"/>
                <w:b/>
                <w:sz w:val="16"/>
                <w:szCs w:val="16"/>
                <w:lang w:eastAsia="zh-CN"/>
              </w:rPr>
              <w:t>75 %</w:t>
            </w:r>
          </w:p>
        </w:tc>
        <w:tc>
          <w:tcPr>
            <w:tcW w:w="6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4 </w:t>
            </w:r>
          </w:p>
          <w:p>
            <w:pPr>
              <w:widowControl w:val="0"/>
              <w:autoSpaceDE w:val="0"/>
              <w:autoSpaceDN w:val="0"/>
              <w:spacing w:after="0" w:line="240" w:lineRule="auto"/>
              <w:jc w:val="center"/>
              <w:rPr>
                <w:rFonts w:ascii="Arial" w:eastAsia="Times New Roman" w:hAnsi="Arial" w:cs="Arial"/>
                <w:sz w:val="16"/>
                <w:szCs w:val="16"/>
                <w:lang w:eastAsia="es-ES"/>
              </w:rPr>
            </w:pPr>
            <w:r>
              <w:rPr>
                <w:rFonts w:ascii="Arial" w:eastAsia="Times New Roman" w:hAnsi="Arial" w:cs="Arial"/>
                <w:b/>
                <w:sz w:val="16"/>
                <w:szCs w:val="16"/>
                <w:lang w:eastAsia="zh-CN"/>
              </w:rPr>
              <w:t>100 %</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4 </w:t>
            </w:r>
          </w:p>
          <w:p>
            <w:pPr>
              <w:widowControl w:val="0"/>
              <w:autoSpaceDE w:val="0"/>
              <w:autoSpaceDN w:val="0"/>
              <w:spacing w:after="0" w:line="240" w:lineRule="auto"/>
              <w:jc w:val="center"/>
              <w:rPr>
                <w:rFonts w:ascii="Arial" w:eastAsia="Times New Roman" w:hAnsi="Arial" w:cs="Arial"/>
                <w:sz w:val="16"/>
                <w:szCs w:val="16"/>
                <w:lang w:eastAsia="es-ES"/>
              </w:rPr>
            </w:pPr>
            <w:r>
              <w:rPr>
                <w:rFonts w:ascii="Arial" w:eastAsia="Times New Roman" w:hAnsi="Arial" w:cs="Arial"/>
                <w:b/>
                <w:sz w:val="16"/>
                <w:szCs w:val="16"/>
                <w:lang w:eastAsia="zh-CN"/>
              </w:rPr>
              <w:t>100 %</w:t>
            </w:r>
          </w:p>
        </w:tc>
        <w:tc>
          <w:tcPr>
            <w:tcW w:w="6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4 100%</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1 </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25%</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1 </w:t>
            </w:r>
          </w:p>
          <w:p>
            <w:pPr>
              <w:widowControl w:val="0"/>
              <w:autoSpaceDE w:val="0"/>
              <w:autoSpaceDN w:val="0"/>
              <w:spacing w:after="0" w:line="240" w:lineRule="auto"/>
              <w:jc w:val="center"/>
              <w:rPr>
                <w:rFonts w:ascii="Arial" w:eastAsia="Times New Roman" w:hAnsi="Arial" w:cs="Arial"/>
                <w:sz w:val="16"/>
                <w:szCs w:val="16"/>
                <w:lang w:eastAsia="es-ES"/>
              </w:rPr>
            </w:pPr>
            <w:r>
              <w:rPr>
                <w:rFonts w:ascii="Arial" w:eastAsia="Times New Roman" w:hAnsi="Arial" w:cs="Arial"/>
                <w:b/>
                <w:sz w:val="16"/>
                <w:szCs w:val="16"/>
                <w:lang w:eastAsia="zh-CN"/>
              </w:rPr>
              <w:t>25%</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2 </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50%</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 xml:space="preserve">3 </w:t>
            </w:r>
          </w:p>
          <w:p>
            <w:pPr>
              <w:widowControl w:val="0"/>
              <w:suppressAutoHyphens/>
              <w:autoSpaceDE w:val="0"/>
              <w:autoSpaceDN w:val="0"/>
              <w:spacing w:after="0" w:line="240" w:lineRule="auto"/>
              <w:jc w:val="center"/>
              <w:rPr>
                <w:rFonts w:ascii="Arial" w:eastAsia="Times New Roman" w:hAnsi="Arial" w:cs="Arial"/>
                <w:b/>
                <w:sz w:val="16"/>
                <w:szCs w:val="16"/>
                <w:lang w:eastAsia="zh-CN"/>
              </w:rPr>
            </w:pPr>
            <w:r>
              <w:rPr>
                <w:rFonts w:ascii="Arial" w:eastAsia="Times New Roman" w:hAnsi="Arial" w:cs="Arial"/>
                <w:b/>
                <w:sz w:val="16"/>
                <w:szCs w:val="16"/>
                <w:lang w:eastAsia="zh-CN"/>
              </w:rPr>
              <w:t>75%</w:t>
            </w:r>
          </w:p>
        </w:tc>
      </w:tr>
      <w:tr>
        <w:trPr>
          <w:trHeight w:val="552"/>
        </w:trPr>
        <w:tc>
          <w:tcPr>
            <w:tcW w:w="127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lastRenderedPageBreak/>
              <w:t xml:space="preserve">Mujer 1 </w:t>
            </w:r>
          </w:p>
        </w:tc>
        <w:tc>
          <w:tcPr>
            <w:tcW w:w="500" w:type="dxa"/>
            <w:tcBorders>
              <w:top w:val="single" w:sz="4" w:space="0" w:color="000000"/>
              <w:left w:val="single" w:sz="4" w:space="0" w:color="auto"/>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tcPr>
          <w:p>
            <w:pPr>
              <w:widowControl w:val="0"/>
              <w:autoSpaceDE w:val="0"/>
              <w:autoSpaceDN w:val="0"/>
              <w:spacing w:after="0" w:line="240" w:lineRule="auto"/>
              <w:rPr>
                <w:rFonts w:ascii="Arial" w:hAnsi="Arial" w:cs="Arial"/>
                <w:sz w:val="24"/>
                <w:szCs w:val="24"/>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r>
      <w:tr>
        <w:trPr>
          <w:trHeight w:val="552"/>
        </w:trPr>
        <w:tc>
          <w:tcPr>
            <w:tcW w:w="127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Mujer 2</w:t>
            </w:r>
          </w:p>
        </w:tc>
        <w:tc>
          <w:tcPr>
            <w:tcW w:w="500" w:type="dxa"/>
            <w:tcBorders>
              <w:top w:val="single" w:sz="4" w:space="0" w:color="000000"/>
              <w:left w:val="single" w:sz="4" w:space="0" w:color="auto"/>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F00FF"/>
                <w:sz w:val="24"/>
                <w:szCs w:val="24"/>
                <w:shd w:val="clear" w:color="auto" w:fill="FFFF00"/>
                <w:lang w:eastAsia="zh-CN"/>
              </w:rPr>
            </w:pPr>
          </w:p>
        </w:tc>
      </w:tr>
      <w:tr>
        <w:trPr>
          <w:trHeight w:val="552"/>
        </w:trPr>
        <w:tc>
          <w:tcPr>
            <w:tcW w:w="12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Mujer 3</w:t>
            </w:r>
          </w:p>
        </w:tc>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r>
      <w:tr>
        <w:trPr>
          <w:trHeight w:val="552"/>
        </w:trPr>
        <w:tc>
          <w:tcPr>
            <w:tcW w:w="12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Mujer 4</w:t>
            </w:r>
          </w:p>
        </w:tc>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r>
      <w:tr>
        <w:trPr>
          <w:trHeight w:val="552"/>
        </w:trPr>
        <w:tc>
          <w:tcPr>
            <w:tcW w:w="12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Mujer 5</w:t>
            </w:r>
          </w:p>
        </w:tc>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r>
      <w:tr>
        <w:trPr>
          <w:trHeight w:val="552"/>
        </w:trPr>
        <w:tc>
          <w:tcPr>
            <w:tcW w:w="12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Menor 1 </w:t>
            </w:r>
          </w:p>
        </w:tc>
        <w:tc>
          <w:tcPr>
            <w:tcW w:w="5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2"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79646"/>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color w:val="F79646"/>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633" w:type="dxa"/>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widowControl w:val="0"/>
              <w:suppressAutoHyphens/>
              <w:autoSpaceDE w:val="0"/>
              <w:autoSpaceDN w:val="0"/>
              <w:spacing w:after="0" w:line="240" w:lineRule="auto"/>
              <w:jc w:val="both"/>
              <w:rPr>
                <w:rFonts w:ascii="Arial" w:eastAsia="Times New Roman" w:hAnsi="Arial" w:cs="Arial"/>
                <w:sz w:val="24"/>
                <w:szCs w:val="24"/>
                <w:lang w:eastAsia="zh-CN"/>
              </w:rPr>
            </w:pPr>
          </w:p>
        </w:tc>
      </w:tr>
    </w:tbl>
    <w:p>
      <w:pPr>
        <w:widowControl w:val="0"/>
        <w:autoSpaceDE w:val="0"/>
        <w:autoSpaceDN w:val="0"/>
        <w:spacing w:after="0" w:line="240" w:lineRule="auto"/>
        <w:ind w:right="136"/>
        <w:jc w:val="both"/>
        <w:rPr>
          <w:rFonts w:ascii="Arial" w:hAnsi="Arial" w:cs="Arial"/>
          <w:sz w:val="24"/>
          <w:szCs w:val="24"/>
        </w:rPr>
      </w:pPr>
    </w:p>
    <w:p>
      <w:pPr>
        <w:widowControl w:val="0"/>
        <w:autoSpaceDE w:val="0"/>
        <w:autoSpaceDN w:val="0"/>
        <w:spacing w:after="0" w:line="240" w:lineRule="auto"/>
        <w:ind w:right="136"/>
        <w:jc w:val="both"/>
        <w:rPr>
          <w:rFonts w:ascii="Arial" w:hAnsi="Arial" w:cs="Arial"/>
          <w:sz w:val="24"/>
          <w:szCs w:val="24"/>
        </w:rPr>
      </w:pPr>
    </w:p>
    <w:p>
      <w:pPr>
        <w:widowControl w:val="0"/>
        <w:autoSpaceDE w:val="0"/>
        <w:autoSpaceDN w:val="0"/>
        <w:spacing w:after="0" w:line="240" w:lineRule="auto"/>
        <w:ind w:left="213" w:right="136"/>
        <w:jc w:val="both"/>
        <w:rPr>
          <w:rFonts w:ascii="Arial" w:hAnsi="Arial" w:cs="Arial"/>
          <w:sz w:val="24"/>
          <w:szCs w:val="24"/>
        </w:rPr>
      </w:pPr>
      <w:r>
        <w:rPr>
          <w:rFonts w:ascii="Arial" w:hAnsi="Arial" w:cs="Arial"/>
          <w:noProof/>
          <w:sz w:val="24"/>
          <w:szCs w:val="24"/>
          <w:lang w:eastAsia="es-ES"/>
        </w:rPr>
        <w:drawing>
          <wp:inline distT="0" distB="0" distL="0" distR="0">
            <wp:extent cx="5486400" cy="3200400"/>
            <wp:effectExtent l="0" t="0" r="0" b="0"/>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widowControl w:val="0"/>
        <w:autoSpaceDE w:val="0"/>
        <w:autoSpaceDN w:val="0"/>
        <w:spacing w:after="0" w:line="240" w:lineRule="auto"/>
        <w:ind w:left="213" w:right="136"/>
        <w:jc w:val="both"/>
        <w:rPr>
          <w:rFonts w:ascii="Arial" w:hAnsi="Arial" w:cs="Arial"/>
          <w:sz w:val="24"/>
          <w:szCs w:val="24"/>
        </w:rPr>
      </w:pPr>
    </w:p>
    <w:p>
      <w:pPr>
        <w:widowControl w:val="0"/>
        <w:autoSpaceDE w:val="0"/>
        <w:autoSpaceDN w:val="0"/>
        <w:spacing w:after="0" w:line="240" w:lineRule="auto"/>
        <w:ind w:left="213" w:right="136"/>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r>
        <w:rPr>
          <w:rFonts w:ascii="Arial" w:hAnsi="Arial" w:cs="Arial"/>
          <w:sz w:val="24"/>
          <w:szCs w:val="24"/>
        </w:rPr>
        <w:t xml:space="preserve">En cuanto a las características de las mujeres residentes en el Piso de Autonomía en el año 2025, se destaca que la edad media ha sido de 42 años, siendo de distintas nacionalidades. En cuanto al estado civil, una es divorciada, mientras que las cuatro  restantes son solteras. Además, una de ellas tiene un menor a cargo con el que convive en el piso de autonomía. Las cinco residentes han estado en contexto de prostitución/explotación sexual. En cuanto a la situación administrativa de las tres mujeres extranjeras, sólo una de ellas no cuenta aún con permiso de trabajo y residencia, continuando en situación administrativa irregular. Todas ellas, presentan </w:t>
      </w:r>
      <w:r>
        <w:rPr>
          <w:rFonts w:ascii="Arial" w:hAnsi="Arial" w:cs="Arial"/>
          <w:sz w:val="24"/>
          <w:szCs w:val="24"/>
        </w:rPr>
        <w:lastRenderedPageBreak/>
        <w:t xml:space="preserve">cargas familiares bien por tener hijos en el país de origen y/o por ser sostenedoras de otras figuras familiares. A destacar, tres de las residentes se encuentran en situación trabajando, mientras que las otras dos se encuentran en procesos de inserción sociolaboral. </w:t>
      </w:r>
    </w:p>
    <w:p>
      <w:pPr>
        <w:widowControl w:val="0"/>
        <w:autoSpaceDE w:val="0"/>
        <w:autoSpaceDN w:val="0"/>
        <w:spacing w:after="0" w:line="360" w:lineRule="auto"/>
        <w:ind w:left="213" w:right="136"/>
        <w:jc w:val="both"/>
        <w:rPr>
          <w:rFonts w:ascii="Arial" w:hAnsi="Arial" w:cs="Arial"/>
          <w:sz w:val="24"/>
          <w:szCs w:val="24"/>
        </w:rPr>
      </w:pPr>
    </w:p>
    <w:p>
      <w:pPr>
        <w:widowControl w:val="0"/>
        <w:autoSpaceDE w:val="0"/>
        <w:autoSpaceDN w:val="0"/>
        <w:spacing w:after="0" w:line="360" w:lineRule="auto"/>
        <w:ind w:left="213"/>
        <w:jc w:val="both"/>
        <w:rPr>
          <w:rFonts w:ascii="Arial" w:hAnsi="Arial" w:cs="Arial"/>
          <w:sz w:val="24"/>
          <w:szCs w:val="24"/>
        </w:rPr>
      </w:pPr>
      <w:r>
        <w:rPr>
          <w:rFonts w:ascii="Arial" w:hAnsi="Arial" w:cs="Arial"/>
          <w:sz w:val="24"/>
          <w:szCs w:val="24"/>
        </w:rPr>
        <w:t>A lo largo del 2025, se da la emancipación de dos de las mujeres junto con el menor, y el ingreso de tres nuevas residentes. No obstante, en cuanto a las mujeres emancipadas, se mantiene la vinculación con nuestra entidad, acudiendo a sesiones de seguimiento en el centro de día por parte de las distintas áreas, así como asistiendo a los eventos organizados por la misma y espacios de convivencia.</w:t>
      </w:r>
    </w:p>
    <w:p>
      <w:pPr>
        <w:widowControl w:val="0"/>
        <w:autoSpaceDE w:val="0"/>
        <w:autoSpaceDN w:val="0"/>
        <w:spacing w:after="0" w:line="360" w:lineRule="auto"/>
        <w:ind w:left="213"/>
        <w:jc w:val="both"/>
        <w:rPr>
          <w:rFonts w:ascii="Arial" w:hAnsi="Arial" w:cs="Arial"/>
          <w:sz w:val="24"/>
          <w:szCs w:val="24"/>
        </w:rPr>
      </w:pPr>
    </w:p>
    <w:p>
      <w:pPr>
        <w:autoSpaceDE w:val="0"/>
        <w:autoSpaceDN w:val="0"/>
        <w:adjustRightInd w:val="0"/>
        <w:spacing w:after="0" w:line="360" w:lineRule="auto"/>
        <w:ind w:left="195"/>
        <w:jc w:val="both"/>
        <w:rPr>
          <w:rFonts w:ascii="Arial" w:hAnsi="Arial" w:cs="Arial"/>
          <w:sz w:val="24"/>
          <w:szCs w:val="24"/>
        </w:rPr>
      </w:pPr>
      <w:r>
        <w:rPr>
          <w:rFonts w:ascii="Arial" w:hAnsi="Arial" w:cs="Arial"/>
          <w:sz w:val="24"/>
          <w:szCs w:val="24"/>
        </w:rPr>
        <w:t>En cuanto a las personas beneficiarias directas de las ayudas económicas de emergencia, han sido personas beneficiarias directas 77 personas: 46 mujeres junto a 31 hijos e hijas convivientes. Desde el diseño del proyecto, se estableció priorizar situaciones de ausencia de ingresos estables, falta de redes de apoyo familiares o sociales, cargas familiares y situación administrativa irregular, factores que dificultan o imposibilitan el acceso a prestaciones sociales normalizadas.</w:t>
      </w:r>
    </w:p>
    <w:p>
      <w:pPr>
        <w:autoSpaceDE w:val="0"/>
        <w:autoSpaceDN w:val="0"/>
        <w:adjustRightInd w:val="0"/>
        <w:spacing w:after="0" w:line="360" w:lineRule="auto"/>
        <w:ind w:left="195"/>
        <w:jc w:val="both"/>
        <w:rPr>
          <w:rFonts w:ascii="Arial" w:hAnsi="Arial" w:cs="Arial"/>
          <w:sz w:val="24"/>
          <w:szCs w:val="24"/>
        </w:rPr>
      </w:pPr>
    </w:p>
    <w:p>
      <w:pPr>
        <w:autoSpaceDE w:val="0"/>
        <w:autoSpaceDN w:val="0"/>
        <w:adjustRightInd w:val="0"/>
        <w:spacing w:after="0" w:line="360" w:lineRule="auto"/>
        <w:ind w:left="195"/>
        <w:jc w:val="both"/>
        <w:rPr>
          <w:rFonts w:ascii="Arial" w:hAnsi="Arial" w:cs="Arial"/>
          <w:sz w:val="24"/>
          <w:szCs w:val="24"/>
        </w:rPr>
      </w:pPr>
      <w:r>
        <w:rPr>
          <w:rFonts w:ascii="Arial" w:hAnsi="Arial" w:cs="Arial"/>
          <w:sz w:val="24"/>
          <w:szCs w:val="24"/>
        </w:rPr>
        <w:t>Según base de datos recogidos de la caracterización de las 46 mujeres atendidas cabe destacar que se  trata mayoritariamente de mujeres jóvenes, concentrándose el 52,2 % en el tramo de 26 a 35 años, seguidas de mujeres de entre 18 y 25 años (19,6 %). La gran mayoría son solteras (84,8 %) y migrantes, procedentes principalmente de países con graves situaciones socio económicas, Colombia (45,7 %) y Venezuela (21,7 %). Más de la mitad de las mujeres atendidas (56,5 %) tienen hijos e hijas a cargo, lo que incrementa significativamente su situación de vulnerabilidad económica y social. Asimismo, el 54,3 % se encuentra en situación administrativa irregular, lo que dificulta el acceso al empleo formal y a prestaciones sociales normalizadas.</w:t>
      </w:r>
    </w:p>
    <w:p>
      <w:pPr>
        <w:autoSpaceDE w:val="0"/>
        <w:autoSpaceDN w:val="0"/>
        <w:adjustRightInd w:val="0"/>
        <w:spacing w:after="0" w:line="360" w:lineRule="auto"/>
        <w:ind w:left="195"/>
        <w:jc w:val="both"/>
        <w:rPr>
          <w:rFonts w:ascii="Arial" w:hAnsi="Arial" w:cs="Arial"/>
          <w:sz w:val="24"/>
          <w:szCs w:val="24"/>
        </w:rPr>
      </w:pPr>
    </w:p>
    <w:p>
      <w:pPr>
        <w:autoSpaceDE w:val="0"/>
        <w:autoSpaceDN w:val="0"/>
        <w:adjustRightInd w:val="0"/>
        <w:spacing w:after="0" w:line="360" w:lineRule="auto"/>
        <w:ind w:left="195"/>
        <w:jc w:val="both"/>
        <w:rPr>
          <w:rFonts w:ascii="Arial" w:hAnsi="Arial" w:cs="Arial"/>
          <w:sz w:val="24"/>
          <w:szCs w:val="24"/>
        </w:rPr>
      </w:pPr>
      <w:r>
        <w:rPr>
          <w:rFonts w:ascii="Arial" w:hAnsi="Arial" w:cs="Arial"/>
          <w:sz w:val="24"/>
          <w:szCs w:val="24"/>
        </w:rPr>
        <w:t xml:space="preserve">En relación con la situación problemática, los datos muestran que una parte muy significativa de las mujeres atendidas se encuentra vinculada a situaciones de trata y/o contexto de prostitución. Concretamente, el 37 % de las mujeres se encuentra en </w:t>
      </w:r>
      <w:r>
        <w:rPr>
          <w:rFonts w:ascii="Arial" w:hAnsi="Arial" w:cs="Arial"/>
          <w:sz w:val="24"/>
          <w:szCs w:val="24"/>
        </w:rPr>
        <w:lastRenderedPageBreak/>
        <w:t>contexto de prostitución, el 23,9 % son víctimas de trata con fines de explotación sexual (VTSH) y un 13 % presenta indicadores de trata, lo que supone que casi el 74 % de las mujeres atendidas se sitúa en situaciones directamente relacionadas con la explotación sexual. El resto de las mujeres presenta situaciones de exclusión social (21,7 %) y violencia sexual (4,4 %).</w:t>
      </w:r>
    </w:p>
    <w:p>
      <w:pPr>
        <w:autoSpaceDE w:val="0"/>
        <w:autoSpaceDN w:val="0"/>
        <w:adjustRightInd w:val="0"/>
        <w:spacing w:after="0" w:line="360" w:lineRule="auto"/>
        <w:ind w:left="195"/>
        <w:jc w:val="both"/>
        <w:rPr>
          <w:rFonts w:ascii="Arial" w:hAnsi="Arial" w:cs="Arial"/>
          <w:sz w:val="24"/>
          <w:szCs w:val="24"/>
        </w:rPr>
      </w:pPr>
    </w:p>
    <w:p>
      <w:pPr>
        <w:autoSpaceDE w:val="0"/>
        <w:autoSpaceDN w:val="0"/>
        <w:adjustRightInd w:val="0"/>
        <w:spacing w:after="0" w:line="360" w:lineRule="auto"/>
        <w:ind w:left="195"/>
        <w:jc w:val="both"/>
        <w:rPr>
          <w:rFonts w:ascii="Arial" w:hAnsi="Arial" w:cs="Arial"/>
          <w:sz w:val="24"/>
          <w:szCs w:val="24"/>
        </w:rPr>
      </w:pPr>
    </w:p>
    <w:p>
      <w:pPr>
        <w:autoSpaceDE w:val="0"/>
        <w:autoSpaceDN w:val="0"/>
        <w:adjustRightInd w:val="0"/>
        <w:spacing w:after="0" w:line="240" w:lineRule="auto"/>
        <w:ind w:left="195"/>
        <w:jc w:val="both"/>
        <w:rPr>
          <w:rFonts w:ascii="Arial" w:hAnsi="Arial" w:cs="Arial"/>
          <w:sz w:val="24"/>
          <w:szCs w:val="24"/>
        </w:rPr>
      </w:pPr>
    </w:p>
    <w:p>
      <w:pPr>
        <w:autoSpaceDE w:val="0"/>
        <w:autoSpaceDN w:val="0"/>
        <w:adjustRightInd w:val="0"/>
        <w:spacing w:after="0" w:line="240" w:lineRule="auto"/>
        <w:ind w:left="195"/>
        <w:jc w:val="both"/>
        <w:rPr>
          <w:rFonts w:ascii="Arial" w:hAnsi="Arial" w:cs="Arial"/>
          <w:sz w:val="24"/>
          <w:szCs w:val="24"/>
        </w:rPr>
      </w:pPr>
    </w:p>
    <w:p>
      <w:pPr>
        <w:autoSpaceDE w:val="0"/>
        <w:autoSpaceDN w:val="0"/>
        <w:adjustRightInd w:val="0"/>
        <w:spacing w:after="0" w:line="240" w:lineRule="auto"/>
        <w:ind w:left="195"/>
        <w:jc w:val="both"/>
        <w:rPr>
          <w:rFonts w:ascii="Arial" w:hAnsi="Arial" w:cs="Arial"/>
          <w:sz w:val="24"/>
          <w:szCs w:val="24"/>
        </w:rPr>
      </w:pPr>
    </w:p>
    <w:p>
      <w:pPr>
        <w:autoSpaceDE w:val="0"/>
        <w:autoSpaceDN w:val="0"/>
        <w:adjustRightInd w:val="0"/>
        <w:spacing w:after="0" w:line="240" w:lineRule="auto"/>
        <w:ind w:left="195"/>
        <w:jc w:val="both"/>
        <w:rPr>
          <w:rFonts w:ascii="Arial" w:hAnsi="Arial" w:cs="Arial"/>
          <w:sz w:val="24"/>
          <w:szCs w:val="24"/>
        </w:rPr>
      </w:pPr>
    </w:p>
    <w:p>
      <w:pPr>
        <w:shd w:val="clear" w:color="auto" w:fill="B2A1C7" w:themeFill="accent4" w:themeFillTint="99"/>
        <w:autoSpaceDE w:val="0"/>
        <w:autoSpaceDN w:val="0"/>
        <w:adjustRightInd w:val="0"/>
        <w:spacing w:after="0" w:line="240" w:lineRule="auto"/>
        <w:ind w:left="195"/>
        <w:jc w:val="both"/>
        <w:rPr>
          <w:rFonts w:ascii="Arial" w:hAnsi="Arial" w:cs="Arial"/>
          <w:b/>
          <w:sz w:val="24"/>
          <w:szCs w:val="24"/>
        </w:rPr>
      </w:pPr>
      <w:r>
        <w:rPr>
          <w:rFonts w:ascii="Arial" w:hAnsi="Arial" w:cs="Arial"/>
          <w:b/>
          <w:sz w:val="24"/>
          <w:szCs w:val="24"/>
        </w:rPr>
        <w:t>4.5.- ACTIVIDADES REALIZADAS:</w:t>
      </w:r>
    </w:p>
    <w:p>
      <w:pPr>
        <w:autoSpaceDE w:val="0"/>
        <w:autoSpaceDN w:val="0"/>
        <w:adjustRightInd w:val="0"/>
        <w:spacing w:after="0" w:line="240" w:lineRule="auto"/>
        <w:jc w:val="both"/>
        <w:rPr>
          <w:rFonts w:ascii="Arial" w:hAnsi="Arial" w:cs="Arial"/>
          <w:b/>
          <w:sz w:val="24"/>
          <w:szCs w:val="24"/>
        </w:rPr>
      </w:pPr>
    </w:p>
    <w:tbl>
      <w:tblPr>
        <w:tblW w:w="9211" w:type="dxa"/>
        <w:tblLayout w:type="fixed"/>
        <w:tblCellMar>
          <w:left w:w="10" w:type="dxa"/>
          <w:right w:w="10" w:type="dxa"/>
        </w:tblCellMar>
        <w:tblLook w:val="04A0" w:firstRow="1" w:lastRow="0" w:firstColumn="1" w:lastColumn="0" w:noHBand="0" w:noVBand="1"/>
      </w:tblPr>
      <w:tblGrid>
        <w:gridCol w:w="2358"/>
        <w:gridCol w:w="2358"/>
        <w:gridCol w:w="4495"/>
      </w:tblGrid>
      <w:tr>
        <w:tc>
          <w:tcPr>
            <w:tcW w:w="235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12"/>
                <w:szCs w:val="12"/>
                <w:lang w:eastAsia="zh-CN" w:bidi="hi-IN"/>
              </w:rPr>
            </w:pPr>
            <w:r>
              <w:rPr>
                <w:rFonts w:ascii="Arial" w:eastAsia="NSimSun" w:hAnsi="Arial" w:cs="Arial"/>
                <w:b/>
                <w:bCs/>
                <w:kern w:val="3"/>
                <w:sz w:val="12"/>
                <w:szCs w:val="12"/>
                <w:lang w:eastAsia="zh-CN" w:bidi="hi-IN"/>
              </w:rPr>
              <w:t>ACTIVIDADES  PLANIFICADAS</w:t>
            </w:r>
          </w:p>
        </w:tc>
        <w:tc>
          <w:tcPr>
            <w:tcW w:w="235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12"/>
                <w:szCs w:val="12"/>
                <w:lang w:eastAsia="zh-CN" w:bidi="hi-IN"/>
              </w:rPr>
            </w:pPr>
            <w:r>
              <w:rPr>
                <w:rFonts w:ascii="Arial" w:eastAsia="NSimSun" w:hAnsi="Arial" w:cs="Arial"/>
                <w:b/>
                <w:bCs/>
                <w:kern w:val="3"/>
                <w:sz w:val="12"/>
                <w:szCs w:val="12"/>
                <w:lang w:eastAsia="zh-CN" w:bidi="hi-IN"/>
              </w:rPr>
              <w:t>FECHAS EN LAS QUE SE REALIZA</w:t>
            </w:r>
          </w:p>
        </w:tc>
        <w:tc>
          <w:tcPr>
            <w:tcW w:w="449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12"/>
                <w:szCs w:val="12"/>
                <w:lang w:eastAsia="zh-CN" w:bidi="hi-IN"/>
              </w:rPr>
            </w:pPr>
            <w:r>
              <w:rPr>
                <w:rFonts w:ascii="Arial" w:eastAsia="NSimSun" w:hAnsi="Arial" w:cs="Arial"/>
                <w:b/>
                <w:bCs/>
                <w:kern w:val="3"/>
                <w:sz w:val="12"/>
                <w:szCs w:val="12"/>
                <w:lang w:eastAsia="zh-CN" w:bidi="hi-IN"/>
              </w:rPr>
              <w:t>EXPLICACIÓN DE SU PERTINENCIA</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Presentación e información sobre el uso de las instalaciones del Piso y objetivos del proyecto</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realizado en tres ocasiones coincidiendo con nuevas entradas de mujeres al Piso de autonomía meses de: junio, noviembre y diciembre 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Esta actividad se ha realizado en el momento de entrada de una mujer y sus hijos/as al Piso de Autonomía. Se trata de distinguir entre espacios privados y comunes, el buen uso de las instalaciones, qué hacer en situaciones de emergencia, pero fundamentalmente, se trata de informarles de los objetivos que pretende cubrir el proyecto, siendo éste el medio de mejorar su proceso para promover la inserción social y la total autonomía.</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Entrega de copias de llaves y documentos de funcionamiento</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realizado en tres ocasiones coincidiendo con nuevas entradas de mujeres al Piso de autonomía meses de: junio, noviembre y diciembre 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les ha facilitado a las mujeres de nueva entrada este año contrato de estancia e inventario de enseres, los cuales han firmado. Se trata de formalizar y otorgar responsabilidad a cada mujer en la utilización comprometida de la vivienda.</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Visitas y recorridos en la zona de residencia para conocer servicios sanitarios, culturales, de ocio y tiempo libre, así como también tienda, farmacia, servicios de transporte público con los correspondientes horarios, etc.</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realizado en tres ocasiones coincidiendo con nuevas entradas de mujeres al Piso de autonomía meses de: junio, noviembre y diciembre 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Esta actividad ha sido fundamental para favorecer la inserción comunitaria en el barrio donde se ubica el Piso, así como para favorecer la movilidad de las mujeres acogidas.</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Información y asesoramiento en la elaboración de menús, teniendo en cuenta una dieta sana y equilibrada, así como la realidad económica. </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Esta actividad sobre todo la han realizado las educadoras sociales. Se trata de continuar trabajando en el proceso de autocuidado que cada mujer ha iniciado en la Casa de Acogida y como habilidad necesaria para su salud y organización económica una vez y consiga salir del recurso residencial.</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Información y orientación ante la necesidad de atención socio-sanitaria y el seguimiento de tratamientos.</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realizado especial seguimiento de la situación sanitaria de las cinco mujeres y el menor residente ofreciéndole asesoramiento para concienciar sobre la necesidad de cuidar la salud, tanto a nivel asistencial como preventivo.</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Proposición de alternativas deportivas que les facilite el cuidado de su salud, tanto física, psíquica-emocional.</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alentado y ofrecido propuestas aprovechando el entorno, instalaciones y las preferencias de cada mujer, como forma de fomentar el autocuidado personal y el buen uso del tiempo libre. Destacar que tanto el menor como cuatro de las mujeres residentes acuden a actividades deportivas en centros públicos (piscina, gimnasio) y otra mujer realiza actividad física en el entorno.</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lastRenderedPageBreak/>
              <w:t>Revisión y evaluación del desarrollo de objetivos personales, implementando con cada mujer la plantilla de detección de necesidades y su seguimiento.</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han revisado los objetivos personales de cada mujer en las entrevistas individuales de seguimiento, así como en los espacios de  evaluación conjunta (mujer, coordinadora del Programa y equipo técnico) que se ha realizado con periodicidad trimestral.</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Coordinación con la trabajadora social de referencia.</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Esta coordinación ha sido necesaria para el seguimiento de la situación y valoración social de las residentes en el Piso. Cada mujer tiene una trabajadora social asignada, que coincide con la que ya tenía anteriormente cuando residía en la casa de acogida, aprovechando el vínculo previo existente.</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Esta actividad ha sido constante tanto en el apoyo social a las mujeres durante su estancia en el Piso, como en la búsqueda de recursos y prestaciones sociales que han facilitado salida del recurso de dos mujeres y un menor.</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Salidas lúdicas y de conocimiento del entorno. </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Las mujeres residentes en el Piso de Autonomía han participado en actividades que se han desarrollado desde el Programa Oblatas Daniela, fundamentalmente de carácter lúdico o de convivencia. Este año han participado en encuentros con motivo de varias celebraciones (cumpleaños, participación en encuentros mixtos promovidos por la Entidad, celebración de Navidad, actividad de senderismo, etc.).</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Reuniones de reflexión y valoración de convivencia, de cómo afrontar el futuro haciendo frente al presente.</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tratado de una actividad continua durante todo el año, planteando las mujeres las dificultades que pudieran tener en la convivencia en el día a día, siendo ellas mismas las que han buscado alternativas de resolución.</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Visitas al piso donde facilitar el encuentro con las residentes</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El personal del equipo del proyecto ha acudido al piso para el encuentro con las residentes. Se ha adaptado a sus horarios particulares según sus responsabilidades y necesidades.</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Apoyar en los procesos personales.</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Partiendo de sus realidades, motivaciones de cada mujer y de sus expectativas vitales, todas las mujeres residentes han recibido atención integral en el Programa desde distintos ámbitos: educativo, social, laboral, jurídico y psicológico.</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Revisión de acuerdos tomados. </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En el momento de realizar la evaluación continua, se revisa si se están respetando los acuerdos tomados o si ha sido necesario realizar algún cambio. </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Apoyo a la organización económica. </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favorecido la capacidad de ahorro, en función de sus ingresos -gastos y la búsqueda de alternativas laborales que posibiliten la organización de la economía de cada mujer una vez salga de este recurso.</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Cuidado y mantenimiento de instalaciones. </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Se ha promovido el cuidado de espacios, tanto privados como los comunes, favoreciendo la convivencia y el bienestar de cada una de las personas residentes.</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Taller de búsqueda activa de empleo y diseño de plan laboral individualizado. </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Durante todo el año se ha proporcionado apoyo que posibilite la inserción socio-laboral. Todas las mujeres han recibido atención desde el área laboral, han mejorado su formación y, por lo tanto, su empleabilidad. Destacar que este año una mujer participó en proyecto formativo subvencionado por Servicio Canario de Empleo, y otras tres en proyecto formativo impartido por la entidad que incluía talleres de búsqueda activa de empleo, formación en competencias digitales, etc. Una mujer realizó dos cursos relacionados con imagen personal y logra contrato de trabajo indefinido en peluquería. Otras dos mujeres realizan curso de Atención Sociosanitaria (consigue trabajo con contrato de sustitución) y de Operaciones básicas de restaurante bar  en Instituciones públicas (logra contrato a tiempo completo).</w:t>
            </w:r>
          </w:p>
        </w:tc>
      </w:tr>
      <w:tr>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lastRenderedPageBreak/>
              <w:t>Gestión de ayudas económicas de garantía habitacional, alimenticias, medicamentos y la cobertura de otras necesidades básicas y formativas, tanto para mujeres solas como para sus hijos/as.</w:t>
            </w:r>
          </w:p>
        </w:tc>
        <w:tc>
          <w:tcPr>
            <w:tcW w:w="235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Actividad de continuidad desde el 01/01/2025 al 31/12/2025</w:t>
            </w:r>
          </w:p>
        </w:tc>
        <w:tc>
          <w:tcPr>
            <w:tcW w:w="44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 xml:space="preserve">Han sido necesaria la gestión de ayudas de forma puntual, sobre todo para garantizar necesidades básicas, lo que ha posibilitado la adquisición de productos alimenticios y de higiene personal y del hogar.  </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r>
              <w:rPr>
                <w:rFonts w:ascii="Arial" w:eastAsia="NSimSun" w:hAnsi="Arial" w:cs="Arial"/>
                <w:kern w:val="3"/>
                <w:sz w:val="16"/>
                <w:szCs w:val="16"/>
                <w:lang w:eastAsia="zh-CN" w:bidi="hi-IN"/>
              </w:rPr>
              <w:t>Han sido beneficiarias de estas ayudas 77 personas: 46 mujeres y 31 hijos/as en situación de especial vulnerabilidad.</w:t>
            </w:r>
          </w:p>
          <w:p>
            <w:pPr>
              <w:suppressLineNumbers/>
              <w:suppressAutoHyphens/>
              <w:autoSpaceDN w:val="0"/>
              <w:spacing w:after="0" w:line="240" w:lineRule="auto"/>
              <w:jc w:val="both"/>
              <w:textAlignment w:val="baseline"/>
              <w:rPr>
                <w:rFonts w:ascii="Arial" w:eastAsia="NSimSun" w:hAnsi="Arial" w:cs="Arial"/>
                <w:kern w:val="3"/>
                <w:sz w:val="16"/>
                <w:szCs w:val="16"/>
                <w:lang w:eastAsia="zh-CN" w:bidi="hi-IN"/>
              </w:rPr>
            </w:pPr>
          </w:p>
        </w:tc>
      </w:tr>
    </w:tbl>
    <w:p>
      <w:pPr>
        <w:widowControl w:val="0"/>
        <w:tabs>
          <w:tab w:val="left" w:pos="9455"/>
        </w:tabs>
        <w:autoSpaceDE w:val="0"/>
        <w:autoSpaceDN w:val="0"/>
        <w:spacing w:before="257" w:after="0" w:line="240" w:lineRule="auto"/>
        <w:jc w:val="both"/>
        <w:rPr>
          <w:rFonts w:ascii="Arial" w:hAnsi="Arial" w:cs="Arial"/>
          <w:b/>
          <w:sz w:val="24"/>
          <w:szCs w:val="24"/>
        </w:rPr>
      </w:pPr>
    </w:p>
    <w:p>
      <w:pPr>
        <w:widowControl w:val="0"/>
        <w:tabs>
          <w:tab w:val="left" w:pos="9455"/>
        </w:tabs>
        <w:autoSpaceDE w:val="0"/>
        <w:autoSpaceDN w:val="0"/>
        <w:spacing w:before="257" w:after="0" w:line="240" w:lineRule="auto"/>
        <w:jc w:val="both"/>
        <w:rPr>
          <w:rFonts w:ascii="Arial" w:hAnsi="Arial" w:cs="Arial"/>
          <w:b/>
          <w:sz w:val="24"/>
          <w:szCs w:val="24"/>
        </w:rPr>
      </w:pPr>
    </w:p>
    <w:p>
      <w:pPr>
        <w:widowControl w:val="0"/>
        <w:tabs>
          <w:tab w:val="left" w:pos="9455"/>
        </w:tabs>
        <w:autoSpaceDE w:val="0"/>
        <w:autoSpaceDN w:val="0"/>
        <w:spacing w:before="257" w:after="0" w:line="240" w:lineRule="auto"/>
        <w:jc w:val="both"/>
        <w:rPr>
          <w:rFonts w:ascii="Arial" w:hAnsi="Arial" w:cs="Arial"/>
          <w:b/>
          <w:sz w:val="24"/>
          <w:szCs w:val="24"/>
        </w:rPr>
      </w:pPr>
    </w:p>
    <w:p>
      <w:pPr>
        <w:widowControl w:val="0"/>
        <w:tabs>
          <w:tab w:val="left" w:pos="9455"/>
        </w:tabs>
        <w:autoSpaceDE w:val="0"/>
        <w:autoSpaceDN w:val="0"/>
        <w:spacing w:before="257" w:after="0" w:line="240" w:lineRule="auto"/>
        <w:jc w:val="both"/>
        <w:rPr>
          <w:rFonts w:ascii="Arial" w:hAnsi="Arial" w:cs="Arial"/>
          <w:b/>
          <w:sz w:val="24"/>
          <w:szCs w:val="24"/>
        </w:rPr>
      </w:pPr>
    </w:p>
    <w:p>
      <w:pPr>
        <w:widowControl w:val="0"/>
        <w:shd w:val="clear" w:color="auto" w:fill="B2A1C7" w:themeFill="accent4" w:themeFillTint="99"/>
        <w:tabs>
          <w:tab w:val="left" w:pos="9455"/>
        </w:tabs>
        <w:autoSpaceDE w:val="0"/>
        <w:autoSpaceDN w:val="0"/>
        <w:spacing w:before="257" w:after="0" w:line="240" w:lineRule="auto"/>
        <w:jc w:val="both"/>
        <w:rPr>
          <w:rFonts w:ascii="Arial" w:hAnsi="Arial" w:cs="Arial"/>
          <w:b/>
          <w:sz w:val="24"/>
          <w:szCs w:val="24"/>
        </w:rPr>
      </w:pPr>
      <w:r>
        <w:rPr>
          <w:rFonts w:ascii="Arial" w:hAnsi="Arial" w:cs="Arial"/>
          <w:noProof/>
          <w:sz w:val="24"/>
          <w:szCs w:val="24"/>
          <w:lang w:eastAsia="es-ES"/>
        </w:rPr>
        <mc:AlternateContent>
          <mc:Choice Requires="wps">
            <w:drawing>
              <wp:anchor distT="0" distB="0" distL="0" distR="0" simplePos="0" relativeHeight="251675648" behindDoc="0" locked="0" layoutInCell="1" allowOverlap="1">
                <wp:simplePos x="0" y="0"/>
                <wp:positionH relativeFrom="page">
                  <wp:posOffset>6842172</wp:posOffset>
                </wp:positionH>
                <wp:positionV relativeFrom="page">
                  <wp:posOffset>8690608</wp:posOffset>
                </wp:positionV>
                <wp:extent cx="352425" cy="889635"/>
                <wp:effectExtent l="0" t="0" r="0" b="0"/>
                <wp:wrapNone/>
                <wp:docPr id="2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889635"/>
                        </a:xfrm>
                        <a:prstGeom prst="rect">
                          <a:avLst/>
                        </a:prstGeom>
                      </wps:spPr>
                      <wps:txbx>
                        <w:txbxContent>
                          <w:p>
                            <w:pPr>
                              <w:spacing w:before="19"/>
                              <w:ind w:left="20"/>
                              <w:rPr>
                                <w:rFonts w:ascii="Cambria" w:hAnsi="Cambria"/>
                                <w:sz w:val="44"/>
                              </w:rPr>
                            </w:pPr>
                            <w:r>
                              <w:rPr>
                                <w:rFonts w:ascii="Cambria" w:hAnsi="Cambria"/>
                                <w:spacing w:val="-2"/>
                              </w:rPr>
                              <w:t>Página</w:t>
                            </w:r>
                            <w:r>
                              <w:rPr>
                                <w:rFonts w:ascii="Cambria" w:hAnsi="Cambria"/>
                                <w:spacing w:val="-2"/>
                                <w:sz w:val="44"/>
                              </w:rPr>
                              <w:t>132</w:t>
                            </w:r>
                          </w:p>
                        </w:txbxContent>
                      </wps:txbx>
                      <wps:bodyPr vert="vert270" wrap="square" lIns="0" tIns="0" rIns="0" bIns="0" rtlCol="0">
                        <a:noAutofit/>
                      </wps:bodyPr>
                    </wps:wsp>
                  </a:graphicData>
                </a:graphic>
              </wp:anchor>
            </w:drawing>
          </mc:Choice>
          <mc:Fallback>
            <w:pict>
              <v:shape id="Textbox 9" o:spid="_x0000_s1027" type="#_x0000_t202" style="position:absolute;left:0;text-align:left;margin-left:538.75pt;margin-top:684.3pt;width:27.75pt;height:70.05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" filled="f" stroked="f">
                <v:path arrowok="t"/>
                <v:textbox style="layout-flow:vertical;mso-layout-flow-alt:bottom-to-top" inset="0,0,0,0">
                  <w:txbxContent>
                    <w:p>
                      <w:pPr>
                        <w:spacing w:before="19"/>
                        <w:ind w:left="20"/>
                        <w:rPr>
                          <w:rFonts w:ascii="Cambria" w:hAnsi="Cambria"/>
                          <w:sz w:val="44"/>
                        </w:rPr>
                      </w:pPr>
                      <w:r>
                        <w:rPr>
                          <w:rFonts w:ascii="Cambria" w:hAnsi="Cambria"/>
                          <w:spacing w:val="-2"/>
                        </w:rPr>
                        <w:t>Página</w:t>
                      </w:r>
                      <w:r>
                        <w:rPr>
                          <w:rFonts w:ascii="Cambria" w:hAnsi="Cambria"/>
                          <w:spacing w:val="-2"/>
                          <w:sz w:val="44"/>
                        </w:rPr>
                        <w:t>132</w:t>
                      </w:r>
                    </w:p>
                  </w:txbxContent>
                </v:textbox>
                <w10:wrap anchorx="page" anchory="page"/>
              </v:shape>
            </w:pict>
          </mc:Fallback>
        </mc:AlternateContent>
      </w:r>
      <w:r>
        <w:rPr>
          <w:rFonts w:ascii="Arial" w:hAnsi="Arial" w:cs="Arial"/>
          <w:b/>
          <w:sz w:val="24"/>
          <w:szCs w:val="24"/>
        </w:rPr>
        <w:t>4.6.- METODOLOGÍA:</w:t>
      </w:r>
    </w:p>
    <w:p>
      <w:pPr>
        <w:widowControl w:val="0"/>
        <w:autoSpaceDE w:val="0"/>
        <w:autoSpaceDN w:val="0"/>
        <w:spacing w:before="239" w:after="0" w:line="360" w:lineRule="auto"/>
        <w:ind w:right="140"/>
        <w:jc w:val="both"/>
        <w:rPr>
          <w:rFonts w:ascii="Arial" w:hAnsi="Arial" w:cs="Arial"/>
          <w:sz w:val="24"/>
          <w:szCs w:val="24"/>
        </w:rPr>
      </w:pPr>
      <w:r>
        <w:rPr>
          <w:rFonts w:ascii="Arial" w:hAnsi="Arial" w:cs="Arial"/>
          <w:sz w:val="24"/>
          <w:szCs w:val="24"/>
        </w:rPr>
        <w:t>En reunión de equipo interdisciplinar, se valora la posibilidad de derivar a la mujer cuyo proceso en la Casa de Acogida Daniela haya sido óptimo y haya consolidado habilidades y herramientas suficientes para la consecución de una vida autónoma y se le realiza la propuesta a la misma. Una vez aceptada la propuesta por parte de la residente, se coordinan la trabajadora social de la misma y el equipo encargado de supervisar el Piso de Autonomía para concretar junto con ella la fecha de entrada, establecer objetivos de trabajo conjunto, facilitar información relevante en cuanto al funcionamiento del piso, su normativa, recursos disponibles en el entorno, medios de transporte, etc.</w:t>
      </w:r>
    </w:p>
    <w:p>
      <w:pPr>
        <w:widowControl w:val="0"/>
        <w:autoSpaceDE w:val="0"/>
        <w:autoSpaceDN w:val="0"/>
        <w:spacing w:before="239" w:after="0" w:line="360" w:lineRule="auto"/>
        <w:ind w:right="140"/>
        <w:jc w:val="both"/>
        <w:rPr>
          <w:rFonts w:ascii="Arial" w:hAnsi="Arial" w:cs="Arial"/>
          <w:sz w:val="24"/>
          <w:szCs w:val="24"/>
        </w:rPr>
      </w:pPr>
    </w:p>
    <w:p>
      <w:pPr>
        <w:widowControl w:val="0"/>
        <w:autoSpaceDE w:val="0"/>
        <w:autoSpaceDN w:val="0"/>
        <w:spacing w:after="0" w:line="360" w:lineRule="auto"/>
        <w:ind w:right="138"/>
        <w:jc w:val="both"/>
        <w:rPr>
          <w:rFonts w:ascii="Arial" w:hAnsi="Arial" w:cs="Arial"/>
          <w:sz w:val="24"/>
          <w:szCs w:val="24"/>
        </w:rPr>
      </w:pPr>
      <w:r>
        <w:rPr>
          <w:rFonts w:ascii="Arial" w:hAnsi="Arial" w:cs="Arial"/>
          <w:sz w:val="24"/>
          <w:szCs w:val="24"/>
        </w:rPr>
        <w:t>Llegada la fecha de entrada acordada, se realiza el acompañamiento a la residente al inmueble, se hace la entrega de llaves y firma de documentación necesaria. Así mismo, se acuerda la siguiente cita de seguimiento de su plan de trabajo individual compartiendo los objetivos propuestos. Todo esto partiendo del Plan de Emancipación diseñado por la mujer y el equipo interdisciplinar, durante su proceso en el Programa Oblatas Daniela.</w:t>
      </w:r>
    </w:p>
    <w:p>
      <w:pPr>
        <w:widowControl w:val="0"/>
        <w:autoSpaceDE w:val="0"/>
        <w:autoSpaceDN w:val="0"/>
        <w:spacing w:after="0" w:line="360" w:lineRule="auto"/>
        <w:ind w:right="138"/>
        <w:jc w:val="both"/>
        <w:rPr>
          <w:rFonts w:ascii="Arial" w:hAnsi="Arial" w:cs="Arial"/>
          <w:sz w:val="24"/>
          <w:szCs w:val="24"/>
        </w:rPr>
      </w:pPr>
    </w:p>
    <w:p>
      <w:pPr>
        <w:widowControl w:val="0"/>
        <w:autoSpaceDE w:val="0"/>
        <w:autoSpaceDN w:val="0"/>
        <w:spacing w:after="0" w:line="360" w:lineRule="auto"/>
        <w:ind w:right="142"/>
        <w:jc w:val="both"/>
        <w:rPr>
          <w:rFonts w:ascii="Arial" w:hAnsi="Arial" w:cs="Arial"/>
          <w:sz w:val="24"/>
          <w:szCs w:val="24"/>
        </w:rPr>
      </w:pPr>
      <w:r>
        <w:rPr>
          <w:rFonts w:ascii="Arial" w:hAnsi="Arial" w:cs="Arial"/>
          <w:sz w:val="24"/>
          <w:szCs w:val="24"/>
        </w:rPr>
        <w:t>La organización de la casa es responsabilidad de las residentes, con el apoyo del</w:t>
      </w:r>
      <w:r>
        <w:rPr>
          <w:rFonts w:ascii="Arial" w:hAnsi="Arial" w:cs="Arial"/>
          <w:spacing w:val="-1"/>
          <w:sz w:val="24"/>
          <w:szCs w:val="24"/>
        </w:rPr>
        <w:t xml:space="preserve"> </w:t>
      </w:r>
      <w:r>
        <w:rPr>
          <w:rFonts w:ascii="Arial" w:hAnsi="Arial" w:cs="Arial"/>
          <w:sz w:val="24"/>
          <w:szCs w:val="24"/>
        </w:rPr>
        <w:t>equipo. Se cuenta con una agenda a disposición de todas las personas para registrar incidencias y/o fechas de asambleas, actividades, etc.</w:t>
      </w:r>
    </w:p>
    <w:p>
      <w:pPr>
        <w:widowControl w:val="0"/>
        <w:autoSpaceDE w:val="0"/>
        <w:autoSpaceDN w:val="0"/>
        <w:spacing w:after="0" w:line="360" w:lineRule="auto"/>
        <w:ind w:right="142"/>
        <w:jc w:val="both"/>
        <w:rPr>
          <w:rFonts w:ascii="Arial" w:hAnsi="Arial" w:cs="Arial"/>
          <w:sz w:val="24"/>
          <w:szCs w:val="24"/>
        </w:rPr>
      </w:pPr>
    </w:p>
    <w:p>
      <w:pPr>
        <w:widowControl w:val="0"/>
        <w:autoSpaceDE w:val="0"/>
        <w:autoSpaceDN w:val="0"/>
        <w:spacing w:after="0" w:line="360" w:lineRule="auto"/>
        <w:ind w:right="141"/>
        <w:jc w:val="both"/>
        <w:rPr>
          <w:rFonts w:ascii="Arial" w:hAnsi="Arial" w:cs="Arial"/>
          <w:sz w:val="24"/>
          <w:szCs w:val="24"/>
        </w:rPr>
      </w:pPr>
      <w:r>
        <w:rPr>
          <w:rFonts w:ascii="Arial" w:hAnsi="Arial" w:cs="Arial"/>
          <w:sz w:val="24"/>
          <w:szCs w:val="24"/>
        </w:rPr>
        <w:t>En cuanto a la dinámica habitual de coordinación y actividades, con respecto a años anteriores, se da una disminución considerable de las mismas teniendo en cuenta la veteranía de las mujeres residentes hasta el mes de junio, siendo estas incrementadas en el segundo semestre dada la salida y entrada de mujeres. En total, se realizan:</w:t>
      </w:r>
    </w:p>
    <w:p>
      <w:pPr>
        <w:widowControl w:val="0"/>
        <w:autoSpaceDE w:val="0"/>
        <w:autoSpaceDN w:val="0"/>
        <w:spacing w:after="0" w:line="360" w:lineRule="auto"/>
        <w:ind w:right="141"/>
        <w:jc w:val="both"/>
        <w:rPr>
          <w:rFonts w:ascii="Arial" w:hAnsi="Arial" w:cs="Arial"/>
          <w:sz w:val="24"/>
          <w:szCs w:val="24"/>
        </w:rPr>
      </w:pPr>
    </w:p>
    <w:p>
      <w:pPr>
        <w:widowControl w:val="0"/>
        <w:autoSpaceDE w:val="0"/>
        <w:autoSpaceDN w:val="0"/>
        <w:spacing w:after="0" w:line="360" w:lineRule="auto"/>
        <w:ind w:right="141"/>
        <w:jc w:val="both"/>
        <w:rPr>
          <w:rFonts w:ascii="Arial" w:hAnsi="Arial" w:cs="Arial"/>
          <w:sz w:val="24"/>
          <w:szCs w:val="24"/>
        </w:rPr>
      </w:pPr>
    </w:p>
    <w:p>
      <w:pPr>
        <w:widowControl w:val="0"/>
        <w:autoSpaceDE w:val="0"/>
        <w:autoSpaceDN w:val="0"/>
        <w:spacing w:after="0" w:line="360" w:lineRule="auto"/>
        <w:ind w:right="141"/>
        <w:jc w:val="both"/>
        <w:rPr>
          <w:rFonts w:ascii="Arial" w:hAnsi="Arial" w:cs="Arial"/>
          <w:sz w:val="24"/>
          <w:szCs w:val="24"/>
        </w:rPr>
      </w:pPr>
      <w:r>
        <w:rPr>
          <w:rFonts w:ascii="Arial" w:hAnsi="Arial" w:cs="Arial"/>
          <w:sz w:val="24"/>
          <w:szCs w:val="24"/>
        </w:rPr>
        <w:t xml:space="preserve"> </w:t>
      </w:r>
    </w:p>
    <w:p>
      <w:pPr>
        <w:widowControl w:val="0"/>
        <w:autoSpaceDE w:val="0"/>
        <w:autoSpaceDN w:val="0"/>
        <w:spacing w:after="0"/>
        <w:ind w:left="213" w:right="141"/>
        <w:jc w:val="both"/>
        <w:rPr>
          <w:rFonts w:ascii="Arial" w:hAnsi="Arial" w:cs="Arial"/>
          <w:sz w:val="24"/>
          <w:szCs w:val="24"/>
        </w:rPr>
      </w:pPr>
    </w:p>
    <w:tbl>
      <w:tblPr>
        <w:tblStyle w:val="Tablaconcuadrcula38"/>
        <w:tblW w:w="8859" w:type="dxa"/>
        <w:tblInd w:w="213" w:type="dxa"/>
        <w:tblLook w:val="04A0" w:firstRow="1" w:lastRow="0" w:firstColumn="1" w:lastColumn="0" w:noHBand="0" w:noVBand="1"/>
      </w:tblPr>
      <w:tblGrid>
        <w:gridCol w:w="2903"/>
        <w:gridCol w:w="580"/>
        <w:gridCol w:w="5376"/>
      </w:tblGrid>
      <w:tr>
        <w:tc>
          <w:tcPr>
            <w:tcW w:w="2906" w:type="dxa"/>
            <w:tcBorders>
              <w:top w:val="nil"/>
              <w:left w:val="nil"/>
              <w:bottom w:val="single" w:sz="4" w:space="0" w:color="auto"/>
              <w:right w:val="single" w:sz="4" w:space="0" w:color="auto"/>
            </w:tcBorders>
          </w:tcPr>
          <w:p>
            <w:pPr>
              <w:spacing w:after="0"/>
              <w:ind w:right="141"/>
              <w:jc w:val="both"/>
              <w:rPr>
                <w:rFonts w:ascii="Arial" w:hAnsi="Arial" w:cs="Arial"/>
                <w:sz w:val="20"/>
                <w:szCs w:val="20"/>
                <w:lang w:val="es-ES"/>
              </w:rPr>
            </w:pPr>
          </w:p>
        </w:tc>
        <w:tc>
          <w:tcPr>
            <w:tcW w:w="567" w:type="dxa"/>
            <w:tcBorders>
              <w:left w:val="single" w:sz="4" w:space="0" w:color="auto"/>
            </w:tcBorders>
            <w:shd w:val="clear" w:color="auto" w:fill="DDD9C3" w:themeFill="background2" w:themeFillShade="E6"/>
          </w:tcPr>
          <w:p>
            <w:pPr>
              <w:spacing w:after="0"/>
              <w:ind w:right="141"/>
              <w:jc w:val="center"/>
              <w:rPr>
                <w:rFonts w:ascii="Arial" w:hAnsi="Arial" w:cs="Arial"/>
                <w:b/>
                <w:sz w:val="20"/>
                <w:szCs w:val="20"/>
              </w:rPr>
            </w:pPr>
            <w:r>
              <w:rPr>
                <w:rFonts w:ascii="Arial" w:hAnsi="Arial" w:cs="Arial"/>
                <w:b/>
                <w:sz w:val="20"/>
                <w:szCs w:val="20"/>
              </w:rPr>
              <w:t>Nº</w:t>
            </w:r>
          </w:p>
        </w:tc>
        <w:tc>
          <w:tcPr>
            <w:tcW w:w="5386" w:type="dxa"/>
            <w:shd w:val="clear" w:color="auto" w:fill="DDD9C3" w:themeFill="background2" w:themeFillShade="E6"/>
          </w:tcPr>
          <w:p>
            <w:pPr>
              <w:spacing w:after="0"/>
              <w:ind w:right="141"/>
              <w:jc w:val="center"/>
              <w:rPr>
                <w:rFonts w:ascii="Arial" w:hAnsi="Arial" w:cs="Arial"/>
                <w:b/>
                <w:sz w:val="20"/>
                <w:szCs w:val="20"/>
              </w:rPr>
            </w:pPr>
            <w:r>
              <w:rPr>
                <w:rFonts w:ascii="Arial" w:hAnsi="Arial" w:cs="Arial"/>
                <w:b/>
                <w:sz w:val="20"/>
                <w:szCs w:val="20"/>
              </w:rPr>
              <w:t>Objetivos</w:t>
            </w:r>
          </w:p>
        </w:tc>
      </w:tr>
      <w:tr>
        <w:tc>
          <w:tcPr>
            <w:tcW w:w="2906" w:type="dxa"/>
            <w:tcBorders>
              <w:top w:val="single" w:sz="4" w:space="0" w:color="auto"/>
            </w:tcBorders>
            <w:shd w:val="clear" w:color="auto" w:fill="DDD9C3" w:themeFill="background2" w:themeFillShade="E6"/>
          </w:tcPr>
          <w:p>
            <w:pPr>
              <w:spacing w:after="0"/>
              <w:ind w:right="141"/>
              <w:rPr>
                <w:rFonts w:ascii="Arial" w:hAnsi="Arial" w:cs="Arial"/>
                <w:b/>
                <w:sz w:val="20"/>
                <w:szCs w:val="20"/>
              </w:rPr>
            </w:pPr>
            <w:r>
              <w:rPr>
                <w:rFonts w:ascii="Arial" w:hAnsi="Arial" w:cs="Arial"/>
                <w:b/>
                <w:sz w:val="20"/>
                <w:szCs w:val="20"/>
              </w:rPr>
              <w:t>Seguimientos individuales</w:t>
            </w:r>
          </w:p>
        </w:tc>
        <w:tc>
          <w:tcPr>
            <w:tcW w:w="567" w:type="dxa"/>
            <w:vAlign w:val="center"/>
          </w:tcPr>
          <w:p>
            <w:pPr>
              <w:spacing w:after="0"/>
              <w:ind w:right="141"/>
              <w:jc w:val="center"/>
              <w:rPr>
                <w:rFonts w:ascii="Arial" w:hAnsi="Arial" w:cs="Arial"/>
                <w:sz w:val="20"/>
                <w:szCs w:val="20"/>
              </w:rPr>
            </w:pPr>
            <w:r>
              <w:rPr>
                <w:rFonts w:ascii="Arial" w:hAnsi="Arial" w:cs="Arial"/>
                <w:sz w:val="20"/>
                <w:szCs w:val="20"/>
              </w:rPr>
              <w:t>40</w:t>
            </w:r>
          </w:p>
        </w:tc>
        <w:tc>
          <w:tcPr>
            <w:tcW w:w="5386" w:type="dxa"/>
          </w:tcPr>
          <w:p>
            <w:pPr>
              <w:spacing w:after="0"/>
              <w:ind w:right="141"/>
              <w:jc w:val="both"/>
              <w:rPr>
                <w:rFonts w:ascii="Arial" w:hAnsi="Arial" w:cs="Arial"/>
                <w:sz w:val="20"/>
                <w:szCs w:val="20"/>
                <w:lang w:val="es-ES"/>
              </w:rPr>
            </w:pPr>
            <w:r>
              <w:rPr>
                <w:rFonts w:ascii="Arial" w:hAnsi="Arial" w:cs="Arial"/>
                <w:sz w:val="20"/>
                <w:szCs w:val="20"/>
                <w:lang w:val="es-ES"/>
              </w:rPr>
              <w:t xml:space="preserve">Propiciar espacios de escucha y seguimiento personalizado. </w:t>
            </w:r>
          </w:p>
        </w:tc>
      </w:tr>
      <w:tr>
        <w:tc>
          <w:tcPr>
            <w:tcW w:w="2906" w:type="dxa"/>
            <w:shd w:val="clear" w:color="auto" w:fill="DDD9C3" w:themeFill="background2" w:themeFillShade="E6"/>
          </w:tcPr>
          <w:p>
            <w:pPr>
              <w:spacing w:after="0"/>
              <w:ind w:right="141"/>
              <w:rPr>
                <w:rFonts w:ascii="Arial" w:hAnsi="Arial" w:cs="Arial"/>
                <w:b/>
                <w:sz w:val="20"/>
                <w:szCs w:val="20"/>
              </w:rPr>
            </w:pPr>
            <w:r>
              <w:rPr>
                <w:rFonts w:ascii="Arial" w:hAnsi="Arial" w:cs="Arial"/>
                <w:b/>
                <w:sz w:val="20"/>
                <w:szCs w:val="20"/>
              </w:rPr>
              <w:t>Actividades grupales</w:t>
            </w:r>
          </w:p>
        </w:tc>
        <w:tc>
          <w:tcPr>
            <w:tcW w:w="567" w:type="dxa"/>
            <w:vAlign w:val="center"/>
          </w:tcPr>
          <w:p>
            <w:pPr>
              <w:spacing w:after="0"/>
              <w:ind w:right="141"/>
              <w:jc w:val="center"/>
              <w:rPr>
                <w:rFonts w:ascii="Arial" w:hAnsi="Arial" w:cs="Arial"/>
                <w:sz w:val="20"/>
                <w:szCs w:val="20"/>
              </w:rPr>
            </w:pPr>
            <w:r>
              <w:rPr>
                <w:rFonts w:ascii="Arial" w:hAnsi="Arial" w:cs="Arial"/>
                <w:sz w:val="20"/>
                <w:szCs w:val="20"/>
              </w:rPr>
              <w:t>7</w:t>
            </w:r>
          </w:p>
        </w:tc>
        <w:tc>
          <w:tcPr>
            <w:tcW w:w="5386" w:type="dxa"/>
          </w:tcPr>
          <w:p>
            <w:pPr>
              <w:spacing w:after="0"/>
              <w:ind w:right="141"/>
              <w:jc w:val="both"/>
              <w:rPr>
                <w:rFonts w:ascii="Arial" w:hAnsi="Arial" w:cs="Arial"/>
                <w:sz w:val="20"/>
                <w:szCs w:val="20"/>
                <w:lang w:val="es-ES"/>
              </w:rPr>
            </w:pPr>
            <w:r>
              <w:rPr>
                <w:rFonts w:ascii="Arial" w:hAnsi="Arial" w:cs="Arial"/>
                <w:sz w:val="20"/>
                <w:szCs w:val="20"/>
                <w:lang w:val="es-ES"/>
              </w:rPr>
              <w:t xml:space="preserve">Favorecer espacios compartidos de ocio y vinculación. </w:t>
            </w:r>
          </w:p>
        </w:tc>
      </w:tr>
      <w:tr>
        <w:tc>
          <w:tcPr>
            <w:tcW w:w="2906" w:type="dxa"/>
            <w:shd w:val="clear" w:color="auto" w:fill="DDD9C3" w:themeFill="background2" w:themeFillShade="E6"/>
          </w:tcPr>
          <w:p>
            <w:pPr>
              <w:spacing w:after="0"/>
              <w:ind w:right="141"/>
              <w:rPr>
                <w:rFonts w:ascii="Arial" w:hAnsi="Arial" w:cs="Arial"/>
                <w:b/>
                <w:sz w:val="20"/>
                <w:szCs w:val="20"/>
              </w:rPr>
            </w:pPr>
            <w:r>
              <w:rPr>
                <w:rFonts w:ascii="Arial" w:hAnsi="Arial" w:cs="Arial"/>
                <w:b/>
                <w:sz w:val="20"/>
                <w:szCs w:val="20"/>
              </w:rPr>
              <w:t>Reuniones mujer-equipo técnico</w:t>
            </w:r>
          </w:p>
        </w:tc>
        <w:tc>
          <w:tcPr>
            <w:tcW w:w="567" w:type="dxa"/>
            <w:vAlign w:val="center"/>
          </w:tcPr>
          <w:p>
            <w:pPr>
              <w:spacing w:after="0"/>
              <w:ind w:right="141"/>
              <w:jc w:val="center"/>
              <w:rPr>
                <w:rFonts w:ascii="Arial" w:hAnsi="Arial" w:cs="Arial"/>
                <w:sz w:val="20"/>
                <w:szCs w:val="20"/>
              </w:rPr>
            </w:pPr>
            <w:r>
              <w:rPr>
                <w:rFonts w:ascii="Arial" w:hAnsi="Arial" w:cs="Arial"/>
                <w:sz w:val="20"/>
                <w:szCs w:val="20"/>
              </w:rPr>
              <w:t>5</w:t>
            </w:r>
          </w:p>
        </w:tc>
        <w:tc>
          <w:tcPr>
            <w:tcW w:w="5386" w:type="dxa"/>
          </w:tcPr>
          <w:p>
            <w:pPr>
              <w:spacing w:after="0"/>
              <w:ind w:right="141"/>
              <w:jc w:val="both"/>
              <w:rPr>
                <w:rFonts w:ascii="Arial" w:hAnsi="Arial" w:cs="Arial"/>
                <w:sz w:val="20"/>
                <w:szCs w:val="20"/>
                <w:lang w:val="es-ES"/>
              </w:rPr>
            </w:pPr>
            <w:r>
              <w:rPr>
                <w:rFonts w:ascii="Arial" w:hAnsi="Arial" w:cs="Arial"/>
                <w:sz w:val="20"/>
                <w:szCs w:val="20"/>
                <w:lang w:val="es-ES"/>
              </w:rPr>
              <w:t xml:space="preserve">Seguimiento del plan de trabajo individual compartido y sus objetivos. </w:t>
            </w:r>
          </w:p>
        </w:tc>
      </w:tr>
      <w:tr>
        <w:tc>
          <w:tcPr>
            <w:tcW w:w="2906" w:type="dxa"/>
            <w:shd w:val="clear" w:color="auto" w:fill="DDD9C3" w:themeFill="background2" w:themeFillShade="E6"/>
          </w:tcPr>
          <w:p>
            <w:pPr>
              <w:spacing w:after="0"/>
              <w:ind w:right="141"/>
              <w:rPr>
                <w:rFonts w:ascii="Arial" w:hAnsi="Arial" w:cs="Arial"/>
                <w:b/>
                <w:sz w:val="20"/>
                <w:szCs w:val="20"/>
              </w:rPr>
            </w:pPr>
            <w:r>
              <w:rPr>
                <w:rFonts w:ascii="Arial" w:hAnsi="Arial" w:cs="Arial"/>
                <w:b/>
                <w:sz w:val="20"/>
                <w:szCs w:val="20"/>
              </w:rPr>
              <w:t>Asambleas de convivencia</w:t>
            </w:r>
          </w:p>
        </w:tc>
        <w:tc>
          <w:tcPr>
            <w:tcW w:w="567" w:type="dxa"/>
            <w:vAlign w:val="center"/>
          </w:tcPr>
          <w:p>
            <w:pPr>
              <w:spacing w:after="0"/>
              <w:ind w:right="141"/>
              <w:jc w:val="center"/>
              <w:rPr>
                <w:rFonts w:ascii="Arial" w:hAnsi="Arial" w:cs="Arial"/>
                <w:sz w:val="20"/>
                <w:szCs w:val="20"/>
              </w:rPr>
            </w:pPr>
            <w:r>
              <w:rPr>
                <w:rFonts w:ascii="Arial" w:hAnsi="Arial" w:cs="Arial"/>
                <w:sz w:val="20"/>
                <w:szCs w:val="20"/>
              </w:rPr>
              <w:t>5</w:t>
            </w:r>
          </w:p>
        </w:tc>
        <w:tc>
          <w:tcPr>
            <w:tcW w:w="5386" w:type="dxa"/>
          </w:tcPr>
          <w:p>
            <w:pPr>
              <w:spacing w:after="0"/>
              <w:ind w:right="141"/>
              <w:jc w:val="both"/>
              <w:rPr>
                <w:rFonts w:ascii="Arial" w:hAnsi="Arial" w:cs="Arial"/>
                <w:sz w:val="20"/>
                <w:szCs w:val="20"/>
                <w:lang w:val="es-ES"/>
              </w:rPr>
            </w:pPr>
            <w:r>
              <w:rPr>
                <w:rFonts w:ascii="Arial" w:hAnsi="Arial" w:cs="Arial"/>
                <w:sz w:val="20"/>
                <w:szCs w:val="20"/>
                <w:lang w:val="es-ES"/>
              </w:rPr>
              <w:t xml:space="preserve">Evaluar y dar soporte a los aspectos relativos a la convivencia. </w:t>
            </w:r>
          </w:p>
        </w:tc>
      </w:tr>
      <w:tr>
        <w:tc>
          <w:tcPr>
            <w:tcW w:w="2906" w:type="dxa"/>
            <w:shd w:val="clear" w:color="auto" w:fill="DDD9C3" w:themeFill="background2" w:themeFillShade="E6"/>
          </w:tcPr>
          <w:p>
            <w:pPr>
              <w:spacing w:after="0"/>
              <w:ind w:right="141"/>
              <w:rPr>
                <w:rFonts w:ascii="Arial" w:hAnsi="Arial" w:cs="Arial"/>
                <w:b/>
                <w:sz w:val="20"/>
                <w:szCs w:val="20"/>
              </w:rPr>
            </w:pPr>
            <w:r>
              <w:rPr>
                <w:rFonts w:ascii="Arial" w:hAnsi="Arial" w:cs="Arial"/>
                <w:b/>
                <w:sz w:val="20"/>
                <w:szCs w:val="20"/>
              </w:rPr>
              <w:t>Reuniones del equipo técnico</w:t>
            </w:r>
          </w:p>
        </w:tc>
        <w:tc>
          <w:tcPr>
            <w:tcW w:w="567" w:type="dxa"/>
            <w:vAlign w:val="center"/>
          </w:tcPr>
          <w:p>
            <w:pPr>
              <w:spacing w:after="0"/>
              <w:ind w:right="141"/>
              <w:jc w:val="center"/>
              <w:rPr>
                <w:rFonts w:ascii="Arial" w:hAnsi="Arial" w:cs="Arial"/>
                <w:sz w:val="20"/>
                <w:szCs w:val="20"/>
              </w:rPr>
            </w:pPr>
            <w:r>
              <w:rPr>
                <w:rFonts w:ascii="Arial" w:hAnsi="Arial" w:cs="Arial"/>
                <w:sz w:val="20"/>
                <w:szCs w:val="20"/>
              </w:rPr>
              <w:t>2</w:t>
            </w:r>
          </w:p>
        </w:tc>
        <w:tc>
          <w:tcPr>
            <w:tcW w:w="5386" w:type="dxa"/>
          </w:tcPr>
          <w:p>
            <w:pPr>
              <w:spacing w:after="0"/>
              <w:ind w:right="141"/>
              <w:jc w:val="both"/>
              <w:rPr>
                <w:rFonts w:ascii="Arial" w:hAnsi="Arial" w:cs="Arial"/>
                <w:sz w:val="20"/>
                <w:szCs w:val="20"/>
                <w:lang w:val="es-ES"/>
              </w:rPr>
            </w:pPr>
            <w:r>
              <w:rPr>
                <w:rFonts w:ascii="Arial" w:hAnsi="Arial" w:cs="Arial"/>
                <w:sz w:val="20"/>
                <w:szCs w:val="20"/>
                <w:lang w:val="es-ES"/>
              </w:rPr>
              <w:t xml:space="preserve">Coordinar el seguimiento a las residentes y proponer actividades. </w:t>
            </w:r>
          </w:p>
        </w:tc>
      </w:tr>
      <w:tr>
        <w:tc>
          <w:tcPr>
            <w:tcW w:w="2906" w:type="dxa"/>
            <w:shd w:val="clear" w:color="auto" w:fill="DDD9C3" w:themeFill="background2" w:themeFillShade="E6"/>
          </w:tcPr>
          <w:p>
            <w:pPr>
              <w:spacing w:after="0"/>
              <w:ind w:right="141"/>
              <w:rPr>
                <w:rFonts w:ascii="Arial" w:hAnsi="Arial" w:cs="Arial"/>
                <w:b/>
                <w:sz w:val="20"/>
                <w:szCs w:val="20"/>
              </w:rPr>
            </w:pPr>
            <w:r>
              <w:rPr>
                <w:rFonts w:ascii="Arial" w:hAnsi="Arial" w:cs="Arial"/>
                <w:b/>
                <w:sz w:val="20"/>
                <w:szCs w:val="20"/>
              </w:rPr>
              <w:t>Reuniones coordinación-equipo técnico</w:t>
            </w:r>
          </w:p>
        </w:tc>
        <w:tc>
          <w:tcPr>
            <w:tcW w:w="567" w:type="dxa"/>
            <w:vAlign w:val="center"/>
          </w:tcPr>
          <w:p>
            <w:pPr>
              <w:spacing w:after="0"/>
              <w:ind w:right="141"/>
              <w:jc w:val="center"/>
              <w:rPr>
                <w:rFonts w:ascii="Arial" w:hAnsi="Arial" w:cs="Arial"/>
                <w:sz w:val="20"/>
                <w:szCs w:val="20"/>
              </w:rPr>
            </w:pPr>
            <w:r>
              <w:rPr>
                <w:rFonts w:ascii="Arial" w:hAnsi="Arial" w:cs="Arial"/>
                <w:sz w:val="20"/>
                <w:szCs w:val="20"/>
              </w:rPr>
              <w:t>2</w:t>
            </w:r>
          </w:p>
        </w:tc>
        <w:tc>
          <w:tcPr>
            <w:tcW w:w="5386" w:type="dxa"/>
          </w:tcPr>
          <w:p>
            <w:pPr>
              <w:spacing w:after="0"/>
              <w:ind w:right="141"/>
              <w:jc w:val="both"/>
              <w:rPr>
                <w:rFonts w:ascii="Arial" w:hAnsi="Arial" w:cs="Arial"/>
                <w:sz w:val="20"/>
                <w:szCs w:val="20"/>
                <w:lang w:val="es-ES"/>
              </w:rPr>
            </w:pPr>
            <w:r>
              <w:rPr>
                <w:rFonts w:ascii="Arial" w:hAnsi="Arial" w:cs="Arial"/>
                <w:sz w:val="20"/>
                <w:szCs w:val="20"/>
                <w:lang w:val="es-ES"/>
              </w:rPr>
              <w:t xml:space="preserve">Seguimiento de los procesos individuales y del funcionamiento del piso de autonomía. </w:t>
            </w:r>
          </w:p>
        </w:tc>
      </w:tr>
    </w:tbl>
    <w:p>
      <w:pPr>
        <w:widowControl w:val="0"/>
        <w:autoSpaceDE w:val="0"/>
        <w:autoSpaceDN w:val="0"/>
        <w:spacing w:after="0"/>
        <w:ind w:left="213" w:right="141"/>
        <w:jc w:val="both"/>
        <w:rPr>
          <w:rFonts w:ascii="Arial" w:hAnsi="Arial" w:cs="Arial"/>
          <w:sz w:val="24"/>
          <w:szCs w:val="24"/>
        </w:rPr>
      </w:pPr>
    </w:p>
    <w:p>
      <w:pPr>
        <w:widowControl w:val="0"/>
        <w:autoSpaceDE w:val="0"/>
        <w:autoSpaceDN w:val="0"/>
        <w:spacing w:after="0" w:line="360" w:lineRule="auto"/>
        <w:ind w:left="213" w:right="141"/>
        <w:jc w:val="both"/>
        <w:rPr>
          <w:rFonts w:ascii="Arial" w:hAnsi="Arial" w:cs="Arial"/>
          <w:sz w:val="24"/>
          <w:szCs w:val="24"/>
        </w:rPr>
      </w:pPr>
      <w:r>
        <w:rPr>
          <w:rFonts w:ascii="Arial" w:hAnsi="Arial" w:cs="Arial"/>
          <w:sz w:val="24"/>
          <w:szCs w:val="24"/>
        </w:rPr>
        <w:t>En relación a las ayudas económicas, el área social realiza una valoración individualizada de cada caso, priorizando a aquellas mujeres o núcleos familiares en situación de mayor vulnerabilidad o emergencia, como la necesidad de una vivienda alternativa inmediata. Estas ayudas buscan facilitar la estabilidad económica y social, complementando el proceso de autonomía residencial.</w:t>
      </w:r>
    </w:p>
    <w:p>
      <w:pPr>
        <w:widowControl w:val="0"/>
        <w:autoSpaceDE w:val="0"/>
        <w:autoSpaceDN w:val="0"/>
        <w:spacing w:after="0" w:line="360" w:lineRule="auto"/>
        <w:ind w:left="213" w:right="141"/>
        <w:jc w:val="both"/>
        <w:rPr>
          <w:rFonts w:ascii="Arial" w:hAnsi="Arial" w:cs="Arial"/>
          <w:sz w:val="24"/>
          <w:szCs w:val="24"/>
        </w:rPr>
      </w:pPr>
    </w:p>
    <w:p>
      <w:pPr>
        <w:widowControl w:val="0"/>
        <w:autoSpaceDE w:val="0"/>
        <w:autoSpaceDN w:val="0"/>
        <w:spacing w:after="0" w:line="360" w:lineRule="auto"/>
        <w:ind w:left="213" w:right="141"/>
        <w:jc w:val="both"/>
        <w:rPr>
          <w:rFonts w:ascii="Arial" w:hAnsi="Arial" w:cs="Arial"/>
          <w:sz w:val="24"/>
          <w:szCs w:val="24"/>
        </w:rPr>
      </w:pPr>
      <w:r>
        <w:rPr>
          <w:rFonts w:ascii="Arial" w:hAnsi="Arial" w:cs="Arial"/>
          <w:sz w:val="24"/>
          <w:szCs w:val="24"/>
        </w:rPr>
        <w:t>Finalmente, toda esta intervención se enmarca en una metodología integral que comparte los principios y valores del Programa Oblatas Daniela, promoviendo un abordaje que integra diferentes áreas de intervención (social, educativa, psicológica, jurídica y laboral) y respetando los valores institucionales que sustentan la acción de la entidad.</w:t>
      </w:r>
    </w:p>
    <w:p>
      <w:pPr>
        <w:widowControl w:val="0"/>
        <w:autoSpaceDE w:val="0"/>
        <w:autoSpaceDN w:val="0"/>
        <w:spacing w:after="0" w:line="360" w:lineRule="auto"/>
        <w:ind w:left="213" w:right="141"/>
        <w:jc w:val="both"/>
        <w:rPr>
          <w:rFonts w:ascii="Arial" w:hAnsi="Arial" w:cs="Arial"/>
          <w:sz w:val="24"/>
          <w:szCs w:val="24"/>
        </w:rPr>
      </w:pPr>
    </w:p>
    <w:p>
      <w:pPr>
        <w:widowControl w:val="0"/>
        <w:autoSpaceDE w:val="0"/>
        <w:autoSpaceDN w:val="0"/>
        <w:spacing w:after="0" w:line="360" w:lineRule="auto"/>
        <w:ind w:left="213" w:right="141"/>
        <w:jc w:val="both"/>
        <w:rPr>
          <w:rFonts w:ascii="Arial" w:hAnsi="Arial" w:cs="Arial"/>
          <w:sz w:val="24"/>
          <w:szCs w:val="24"/>
        </w:rPr>
      </w:pPr>
      <w:r>
        <w:rPr>
          <w:rFonts w:ascii="Arial" w:hAnsi="Arial" w:cs="Arial"/>
          <w:sz w:val="24"/>
          <w:szCs w:val="24"/>
        </w:rPr>
        <w:t xml:space="preserve">La metodología se fundamenta en criterios éticos, de respeto a la dignidad y derechos de las mujeres, y en la promoción de su empoderamiento y autonomía </w:t>
      </w:r>
      <w:r>
        <w:rPr>
          <w:rFonts w:ascii="Arial" w:hAnsi="Arial" w:cs="Arial"/>
          <w:sz w:val="24"/>
          <w:szCs w:val="24"/>
        </w:rPr>
        <w:lastRenderedPageBreak/>
        <w:t>personal.</w:t>
      </w:r>
    </w:p>
    <w:p>
      <w:pPr>
        <w:widowControl w:val="0"/>
        <w:autoSpaceDE w:val="0"/>
        <w:autoSpaceDN w:val="0"/>
        <w:spacing w:after="0"/>
        <w:ind w:left="213" w:right="141"/>
        <w:jc w:val="both"/>
        <w:rPr>
          <w:rFonts w:ascii="Arial" w:hAnsi="Arial" w:cs="Arial"/>
          <w:sz w:val="24"/>
          <w:szCs w:val="24"/>
        </w:rPr>
      </w:pPr>
    </w:p>
    <w:p>
      <w:pPr>
        <w:widowControl w:val="0"/>
        <w:shd w:val="clear" w:color="auto" w:fill="B2A1C7" w:themeFill="accent4" w:themeFillTint="99"/>
        <w:autoSpaceDE w:val="0"/>
        <w:autoSpaceDN w:val="0"/>
        <w:spacing w:after="0"/>
        <w:ind w:left="213" w:right="141"/>
        <w:jc w:val="both"/>
        <w:rPr>
          <w:rFonts w:ascii="Arial" w:hAnsi="Arial" w:cs="Arial"/>
          <w:b/>
          <w:sz w:val="24"/>
          <w:szCs w:val="24"/>
        </w:rPr>
      </w:pPr>
      <w:r>
        <w:rPr>
          <w:rFonts w:ascii="Arial" w:hAnsi="Arial" w:cs="Arial"/>
          <w:b/>
          <w:sz w:val="24"/>
          <w:szCs w:val="24"/>
        </w:rPr>
        <w:t>4.7.- EVALUACIÓN DE LA INTERVENCIÓN:</w:t>
      </w:r>
    </w:p>
    <w:p>
      <w:pPr>
        <w:widowControl w:val="0"/>
        <w:suppressAutoHyphens/>
        <w:autoSpaceDE w:val="0"/>
        <w:autoSpaceDN w:val="0"/>
        <w:spacing w:after="0" w:line="360" w:lineRule="auto"/>
        <w:jc w:val="both"/>
        <w:textAlignment w:val="baseline"/>
        <w:rPr>
          <w:rFonts w:ascii="Arial" w:hAnsi="Arial" w:cs="Arial"/>
          <w:b/>
          <w:bCs/>
          <w:color w:val="000000"/>
          <w:sz w:val="24"/>
          <w:szCs w:val="24"/>
          <w:shd w:val="clear" w:color="auto" w:fill="B1A0C6"/>
        </w:rPr>
      </w:pPr>
    </w:p>
    <w:p>
      <w:pPr>
        <w:widowControl w:val="0"/>
        <w:suppressAutoHyphens/>
        <w:autoSpaceDE w:val="0"/>
        <w:autoSpaceDN w:val="0"/>
        <w:spacing w:after="0" w:line="360" w:lineRule="auto"/>
        <w:jc w:val="both"/>
        <w:textAlignment w:val="baseline"/>
        <w:rPr>
          <w:rFonts w:ascii="Arial" w:eastAsia="Times New Roman" w:hAnsi="Arial" w:cs="Arial"/>
          <w:sz w:val="24"/>
          <w:szCs w:val="24"/>
          <w:u w:val="single"/>
          <w:lang w:eastAsia="es-ES"/>
        </w:rPr>
      </w:pPr>
      <w:r>
        <w:rPr>
          <w:rFonts w:ascii="Arial" w:eastAsia="Times New Roman" w:hAnsi="Arial" w:cs="Arial"/>
          <w:sz w:val="24"/>
          <w:szCs w:val="24"/>
          <w:u w:val="single"/>
          <w:lang w:eastAsia="es-ES"/>
        </w:rPr>
        <w:t>1.- Seguimiento de residentes del piso de autonomía.</w:t>
      </w:r>
    </w:p>
    <w:p>
      <w:pPr>
        <w:widowControl w:val="0"/>
        <w:suppressAutoHyphens/>
        <w:autoSpaceDE w:val="0"/>
        <w:autoSpaceDN w:val="0"/>
        <w:spacing w:after="0" w:line="360" w:lineRule="auto"/>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El año 2025 se valora positivamente, teniendo en cuenta la implicación de las mujeres residentes en las actividades propuestas por el equipo técnico, así como por la consecución de los objetivos propuestos por cada una de ellas.  Se destaca, además, la actitud propositiva de las mujeres teniendo una postura proactiva en cuanto a facilitar momentos de encuentro a pesar de las dificultades horarias derivadas de sus diferentes actividades formativas y/o laborales. </w:t>
      </w:r>
    </w:p>
    <w:p>
      <w:pPr>
        <w:widowControl w:val="0"/>
        <w:suppressAutoHyphens/>
        <w:autoSpaceDE w:val="0"/>
        <w:autoSpaceDN w:val="0"/>
        <w:spacing w:after="0" w:line="360" w:lineRule="auto"/>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Durante este periodo, se han realizado diversas actividades:</w:t>
      </w:r>
    </w:p>
    <w:p>
      <w:pPr>
        <w:widowControl w:val="0"/>
        <w:suppressAutoHyphens/>
        <w:autoSpaceDE w:val="0"/>
        <w:autoSpaceDN w:val="0"/>
        <w:spacing w:after="0" w:line="360" w:lineRule="auto"/>
        <w:jc w:val="both"/>
        <w:textAlignment w:val="baseline"/>
        <w:rPr>
          <w:rFonts w:ascii="Arial" w:eastAsia="Times New Roman" w:hAnsi="Arial" w:cs="Arial"/>
          <w:sz w:val="24"/>
          <w:szCs w:val="24"/>
          <w:lang w:eastAsia="es-ES"/>
        </w:rPr>
      </w:pP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Propuesta de alternativas deportivas que les facilite el cuidado de su salud, tanto física, psíquica- emocional. Se trata de alentar y ofrecer propuestas aprovechando el entorno, instalaciones y las preferencias de cada mujer, como forma de fomentar el autocuidado personal y el buen uso del tiempo libre.</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Coordinación permanente con la trabajadora social de referencia del Programa ante las diferentes necesidades.</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Salidas lúdicas. Las mujeres residentes en el Piso de Autonomía han participado en actividades que se han desarrollado desde el Programa Oblatas Daniela, fundamentalmente de carácter lúdico o de convivencia. Este año han participado en encuentros con motivo de varias celebraciones (cumpleaños, participación en encuentros mixtos promovidos por la Entidad, celebración de Navidad, senderismo, etc.). </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Reuniones de reflexión y valoración de convivencia, de cómo afrontar el futuro haciendo frente al presente. Se trata de una actividad continua durante todo el año, planteando las mujeres las dificultades que pudieran tener en la convivencia en el día a día, siendo ellas mismas las que han buscado alternativas. </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Con el objetivo de favorecer espacios de encuentros entre las residentes y las profesionales, se realiza un total de 6 reuniones grupales donde se comparte el </w:t>
      </w:r>
      <w:r>
        <w:rPr>
          <w:rFonts w:ascii="Arial" w:eastAsia="Times New Roman" w:hAnsi="Arial" w:cs="Arial"/>
          <w:sz w:val="24"/>
          <w:szCs w:val="24"/>
          <w:lang w:eastAsia="es-ES"/>
        </w:rPr>
        <w:lastRenderedPageBreak/>
        <w:t xml:space="preserve">grado de satisfacción con la convivencia, necesidades, propuestas, entre otras. </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Visitas al piso donde facilitar el encuentro con las residentes, adaptado a sus horarios particulares según sus responsabilidades y necesidades.</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Apoyar en los procesos personales. Partiendo de sus realidades, motivaciones de cada mujer y de sus expectativas vitales, todas las mujeres residentes han recibido atención integral desde distintos ámbitos: educativa, social, laboral, jurídica y psicológica.</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Revisión de acuerdos y objetivos establecidos.</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Apoyo en la organización económica. Favorecer la capacidad de ahorro, en función de sus ingresos -gastos y la búsqueda de alternativas laborales que posibiliten la organización de la economía de cada mujer una vez salga de este recurso.</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Cuidado y mantenimiento de las instalaciones. Se ha promovido el cuidado de espacios tanto privados como los comunes, favoreciendo la convivencia y el bienestar de cada una de ellas.</w:t>
      </w:r>
    </w:p>
    <w:p>
      <w:pPr>
        <w:widowControl w:val="0"/>
        <w:numPr>
          <w:ilvl w:val="0"/>
          <w:numId w:val="125"/>
        </w:numPr>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Gestión de ayudas económicas de garantía habitacional, alimenticias, medicamentos y la cobertura de otras necesidades básicas y formativas tanto para mujeres solas como para sus hijos/as. En este sentido decir que el menor se encuentra escolarizado y acude a actividades extraescolares. </w:t>
      </w: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Como valoración del proceso de emancipación y la figura como puente a su consecución que conlleva la estancia en el Piso de Autonomía, se destaca la gran dificultad existente en cuanto al acceso a la vivienda dado los altos precios del mercado, como por los requisitos solicitados (contrato indefinido, fianzas de alto coste, no se alquila a familias con menores, estigma ante la monomarentalidad, entre otras). Todo ello repercute directamente en las mujeres, ya que aun habiendo conseguido los objetivos previstos en el Programa y, habiendo tratado de independizarse, redundando en una larga estancia que repercute directamente en el estado anímico de las mujeres.</w:t>
      </w: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Atendiendo a la característica principal del Piso de Autonomía como un recurso residencial dirigido a promover la emancipación y plan de ahorro, se destaca en </w:t>
      </w:r>
      <w:r>
        <w:rPr>
          <w:rFonts w:ascii="Arial" w:eastAsia="Times New Roman" w:hAnsi="Arial" w:cs="Arial"/>
          <w:sz w:val="24"/>
          <w:szCs w:val="24"/>
          <w:lang w:eastAsia="es-ES"/>
        </w:rPr>
        <w:lastRenderedPageBreak/>
        <w:t xml:space="preserve">este 2025 la capacidad de autogestión económica de las mujeres residentes, las cuales se han mantenido en búsqueda activa de empleo con la consecuente percepción de ingresos. No obstante, en ocasiones puntuales, ha sido preciso realizar apoyos en cuanto alimentación, en situaciones de paro temporal. </w:t>
      </w: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Además, cabe resaltar el nivel de conocimiento de los derechos y recursos sociales que tienen a disposición las mujeres residentes, resultado del trabajo de acompañamiento realizado por parte del Programa, siendo capaces de solicitar, de manera autónoma, las diferentes ayudas como pueden ser para la recogida temprana, comedor, material escolar, etc.  </w:t>
      </w: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p>
    <w:p>
      <w:pPr>
        <w:widowControl w:val="0"/>
        <w:suppressAutoHyphens/>
        <w:autoSpaceDE w:val="0"/>
        <w:autoSpaceDN w:val="0"/>
        <w:spacing w:after="0" w:line="360" w:lineRule="auto"/>
        <w:ind w:left="426"/>
        <w:jc w:val="both"/>
        <w:textAlignment w:val="baseline"/>
        <w:rPr>
          <w:rFonts w:ascii="Arial" w:eastAsia="Times New Roman" w:hAnsi="Arial" w:cs="Arial"/>
          <w:b/>
          <w:sz w:val="24"/>
          <w:szCs w:val="24"/>
          <w:lang w:eastAsia="es-ES"/>
        </w:rPr>
      </w:pPr>
      <w:r>
        <w:rPr>
          <w:rFonts w:ascii="Arial" w:eastAsia="Times New Roman" w:hAnsi="Arial" w:cs="Arial"/>
          <w:b/>
          <w:sz w:val="24"/>
          <w:szCs w:val="24"/>
          <w:u w:val="single"/>
          <w:lang w:eastAsia="es-ES"/>
        </w:rPr>
        <w:t>Conclusiones</w:t>
      </w:r>
      <w:r>
        <w:rPr>
          <w:rFonts w:ascii="Arial" w:eastAsia="Times New Roman" w:hAnsi="Arial" w:cs="Arial"/>
          <w:b/>
          <w:sz w:val="24"/>
          <w:szCs w:val="24"/>
          <w:lang w:eastAsia="es-ES"/>
        </w:rPr>
        <w:t xml:space="preserve">: </w:t>
      </w:r>
    </w:p>
    <w:p>
      <w:pPr>
        <w:widowControl w:val="0"/>
        <w:suppressAutoHyphens/>
        <w:autoSpaceDE w:val="0"/>
        <w:autoSpaceDN w:val="0"/>
        <w:spacing w:after="0" w:line="360" w:lineRule="auto"/>
        <w:ind w:left="426"/>
        <w:jc w:val="both"/>
        <w:textAlignment w:val="baseline"/>
        <w:rPr>
          <w:rFonts w:ascii="Arial" w:eastAsia="Times New Roman" w:hAnsi="Arial" w:cs="Arial"/>
          <w:b/>
          <w:sz w:val="24"/>
          <w:szCs w:val="24"/>
          <w:lang w:eastAsia="es-ES"/>
        </w:rPr>
      </w:pP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Por lo expuesto, se valora como positivo el recurso residencial, ya que ha permitido dar continuidad al proceso iniciado por parte de las cinco mujeres y el menor residente, con un acompañamiento adaptado a las necesidades de cada una de ellas en cada uno de sus momentos vitales. El éxito de dicha intervención se ve reflejado en la emancipación voluntaria y exitosa de algunas de las residentes, una de ellas con un menor a cargo, siendo ahora atendidas por el Programa únicamente de manera externa y para seguimientos muy puntuales. Ello resume un alto grado de autonomía y consecución de objetivos propuestos. </w:t>
      </w: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Por otra parte, la cercanía en cuanto a fecha de ingreso de las nuevas residentes, las sitúa en una situación igualitaria, lo cual ha fomentado la cohesión entre ellas como convivientes, a pesar de que cada una lleva un proceso personal particular. Actualmente, las tres mujeres residentes, se mantienen activas laboralmente, lo cual además facilita varios aspectos, tales como la mejora de la autonomía, autoestima, etc. y repercute a su vez positivamente en las relaciones y convivencia. </w:t>
      </w:r>
    </w:p>
    <w:p>
      <w:pPr>
        <w:widowControl w:val="0"/>
        <w:suppressAutoHyphens/>
        <w:autoSpaceDE w:val="0"/>
        <w:autoSpaceDN w:val="0"/>
        <w:spacing w:after="0" w:line="360" w:lineRule="auto"/>
        <w:ind w:left="426"/>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Desde el Programa Oblatas Daniela, se apuesta por este recurso residencial como una apuesta de valor para poder hacer un seguimiento externo más sutil y adaptado a las necesidades de cada mujer, desde la pedagogía Oblata.</w:t>
      </w:r>
    </w:p>
    <w:p>
      <w:pPr>
        <w:widowControl w:val="0"/>
        <w:suppressAutoHyphens/>
        <w:autoSpaceDE w:val="0"/>
        <w:autoSpaceDN w:val="0"/>
        <w:spacing w:after="0" w:line="360" w:lineRule="auto"/>
        <w:jc w:val="both"/>
        <w:textAlignment w:val="baseline"/>
        <w:rPr>
          <w:rFonts w:ascii="Arial" w:eastAsia="Times New Roman" w:hAnsi="Arial" w:cs="Arial"/>
          <w:sz w:val="24"/>
          <w:szCs w:val="24"/>
          <w:lang w:eastAsia="es-ES"/>
        </w:rPr>
      </w:pPr>
    </w:p>
    <w:p>
      <w:pPr>
        <w:widowControl w:val="0"/>
        <w:suppressAutoHyphens/>
        <w:autoSpaceDE w:val="0"/>
        <w:autoSpaceDN w:val="0"/>
        <w:spacing w:after="0" w:line="360" w:lineRule="auto"/>
        <w:jc w:val="both"/>
        <w:textAlignment w:val="baseline"/>
        <w:rPr>
          <w:rFonts w:ascii="Arial" w:eastAsia="Times New Roman" w:hAnsi="Arial" w:cs="Arial"/>
          <w:sz w:val="24"/>
          <w:szCs w:val="24"/>
          <w:u w:val="single"/>
          <w:lang w:eastAsia="es-ES"/>
        </w:rPr>
      </w:pPr>
      <w:r>
        <w:rPr>
          <w:rFonts w:ascii="Arial" w:eastAsia="Times New Roman" w:hAnsi="Arial" w:cs="Arial"/>
          <w:sz w:val="24"/>
          <w:szCs w:val="24"/>
          <w:u w:val="single"/>
          <w:lang w:eastAsia="es-ES"/>
        </w:rPr>
        <w:t>2.- Apoyar la cobertura de necesidades básicas y de acceso a actividades formativas de aquellas mujeres y los hijos/as dependientes de éstas que lo precisen.</w:t>
      </w:r>
    </w:p>
    <w:p>
      <w:pPr>
        <w:widowControl w:val="0"/>
        <w:suppressAutoHyphens/>
        <w:autoSpaceDE w:val="0"/>
        <w:autoSpaceDN w:val="0"/>
        <w:spacing w:after="0" w:line="360" w:lineRule="auto"/>
        <w:jc w:val="both"/>
        <w:textAlignment w:val="baseline"/>
        <w:rPr>
          <w:rFonts w:ascii="Arial" w:eastAsia="Times New Roman" w:hAnsi="Arial" w:cs="Arial"/>
          <w:sz w:val="24"/>
          <w:szCs w:val="24"/>
          <w:u w:val="single"/>
          <w:lang w:eastAsia="es-ES"/>
        </w:rPr>
      </w:pPr>
    </w:p>
    <w:p>
      <w:pPr>
        <w:pStyle w:val="TableContents"/>
        <w:spacing w:line="360" w:lineRule="auto"/>
        <w:jc w:val="both"/>
        <w:rPr>
          <w:rFonts w:ascii="Arial" w:hAnsi="Arial"/>
        </w:rPr>
      </w:pPr>
      <w:r>
        <w:rPr>
          <w:rFonts w:ascii="Arial" w:hAnsi="Arial"/>
        </w:rPr>
        <w:t xml:space="preserve">En cuanto a las ayudas de emergencia de las que han sido beneficiarias 77 personas, se valora que la intervención desarrollada en el proyecto ha permitido dar respuesta a necesidades básicas fundamentales, como la </w:t>
      </w:r>
      <w:r>
        <w:rPr>
          <w:rFonts w:ascii="Arial" w:hAnsi="Arial"/>
          <w:bCs/>
        </w:rPr>
        <w:t>vivienda y la alimentación</w:t>
      </w:r>
      <w:r>
        <w:rPr>
          <w:rFonts w:ascii="Arial" w:hAnsi="Arial"/>
        </w:rPr>
        <w:t xml:space="preserve">, reduciendo de forma significativa la inseguridad residencial y alimentaria detectada en las mujeres y en sus núcleos familiares. </w:t>
      </w:r>
    </w:p>
    <w:p>
      <w:pPr>
        <w:pStyle w:val="TableContents"/>
        <w:spacing w:line="360" w:lineRule="auto"/>
        <w:jc w:val="both"/>
        <w:rPr>
          <w:rFonts w:ascii="Arial" w:hAnsi="Arial"/>
        </w:rPr>
      </w:pPr>
      <w:r>
        <w:rPr>
          <w:rFonts w:ascii="Arial" w:hAnsi="Arial"/>
        </w:rPr>
        <w:t xml:space="preserve">El acceso al Piso de Autonomía ha proporcionado un entorno seguro y estable a las mujeres residentes, mientras que las ayudas económicas han sido clave para la cobertura de necesidades básicas del resto de beneficiarias y de sus hijos e hijas. Además de las ayudas para necesidades básicas, se han implementado apoyo que facilitan el acceso a actividades formativas y recursos que promueven la integración social y laboral de estas mujeres. </w:t>
      </w:r>
    </w:p>
    <w:p>
      <w:pPr>
        <w:pStyle w:val="TableContents"/>
        <w:spacing w:line="360" w:lineRule="auto"/>
        <w:jc w:val="both"/>
        <w:rPr>
          <w:rFonts w:ascii="Arial" w:hAnsi="Arial"/>
        </w:rPr>
      </w:pPr>
    </w:p>
    <w:p>
      <w:pPr>
        <w:pStyle w:val="TableContents"/>
        <w:spacing w:line="360" w:lineRule="auto"/>
        <w:jc w:val="both"/>
        <w:rPr>
          <w:rFonts w:hint="eastAsia"/>
        </w:rPr>
      </w:pPr>
      <w:r>
        <w:rPr>
          <w:rFonts w:ascii="Arial" w:hAnsi="Arial"/>
        </w:rPr>
        <w:t xml:space="preserve">En conjunto, el proyecto ha contribuido de manera significativa a </w:t>
      </w:r>
      <w:r>
        <w:rPr>
          <w:rFonts w:ascii="Arial" w:hAnsi="Arial"/>
          <w:bCs/>
        </w:rPr>
        <w:t>reducir el impacto de la vulnerabilidad social</w:t>
      </w:r>
      <w:r>
        <w:rPr>
          <w:rFonts w:ascii="Arial" w:hAnsi="Arial"/>
        </w:rPr>
        <w:t xml:space="preserve"> en mujeres con perfiles complejos, ofreciendo apoyos ajustados a su realidad y favoreciendo procesos reales de inclusión social y mejora de sus condiciones de vida.</w:t>
      </w:r>
    </w:p>
    <w:p>
      <w:pPr>
        <w:spacing w:after="0" w:line="360" w:lineRule="auto"/>
        <w:jc w:val="both"/>
        <w:rPr>
          <w:rFonts w:asciiTheme="minorHAnsi" w:eastAsiaTheme="minorHAnsi" w:hAnsiTheme="minorHAnsi" w:cstheme="minorBidi"/>
        </w:rPr>
      </w:pPr>
    </w:p>
    <w:p>
      <w:pPr>
        <w:shd w:val="clear" w:color="auto" w:fill="365F91" w:themeFill="accent1" w:themeFillShade="BF"/>
        <w:spacing w:after="0" w:line="360" w:lineRule="auto"/>
        <w:jc w:val="both"/>
        <w:rPr>
          <w:rFonts w:ascii="Arial" w:eastAsiaTheme="minorHAnsi" w:hAnsi="Arial" w:cs="Arial"/>
          <w:b/>
          <w:color w:val="FFFFFF" w:themeColor="background1"/>
          <w:sz w:val="24"/>
          <w:szCs w:val="24"/>
        </w:rPr>
      </w:pPr>
      <w:r>
        <w:rPr>
          <w:rFonts w:ascii="Arial" w:eastAsiaTheme="minorHAnsi" w:hAnsi="Arial" w:cs="Arial"/>
          <w:b/>
          <w:color w:val="FFFFFF" w:themeColor="background1"/>
          <w:sz w:val="24"/>
          <w:szCs w:val="24"/>
        </w:rPr>
        <w:t>5.- JORNADAS DE SENSIBILIZACIÓN CONTRA LA TRATA CON FINES DE EXPLOTACIÓN SEXUAL "PROSTITUCIÓN EN LA CULTURA”.</w:t>
      </w:r>
    </w:p>
    <w:p>
      <w:pPr>
        <w:spacing w:after="0" w:line="360" w:lineRule="auto"/>
        <w:jc w:val="both"/>
        <w:rPr>
          <w:rFonts w:ascii="Arial" w:eastAsiaTheme="minorHAnsi" w:hAnsi="Arial" w:cs="Arial"/>
          <w:b/>
          <w:sz w:val="24"/>
          <w:szCs w:val="24"/>
        </w:rPr>
      </w:pPr>
    </w:p>
    <w:p>
      <w:pPr>
        <w:shd w:val="clear" w:color="auto" w:fill="B2A1C7" w:themeFill="accent4" w:themeFillTint="99"/>
        <w:spacing w:after="0" w:line="360" w:lineRule="auto"/>
        <w:jc w:val="both"/>
        <w:rPr>
          <w:rFonts w:ascii="Arial" w:eastAsiaTheme="minorHAnsi" w:hAnsi="Arial" w:cs="Arial"/>
          <w:b/>
          <w:sz w:val="24"/>
          <w:szCs w:val="24"/>
        </w:rPr>
      </w:pPr>
      <w:r>
        <w:rPr>
          <w:rFonts w:ascii="Arial" w:eastAsiaTheme="minorHAnsi" w:hAnsi="Arial" w:cs="Arial"/>
          <w:b/>
          <w:sz w:val="24"/>
          <w:szCs w:val="24"/>
        </w:rPr>
        <w:t>5.1.- SÍNTESIS CONTENIDO DEL PROYECTO Y OBJETIVOS:</w:t>
      </w:r>
    </w:p>
    <w:p>
      <w:pPr>
        <w:spacing w:after="0" w:line="360" w:lineRule="auto"/>
        <w:jc w:val="both"/>
        <w:rPr>
          <w:rFonts w:asciiTheme="minorHAnsi" w:eastAsiaTheme="minorHAnsi" w:hAnsiTheme="minorHAnsi" w:cstheme="minorBidi"/>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 xml:space="preserve">Este año, el proyecto, bajo la denominación de las Jornadas: “LA PROSTITUCIÓN EN LA CULTURA”, ha estado dedicado a mostrar o visibilizar cómo la cultura y sus diferentes manifestaciones (literatura, medios de comunicación, música, pintura, teatro) está impregnada de “la ideología de la prostitución” por la cual se legitima, </w:t>
      </w:r>
      <w:r>
        <w:rPr>
          <w:rFonts w:ascii="Arial" w:hAnsi="Arial" w:cs="Arial"/>
          <w:sz w:val="24"/>
          <w:szCs w:val="24"/>
          <w:lang w:eastAsia="es-ES"/>
        </w:rPr>
        <w:lastRenderedPageBreak/>
        <w:t>contribuyendo a invisibilizar la violencia contra las mujeres e invitando a reproducirla y reforzarla.</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Esto ha contribuido a normalizar, e incluso a idealizar, la prostitución y la violencia sexual. Estos mensajes trasmitidos a través de la cultura, llega a niños y niñas, muestra en ocasiones la prostitución como sinónimo de empoderamiento y que ésta constituye una elección, sin tener en cuenta factores de vulnerabilidad social que influyen o favorecen entrar en contexto de prostitución y/o trata.</w:t>
      </w: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Se ha pretendido sensibilizar a la ciudadanía sobre la realidad social de la prostitución y la trata de mujeres, desmontando mitos y desconocimientos existentes en los que han influido y están influyendo, los referentes culturales.</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Así mismo, se ha pretendido generar un espacio de reflexión, diálogo y formación que ha permitido comprender las raíces culturales, sociales y económicas que sustentan estas problemáticas, así como sus implicaciones en la vida de las mujeres afectadas, así como también afecta en la visión de la mujer en general.</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El proyecto también ha incluido una exposición audiovisual “MIRADAS CRUZADAS”, la cual se inauguró el 24 de septiembre de 2025 en el Espacio Violeta de la Universidad de Las Palmas de Gran Canaria.</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Además, el proyecto ha buscado fortalecer la conciencia social y promover acciones preventivas, fomentando la empatía y el compromiso social para erradicar la violencia y la explotación sexual.</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La realización de estas jornadas se concibe como una estrategia de incidencia social que contribuye a la transformación de actitudes y comportamientos, promoviendo una cultura de respeto, igualdad y protección de los derechos de las mujeres.</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u w:val="single"/>
          <w:lang w:eastAsia="es-ES"/>
        </w:rPr>
      </w:pPr>
      <w:r>
        <w:rPr>
          <w:rFonts w:ascii="Arial" w:hAnsi="Arial" w:cs="Arial"/>
          <w:sz w:val="24"/>
          <w:szCs w:val="24"/>
          <w:u w:val="single"/>
          <w:lang w:eastAsia="es-ES"/>
        </w:rPr>
        <w:t>Objetivo general:</w:t>
      </w:r>
    </w:p>
    <w:p>
      <w:pPr>
        <w:autoSpaceDE w:val="0"/>
        <w:autoSpaceDN w:val="0"/>
        <w:adjustRightInd w:val="0"/>
        <w:spacing w:after="0" w:line="360" w:lineRule="auto"/>
        <w:jc w:val="both"/>
        <w:rPr>
          <w:rFonts w:ascii="Arial" w:hAnsi="Arial" w:cs="Arial"/>
          <w:sz w:val="24"/>
          <w:szCs w:val="24"/>
          <w:u w:val="single"/>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lastRenderedPageBreak/>
        <w:t>Incidir socialmente en la mejora del conocimiento de la realidad y de la mejor atención a mujeres víctimas de violencia de género por prostitución y trata de mujeres con fines de explotación sexual.</w:t>
      </w:r>
    </w:p>
    <w:p>
      <w:pPr>
        <w:autoSpaceDE w:val="0"/>
        <w:autoSpaceDN w:val="0"/>
        <w:adjustRightInd w:val="0"/>
        <w:spacing w:after="0" w:line="360" w:lineRule="auto"/>
        <w:jc w:val="both"/>
        <w:rPr>
          <w:rFonts w:ascii="Arial" w:hAnsi="Arial" w:cs="Arial"/>
          <w:sz w:val="24"/>
          <w:szCs w:val="24"/>
          <w:lang w:eastAsia="es-ES"/>
        </w:rPr>
      </w:pPr>
    </w:p>
    <w:p>
      <w:pPr>
        <w:autoSpaceDE w:val="0"/>
        <w:autoSpaceDN w:val="0"/>
        <w:adjustRightInd w:val="0"/>
        <w:spacing w:after="0" w:line="360" w:lineRule="auto"/>
        <w:jc w:val="both"/>
        <w:rPr>
          <w:rFonts w:ascii="Arial" w:hAnsi="Arial" w:cs="Arial"/>
          <w:sz w:val="24"/>
          <w:szCs w:val="24"/>
          <w:u w:val="single"/>
          <w:lang w:eastAsia="es-ES"/>
        </w:rPr>
      </w:pPr>
    </w:p>
    <w:p>
      <w:pPr>
        <w:autoSpaceDE w:val="0"/>
        <w:autoSpaceDN w:val="0"/>
        <w:adjustRightInd w:val="0"/>
        <w:spacing w:after="0" w:line="360" w:lineRule="auto"/>
        <w:jc w:val="both"/>
        <w:rPr>
          <w:rFonts w:ascii="Arial" w:hAnsi="Arial" w:cs="Arial"/>
          <w:sz w:val="24"/>
          <w:szCs w:val="24"/>
          <w:u w:val="single"/>
          <w:lang w:eastAsia="es-ES"/>
        </w:rPr>
      </w:pPr>
    </w:p>
    <w:p>
      <w:pPr>
        <w:autoSpaceDE w:val="0"/>
        <w:autoSpaceDN w:val="0"/>
        <w:adjustRightInd w:val="0"/>
        <w:spacing w:after="0" w:line="360" w:lineRule="auto"/>
        <w:jc w:val="both"/>
        <w:rPr>
          <w:rFonts w:ascii="Arial" w:hAnsi="Arial" w:cs="Arial"/>
          <w:sz w:val="24"/>
          <w:szCs w:val="24"/>
          <w:u w:val="single"/>
          <w:lang w:eastAsia="es-ES"/>
        </w:rPr>
      </w:pPr>
    </w:p>
    <w:p>
      <w:pPr>
        <w:autoSpaceDE w:val="0"/>
        <w:autoSpaceDN w:val="0"/>
        <w:adjustRightInd w:val="0"/>
        <w:spacing w:after="0" w:line="360" w:lineRule="auto"/>
        <w:jc w:val="both"/>
        <w:rPr>
          <w:rFonts w:ascii="Arial" w:hAnsi="Arial" w:cs="Arial"/>
          <w:sz w:val="24"/>
          <w:szCs w:val="24"/>
          <w:u w:val="single"/>
          <w:lang w:eastAsia="es-ES"/>
        </w:rPr>
      </w:pPr>
    </w:p>
    <w:p>
      <w:pPr>
        <w:autoSpaceDE w:val="0"/>
        <w:autoSpaceDN w:val="0"/>
        <w:adjustRightInd w:val="0"/>
        <w:spacing w:after="0" w:line="360" w:lineRule="auto"/>
        <w:jc w:val="both"/>
        <w:rPr>
          <w:rFonts w:ascii="Arial" w:hAnsi="Arial" w:cs="Arial"/>
          <w:sz w:val="24"/>
          <w:szCs w:val="24"/>
          <w:u w:val="single"/>
          <w:lang w:eastAsia="es-ES"/>
        </w:rPr>
      </w:pPr>
      <w:r>
        <w:rPr>
          <w:rFonts w:ascii="Arial" w:hAnsi="Arial" w:cs="Arial"/>
          <w:sz w:val="24"/>
          <w:szCs w:val="24"/>
          <w:u w:val="single"/>
          <w:lang w:eastAsia="es-ES"/>
        </w:rPr>
        <w:t>Objetivo específico:</w:t>
      </w:r>
    </w:p>
    <w:p>
      <w:pPr>
        <w:autoSpaceDE w:val="0"/>
        <w:autoSpaceDN w:val="0"/>
        <w:adjustRightInd w:val="0"/>
        <w:spacing w:after="0" w:line="360" w:lineRule="auto"/>
        <w:jc w:val="both"/>
        <w:rPr>
          <w:rFonts w:ascii="Arial" w:hAnsi="Arial" w:cs="Arial"/>
          <w:sz w:val="24"/>
          <w:szCs w:val="24"/>
          <w:u w:val="single"/>
          <w:lang w:eastAsia="es-ES"/>
        </w:rPr>
      </w:pPr>
    </w:p>
    <w:p>
      <w:pPr>
        <w:autoSpaceDE w:val="0"/>
        <w:autoSpaceDN w:val="0"/>
        <w:adjustRightInd w:val="0"/>
        <w:spacing w:after="0" w:line="360" w:lineRule="auto"/>
        <w:jc w:val="both"/>
        <w:rPr>
          <w:rFonts w:ascii="Arial" w:hAnsi="Arial" w:cs="Arial"/>
          <w:sz w:val="24"/>
          <w:szCs w:val="24"/>
          <w:lang w:eastAsia="es-ES"/>
        </w:rPr>
      </w:pPr>
      <w:r>
        <w:rPr>
          <w:rFonts w:ascii="Arial" w:hAnsi="Arial" w:cs="Arial"/>
          <w:sz w:val="24"/>
          <w:szCs w:val="24"/>
          <w:lang w:eastAsia="es-ES"/>
        </w:rPr>
        <w:t>Realizar unas Jornadas y exposición audiovisual para la formación y sensibilización social, dirigida especialmente a agentes claves comunitarios, visibilizando aspectos sensibilización social, dirigida especialmente a agentes claves comunitarios, visibilizando aspectos que afectan a mujeres víctimas de trata con fines de explotación sexual y/o en contexto de prostitución.</w:t>
      </w:r>
    </w:p>
    <w:p>
      <w:pPr>
        <w:spacing w:after="0"/>
        <w:jc w:val="both"/>
        <w:rPr>
          <w:rFonts w:asciiTheme="minorHAnsi" w:eastAsiaTheme="minorHAnsi" w:hAnsiTheme="minorHAnsi" w:cstheme="minorBidi"/>
          <w:u w:val="single"/>
        </w:rPr>
      </w:pPr>
    </w:p>
    <w:p>
      <w:pPr>
        <w:shd w:val="clear" w:color="auto" w:fill="B2A1C7" w:themeFill="accent4" w:themeFillTint="99"/>
        <w:suppressAutoHyphens/>
        <w:autoSpaceDN w:val="0"/>
        <w:spacing w:after="0" w:line="240" w:lineRule="auto"/>
        <w:jc w:val="both"/>
        <w:textAlignment w:val="baseline"/>
        <w:rPr>
          <w:rFonts w:ascii="Arial" w:eastAsia="SimSun" w:hAnsi="Arial" w:cs="Arial"/>
          <w:b/>
          <w:kern w:val="3"/>
          <w:sz w:val="24"/>
          <w:szCs w:val="24"/>
          <w:lang w:eastAsia="zh-CN" w:bidi="hi-IN"/>
        </w:rPr>
      </w:pPr>
      <w:r>
        <w:rPr>
          <w:rFonts w:ascii="Arial" w:eastAsia="SimSun" w:hAnsi="Arial" w:cs="Arial"/>
          <w:b/>
          <w:kern w:val="3"/>
          <w:sz w:val="24"/>
          <w:szCs w:val="24"/>
          <w:lang w:eastAsia="zh-CN" w:bidi="hi-IN"/>
        </w:rPr>
        <w:t>5.2.- ACTIVIDADES REALIZADAS:</w:t>
      </w:r>
    </w:p>
    <w:p>
      <w:pPr>
        <w:suppressAutoHyphens/>
        <w:autoSpaceDN w:val="0"/>
        <w:spacing w:after="0" w:line="240" w:lineRule="auto"/>
        <w:jc w:val="both"/>
        <w:textAlignment w:val="baseline"/>
        <w:rPr>
          <w:rFonts w:asciiTheme="minorHAnsi" w:eastAsia="SimSun" w:hAnsiTheme="minorHAnsi" w:cstheme="minorHAnsi"/>
          <w:kern w:val="3"/>
          <w:lang w:eastAsia="zh-CN" w:bidi="hi-IN"/>
        </w:rPr>
      </w:pPr>
    </w:p>
    <w:tbl>
      <w:tblPr>
        <w:tblW w:w="9175" w:type="dxa"/>
        <w:tblInd w:w="36" w:type="dxa"/>
        <w:tblLayout w:type="fixed"/>
        <w:tblCellMar>
          <w:left w:w="10" w:type="dxa"/>
          <w:right w:w="10" w:type="dxa"/>
        </w:tblCellMar>
        <w:tblLook w:val="04A0" w:firstRow="1" w:lastRow="0" w:firstColumn="1" w:lastColumn="0" w:noHBand="0" w:noVBand="1"/>
      </w:tblPr>
      <w:tblGrid>
        <w:gridCol w:w="2006"/>
        <w:gridCol w:w="2208"/>
        <w:gridCol w:w="4961"/>
      </w:tblGrid>
      <w:tr>
        <w:tc>
          <w:tcPr>
            <w:tcW w:w="20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24"/>
                <w:szCs w:val="24"/>
                <w:lang w:eastAsia="zh-CN" w:bidi="hi-IN"/>
              </w:rPr>
            </w:pPr>
            <w:r>
              <w:rPr>
                <w:rFonts w:ascii="Arial" w:eastAsia="NSimSun" w:hAnsi="Arial" w:cs="Arial"/>
                <w:b/>
                <w:bCs/>
                <w:kern w:val="3"/>
                <w:sz w:val="24"/>
                <w:szCs w:val="24"/>
                <w:lang w:eastAsia="zh-CN" w:bidi="hi-IN"/>
              </w:rPr>
              <w:t xml:space="preserve">ACTIVIDADES  </w:t>
            </w:r>
          </w:p>
        </w:tc>
        <w:tc>
          <w:tcPr>
            <w:tcW w:w="220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24"/>
                <w:szCs w:val="24"/>
                <w:lang w:eastAsia="zh-CN" w:bidi="hi-IN"/>
              </w:rPr>
            </w:pPr>
            <w:r>
              <w:rPr>
                <w:rFonts w:ascii="Arial" w:eastAsia="NSimSun" w:hAnsi="Arial" w:cs="Arial"/>
                <w:b/>
                <w:bCs/>
                <w:kern w:val="3"/>
                <w:sz w:val="24"/>
                <w:szCs w:val="24"/>
                <w:lang w:eastAsia="zh-CN" w:bidi="hi-IN"/>
              </w:rPr>
              <w:t>FECHAS EN LAS QUE SE REALIZA</w:t>
            </w:r>
          </w:p>
        </w:tc>
        <w:tc>
          <w:tcPr>
            <w:tcW w:w="496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24"/>
                <w:szCs w:val="24"/>
                <w:lang w:eastAsia="zh-CN" w:bidi="hi-IN"/>
              </w:rPr>
            </w:pPr>
            <w:r>
              <w:rPr>
                <w:rFonts w:ascii="Arial" w:eastAsia="NSimSun" w:hAnsi="Arial" w:cs="Arial"/>
                <w:b/>
                <w:bCs/>
                <w:kern w:val="3"/>
                <w:sz w:val="24"/>
                <w:szCs w:val="24"/>
                <w:lang w:eastAsia="zh-CN" w:bidi="hi-IN"/>
              </w:rPr>
              <w:t>EXPLICACIÓN DE SU PERTINENCIA</w:t>
            </w: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1.1. Planificación y estructuración de contenidos de las Jornadas, incluyendo la selección y coordinación de ponentes especializados en la temática.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20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Del 01/01/2025 al 31/08/2025</w:t>
            </w:r>
          </w:p>
        </w:tc>
        <w:tc>
          <w:tcPr>
            <w:tcW w:w="496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Se seleccionó la temática sobre la que se iba a desarrollar las Jornadas, siendo el tema seleccionado “La prostitución en la cultura”. A partir de esta decisión, se determinaron las personas ponentes especializados en esta temática, se estableció contacto y coordinación con dichas personas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xml:space="preserve">Las personas ponentes que participaron y las temáticas elegidas fueron las siguientes: </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Luisa del Rosario “De trabajo a suceso. El presswashing del sistema prostitucional”.</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Laura Viñuela “Jodida y radiante: la romantización de la prostitución en la música urbana”.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Cristina Molina Petit “Boleros: actuación en directo, análisis de contenidos".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 Sonia Luis Hernández “Una aproximación histórica a la representación del sistema prostitucional en la pintura”.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Josune Muñoz “Yo te cuento: hablan ellas".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Carmen Algora Sánchez ”La Colada”. Monólogo”.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Josune Muñoz “Taller de crítica literaria con mirada feminista”.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Además, se contacta con Oblatas en Palma de Mallorca “Casal Petit” para facilitar el traslado de la exposición audiovisual y poder contar con Jaume Perelló en la presentación de la misma.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1.2. Diseño y producción de materiales de comunicación, como cartelería, y gestión de la búsqueda de espacios adecuados para la difusión de las Jornadas, así como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para la realización del taller y la exposición audiovisual “Miradas cruzadas”.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20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Del 01/01/2025 al 31/08/2025</w:t>
            </w:r>
          </w:p>
        </w:tc>
        <w:tc>
          <w:tcPr>
            <w:tcW w:w="496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Para la difusión de las jornadas se ha hecho preciso el diseño y producción de cartelería. Además se ha establecido contacto y coordinación para facilitar el espacio físico de las jornadas, el cual ha sido cedido por el Cabildo de Gran Canaria realizándose en la Casa Museo Colón, así como se ha contado para la realización del taller y la Exposición Audiovisual con el Espacio Violeta de la Universidad de Las Palmas de Gran Canaria ubicado en Tafira.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xml:space="preserve">1.3. Establecimiento de contactos y coordinación logística con los ponentes y responsables de la exposición, incluyendo la definición de fechas, </w:t>
            </w:r>
            <w:r>
              <w:rPr>
                <w:rFonts w:ascii="Arial" w:eastAsia="NSimSun" w:hAnsi="Arial" w:cs="Arial"/>
                <w:kern w:val="3"/>
                <w:sz w:val="24"/>
                <w:szCs w:val="24"/>
                <w:lang w:eastAsia="zh-CN" w:bidi="hi-IN"/>
              </w:rPr>
              <w:lastRenderedPageBreak/>
              <w:t>organización de traslados y logística de participación.</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20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Del 01/01/2025 al 08/10/2025</w:t>
            </w:r>
          </w:p>
        </w:tc>
        <w:tc>
          <w:tcPr>
            <w:tcW w:w="496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La coordinación ha sido fundamental, tanto con los ponentes como con los responsables de la exposición audiovisual, organizándose el traslado a la isla, así como la posterior devolución del material fotográfico trasladado desde Palma de Mallorca.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1.4. Difusión y sensibilización previa a la celebración de las Jornadas, mediante campañas en medios y plataformas digitales para maximizar la participación y el alcance social.</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20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Del 29/07/2025 al 29/09/2025</w:t>
            </w:r>
          </w:p>
        </w:tc>
        <w:tc>
          <w:tcPr>
            <w:tcW w:w="496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Referente a los medios de comunicación social, la primera participación se ha realizado el 29/07/2025 y la última el 29/09/2025. Se han realizado 34 participaciones en prensa, 21 en programas de radio y 6 en televisión, siendo un total de 61 acciones (se adjunta dossier de prensa detallando dichas participaciones).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Además, se han llevado a cabo difusión en otras redes sociales como han sido Facebook, Youtube y web oficial de las jornadas.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Cabe destacar que en las acciones de difusión también han participado las personas ponentes, así como personas vinculadas al Programa.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1.5. Celebración de las Jornadas y acto de inauguración de la exposición audiovisual, programados para los días 22, 23 y 24 de septiembre de 2025, en consonancia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con la conmemoración del Día Internacional contra la Trata con fines de Explotación Sexual.</w:t>
            </w:r>
          </w:p>
        </w:tc>
        <w:tc>
          <w:tcPr>
            <w:tcW w:w="220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-Jornadas: 22, 23 y 24 de septiembre de 2025</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-Exposición Audiovisual: del 24/09/2025 al 08/10/2025</w:t>
            </w:r>
          </w:p>
        </w:tc>
        <w:tc>
          <w:tcPr>
            <w:tcW w:w="496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El proyecto tiene como centro la realización de esta actividad. Teniendo como finalidad la celebración de las jornadas y el desarrollo de la exposición audiovisual, el dar respuesta al objetivo general del proyecto de incidir socialmente en la mejora del conocimiento de la realidad y en la mejor atención a mujeres víctimas de violencia de género por prostitución y trata con fines de explotación sexual.</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xml:space="preserve">1.6. Elaboración de un dossier de prensa que refleje el impacto de las </w:t>
            </w:r>
            <w:r>
              <w:rPr>
                <w:rFonts w:ascii="Arial" w:eastAsia="NSimSun" w:hAnsi="Arial" w:cs="Arial"/>
                <w:kern w:val="3"/>
                <w:sz w:val="24"/>
                <w:szCs w:val="24"/>
                <w:lang w:eastAsia="zh-CN" w:bidi="hi-IN"/>
              </w:rPr>
              <w:lastRenderedPageBreak/>
              <w:t>Jornadas, la repercusión en medios de comunicación social y realización de Memoria de</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actividades.</w:t>
            </w:r>
          </w:p>
        </w:tc>
        <w:tc>
          <w:tcPr>
            <w:tcW w:w="2208"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Del 22/09/2025 al 31/12/2025</w:t>
            </w:r>
          </w:p>
        </w:tc>
        <w:tc>
          <w:tcPr>
            <w:tcW w:w="496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xml:space="preserve">La </w:t>
            </w:r>
            <w:r>
              <w:rPr>
                <w:rFonts w:ascii="Arial" w:eastAsia="NSimSun" w:hAnsi="Arial" w:cs="Arial"/>
                <w:bCs/>
                <w:kern w:val="3"/>
                <w:sz w:val="24"/>
                <w:szCs w:val="24"/>
                <w:lang w:eastAsia="zh-CN" w:bidi="hi-IN"/>
              </w:rPr>
              <w:t>finalidad de haber realizado un dossier de prensa tras la ejecución del proyecto de sensibilización social</w:t>
            </w:r>
            <w:r>
              <w:rPr>
                <w:rFonts w:ascii="Arial" w:eastAsia="NSimSun" w:hAnsi="Arial" w:cs="Arial"/>
                <w:kern w:val="3"/>
                <w:sz w:val="24"/>
                <w:szCs w:val="24"/>
                <w:lang w:eastAsia="zh-CN" w:bidi="hi-IN"/>
              </w:rPr>
              <w:t xml:space="preserve">, en el que se han desarrollado múltiples acciones en medios de </w:t>
            </w:r>
            <w:r>
              <w:rPr>
                <w:rFonts w:ascii="Arial" w:eastAsia="NSimSun" w:hAnsi="Arial" w:cs="Arial"/>
                <w:kern w:val="3"/>
                <w:sz w:val="24"/>
                <w:szCs w:val="24"/>
                <w:lang w:eastAsia="zh-CN" w:bidi="hi-IN"/>
              </w:rPr>
              <w:lastRenderedPageBreak/>
              <w:t xml:space="preserve">comunicación social, es </w:t>
            </w:r>
            <w:r>
              <w:rPr>
                <w:rFonts w:ascii="Arial" w:eastAsia="NSimSun" w:hAnsi="Arial" w:cs="Arial"/>
                <w:bCs/>
                <w:kern w:val="3"/>
                <w:sz w:val="24"/>
                <w:szCs w:val="24"/>
                <w:lang w:eastAsia="zh-CN" w:bidi="hi-IN"/>
              </w:rPr>
              <w:t>recoger, sistematizar y poner en valor el impacto comunicativo del proyecto</w:t>
            </w:r>
            <w:r>
              <w:rPr>
                <w:rFonts w:ascii="Arial" w:eastAsia="NSimSun" w:hAnsi="Arial" w:cs="Arial"/>
                <w:kern w:val="3"/>
                <w:sz w:val="24"/>
                <w:szCs w:val="24"/>
                <w:lang w:eastAsia="zh-CN" w:bidi="hi-IN"/>
              </w:rPr>
              <w:t>, así como consolidar sus resultados a medio y largo plazo.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Este dossier ha permitido d</w:t>
            </w:r>
            <w:r>
              <w:rPr>
                <w:rFonts w:ascii="Arial" w:eastAsia="NSimSun" w:hAnsi="Arial" w:cs="Arial"/>
                <w:bCs/>
                <w:kern w:val="3"/>
                <w:sz w:val="24"/>
                <w:szCs w:val="24"/>
                <w:lang w:eastAsia="zh-CN" w:bidi="hi-IN"/>
              </w:rPr>
              <w:t>ocumentar y justificar el impacto mediático alcanzado</w:t>
            </w:r>
            <w:r>
              <w:rPr>
                <w:rFonts w:ascii="Arial" w:eastAsia="NSimSun" w:hAnsi="Arial" w:cs="Arial"/>
                <w:kern w:val="3"/>
                <w:sz w:val="24"/>
                <w:szCs w:val="24"/>
                <w:lang w:eastAsia="zh-CN" w:bidi="hi-IN"/>
              </w:rPr>
              <w:t>, recopilando las distintas apariciones en prensa escrita, radio y televisión, lo que permite evidenciar el esfuerzo de difusión y sensibilización realizado.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bCs/>
                <w:kern w:val="3"/>
                <w:sz w:val="24"/>
                <w:szCs w:val="24"/>
                <w:lang w:eastAsia="zh-CN" w:bidi="hi-IN"/>
              </w:rPr>
              <w:t>También, sirve como herramienta de evaluación</w:t>
            </w:r>
            <w:r>
              <w:rPr>
                <w:rFonts w:ascii="Arial" w:eastAsia="NSimSun" w:hAnsi="Arial" w:cs="Arial"/>
                <w:kern w:val="3"/>
                <w:sz w:val="24"/>
                <w:szCs w:val="24"/>
                <w:lang w:eastAsia="zh-CN" w:bidi="hi-IN"/>
              </w:rPr>
              <w:t>, facilitando el análisis cualitativo y cuantitativo de la cobertura mediática realizada.</w:t>
            </w:r>
          </w:p>
          <w:p>
            <w:pPr>
              <w:suppressLineNumbers/>
              <w:suppressAutoHyphens/>
              <w:autoSpaceDN w:val="0"/>
              <w:spacing w:after="0" w:line="240" w:lineRule="auto"/>
              <w:ind w:left="720"/>
              <w:jc w:val="both"/>
              <w:textAlignment w:val="baseline"/>
              <w:rPr>
                <w:rFonts w:ascii="Arial" w:eastAsia="NSimSun" w:hAnsi="Arial" w:cs="Arial"/>
                <w:kern w:val="3"/>
                <w:sz w:val="24"/>
                <w:szCs w:val="24"/>
                <w:lang w:eastAsia="zh-CN" w:bidi="hi-IN"/>
              </w:rPr>
            </w:pPr>
          </w:p>
        </w:tc>
      </w:tr>
    </w:tbl>
    <w:p>
      <w:pPr>
        <w:suppressAutoHyphens/>
        <w:autoSpaceDN w:val="0"/>
        <w:spacing w:after="0" w:line="240" w:lineRule="auto"/>
        <w:jc w:val="both"/>
        <w:textAlignment w:val="baseline"/>
        <w:rPr>
          <w:rFonts w:ascii="Arial" w:eastAsia="SimSun" w:hAnsi="Arial" w:cs="Arial"/>
          <w:kern w:val="3"/>
          <w:sz w:val="24"/>
          <w:szCs w:val="24"/>
          <w:lang w:eastAsia="zh-CN" w:bidi="hi-IN"/>
        </w:rPr>
      </w:pPr>
    </w:p>
    <w:p>
      <w:pPr>
        <w:suppressAutoHyphens/>
        <w:autoSpaceDN w:val="0"/>
        <w:spacing w:after="0" w:line="240" w:lineRule="auto"/>
        <w:jc w:val="both"/>
        <w:textAlignment w:val="baseline"/>
        <w:rPr>
          <w:rFonts w:asciiTheme="minorHAnsi" w:eastAsia="SimSun" w:hAnsiTheme="minorHAnsi" w:cstheme="minorHAnsi"/>
          <w:kern w:val="3"/>
          <w:lang w:eastAsia="zh-CN" w:bidi="hi-IN"/>
        </w:rPr>
      </w:pPr>
    </w:p>
    <w:p>
      <w:pPr>
        <w:shd w:val="clear" w:color="auto" w:fill="B2A1C7" w:themeFill="accent4" w:themeFillTint="99"/>
        <w:suppressAutoHyphens/>
        <w:autoSpaceDN w:val="0"/>
        <w:spacing w:after="0" w:line="360" w:lineRule="auto"/>
        <w:jc w:val="both"/>
        <w:textAlignment w:val="baseline"/>
        <w:rPr>
          <w:rFonts w:ascii="Arial" w:eastAsia="SimSun" w:hAnsi="Arial" w:cs="Arial"/>
          <w:b/>
          <w:kern w:val="3"/>
          <w:sz w:val="24"/>
          <w:szCs w:val="24"/>
          <w:lang w:eastAsia="zh-CN" w:bidi="hi-IN"/>
        </w:rPr>
      </w:pPr>
      <w:r>
        <w:rPr>
          <w:rFonts w:ascii="Arial" w:eastAsia="SimSun" w:hAnsi="Arial" w:cs="Arial"/>
          <w:b/>
          <w:kern w:val="3"/>
          <w:sz w:val="24"/>
          <w:szCs w:val="24"/>
          <w:lang w:eastAsia="zh-CN" w:bidi="hi-IN"/>
        </w:rPr>
        <w:t>5.3.- RESULTADOS OBTENIDOS Y VALORACIÓN DEL PROYECTO:</w:t>
      </w:r>
    </w:p>
    <w:p>
      <w:pPr>
        <w:suppressAutoHyphens/>
        <w:autoSpaceDN w:val="0"/>
        <w:spacing w:after="0" w:line="360" w:lineRule="auto"/>
        <w:jc w:val="both"/>
        <w:textAlignment w:val="baseline"/>
        <w:rPr>
          <w:rFonts w:asciiTheme="minorHAnsi" w:eastAsiaTheme="minorHAnsi" w:hAnsiTheme="minorHAnsi" w:cstheme="minorBidi"/>
        </w:rPr>
      </w:pPr>
    </w:p>
    <w:p>
      <w:pPr>
        <w:pStyle w:val="TableContents"/>
        <w:spacing w:line="360" w:lineRule="auto"/>
        <w:jc w:val="both"/>
        <w:rPr>
          <w:rFonts w:ascii="Arial" w:hAnsi="Arial" w:cs="Arial"/>
          <w:color w:val="000000"/>
        </w:rPr>
      </w:pPr>
      <w:r>
        <w:rPr>
          <w:rFonts w:ascii="Arial" w:hAnsi="Arial" w:cs="Arial"/>
          <w:color w:val="000000"/>
        </w:rPr>
        <w:t xml:space="preserve">El proyecto se desarrolló conforme a lo previsto, ejecutándose las actividades planificadas de manera ordenada y por fases, lo que permitió alcanzar el objetivo: </w:t>
      </w:r>
      <w:r>
        <w:rPr>
          <w:rFonts w:ascii="Arial" w:hAnsi="Arial" w:cs="Arial"/>
          <w:bCs/>
          <w:color w:val="000000"/>
        </w:rPr>
        <w:t>la realización de unas jornadas y una exposición audiovisual orientadas a la sensibilización y formación</w:t>
      </w:r>
      <w:r>
        <w:rPr>
          <w:rFonts w:ascii="Arial" w:hAnsi="Arial" w:cs="Arial"/>
          <w:color w:val="000000"/>
        </w:rPr>
        <w:t>, visibilizando la realidad de las mujeres víctimas de trata con fines de explotación sexual y/o en contexto de prostitución.</w:t>
      </w:r>
    </w:p>
    <w:p>
      <w:pPr>
        <w:pStyle w:val="TableContents"/>
        <w:spacing w:line="360" w:lineRule="auto"/>
        <w:jc w:val="both"/>
        <w:rPr>
          <w:rFonts w:hint="eastAsia"/>
        </w:rPr>
      </w:pPr>
    </w:p>
    <w:p>
      <w:pPr>
        <w:pStyle w:val="TableContents"/>
        <w:spacing w:line="360" w:lineRule="auto"/>
        <w:jc w:val="both"/>
        <w:rPr>
          <w:rFonts w:ascii="Arial" w:hAnsi="Arial" w:cs="Arial"/>
          <w:color w:val="000000"/>
        </w:rPr>
      </w:pPr>
      <w:r>
        <w:rPr>
          <w:rFonts w:ascii="Arial" w:hAnsi="Arial" w:cs="Arial"/>
          <w:color w:val="000000"/>
        </w:rPr>
        <w:t xml:space="preserve">Por una parte, se han realizado las </w:t>
      </w:r>
      <w:r>
        <w:rPr>
          <w:rFonts w:ascii="Arial" w:hAnsi="Arial" w:cs="Arial"/>
          <w:bCs/>
          <w:color w:val="000000"/>
        </w:rPr>
        <w:t>Jornadas de sensibilización y formación “La prostitución en la cultura”</w:t>
      </w:r>
      <w:r>
        <w:rPr>
          <w:rFonts w:ascii="Arial" w:hAnsi="Arial" w:cs="Arial"/>
          <w:color w:val="000000"/>
        </w:rPr>
        <w:t xml:space="preserve">, celebradas los días </w:t>
      </w:r>
      <w:r>
        <w:rPr>
          <w:rFonts w:ascii="Arial" w:hAnsi="Arial" w:cs="Arial"/>
          <w:bCs/>
          <w:color w:val="000000"/>
        </w:rPr>
        <w:t>22, 23 y 24 de septiembre de 2025</w:t>
      </w:r>
      <w:r>
        <w:rPr>
          <w:rFonts w:ascii="Arial" w:hAnsi="Arial" w:cs="Arial"/>
          <w:color w:val="000000"/>
        </w:rPr>
        <w:t xml:space="preserve">, en las que participaron </w:t>
      </w:r>
      <w:r>
        <w:rPr>
          <w:rFonts w:ascii="Arial" w:hAnsi="Arial" w:cs="Arial"/>
          <w:bCs/>
          <w:color w:val="000000"/>
        </w:rPr>
        <w:t>siete ponentes</w:t>
      </w:r>
      <w:r>
        <w:rPr>
          <w:rFonts w:ascii="Arial" w:hAnsi="Arial" w:cs="Arial"/>
          <w:color w:val="000000"/>
        </w:rPr>
        <w:t xml:space="preserve">. Durante estas jornadas se abordó de manera crítica el papel de la cultura en la normalización y romantización histórica de la prostitución, generando espacios de reflexión, debate y formación tanto presencial como en modalidad </w:t>
      </w:r>
      <w:r>
        <w:rPr>
          <w:rFonts w:ascii="Arial" w:hAnsi="Arial" w:cs="Arial"/>
          <w:iCs/>
          <w:color w:val="000000"/>
        </w:rPr>
        <w:t>streaming</w:t>
      </w:r>
      <w:r>
        <w:rPr>
          <w:rFonts w:ascii="Arial" w:hAnsi="Arial" w:cs="Arial"/>
          <w:color w:val="000000"/>
        </w:rPr>
        <w:t>.</w:t>
      </w:r>
    </w:p>
    <w:p>
      <w:pPr>
        <w:pStyle w:val="TableContents"/>
        <w:spacing w:line="360" w:lineRule="auto"/>
        <w:jc w:val="both"/>
        <w:rPr>
          <w:rFonts w:hint="eastAsia"/>
        </w:rPr>
      </w:pPr>
    </w:p>
    <w:p>
      <w:pPr>
        <w:pStyle w:val="TableContents"/>
        <w:spacing w:line="360" w:lineRule="auto"/>
        <w:jc w:val="both"/>
        <w:rPr>
          <w:rFonts w:hint="eastAsia"/>
        </w:rPr>
      </w:pPr>
      <w:r>
        <w:rPr>
          <w:rFonts w:ascii="Arial" w:hAnsi="Arial" w:cs="Arial"/>
          <w:color w:val="000000"/>
        </w:rPr>
        <w:t xml:space="preserve">Como cierre de las jornadas, se inauguró la </w:t>
      </w:r>
      <w:r>
        <w:rPr>
          <w:rFonts w:ascii="Arial" w:hAnsi="Arial" w:cs="Arial"/>
          <w:bCs/>
          <w:color w:val="000000"/>
        </w:rPr>
        <w:t>Exposición Audiovisual “Miradas cruzadas”</w:t>
      </w:r>
      <w:r>
        <w:rPr>
          <w:rFonts w:ascii="Arial" w:hAnsi="Arial" w:cs="Arial"/>
          <w:color w:val="000000"/>
        </w:rPr>
        <w:t xml:space="preserve">, desarrollada en el </w:t>
      </w:r>
      <w:r>
        <w:rPr>
          <w:rFonts w:ascii="Arial" w:hAnsi="Arial" w:cs="Arial"/>
          <w:bCs/>
          <w:color w:val="000000"/>
        </w:rPr>
        <w:t>Espacio Violeta de la Universidad de Las Palmas de Gran Canaria</w:t>
      </w:r>
      <w:r>
        <w:rPr>
          <w:rFonts w:ascii="Arial" w:hAnsi="Arial" w:cs="Arial"/>
          <w:color w:val="000000"/>
        </w:rPr>
        <w:t xml:space="preserve">, durante un total de 14 días: del </w:t>
      </w:r>
      <w:r>
        <w:rPr>
          <w:rFonts w:ascii="Arial" w:hAnsi="Arial" w:cs="Arial"/>
          <w:bCs/>
          <w:color w:val="000000"/>
        </w:rPr>
        <w:t>24 de septiembre al 8 de octubre de 2025</w:t>
      </w:r>
      <w:r>
        <w:rPr>
          <w:rFonts w:ascii="Arial" w:hAnsi="Arial" w:cs="Arial"/>
          <w:color w:val="000000"/>
        </w:rPr>
        <w:t xml:space="preserve">. Esta exposición supuso una de las principales novedades y logros del proyecto, al </w:t>
      </w:r>
      <w:r>
        <w:rPr>
          <w:rFonts w:ascii="Arial" w:hAnsi="Arial" w:cs="Arial"/>
          <w:color w:val="000000"/>
        </w:rPr>
        <w:lastRenderedPageBreak/>
        <w:t>incorporarse por primera vez como herramienta de sensibilización. Su ubicación en un espacio universitario tan simbólico reforzó el impacto social y educativo de la iniciativa.</w:t>
      </w:r>
    </w:p>
    <w:p>
      <w:pPr>
        <w:pStyle w:val="TableContents"/>
        <w:spacing w:line="360" w:lineRule="auto"/>
        <w:jc w:val="both"/>
        <w:rPr>
          <w:rFonts w:ascii="Arial" w:hAnsi="Arial" w:cs="Arial"/>
          <w:color w:val="000000"/>
        </w:rPr>
      </w:pPr>
      <w:r>
        <w:rPr>
          <w:rFonts w:ascii="Arial" w:hAnsi="Arial" w:cs="Arial"/>
          <w:color w:val="000000"/>
        </w:rPr>
        <w:t xml:space="preserve">La singularidad de la exposición audiovisual “Miradas cruzadas”, reside en su planteamiento innovador: </w:t>
      </w:r>
      <w:r>
        <w:rPr>
          <w:rFonts w:ascii="Arial" w:hAnsi="Arial" w:cs="Arial"/>
          <w:bCs/>
          <w:color w:val="000000"/>
        </w:rPr>
        <w:t>dos grupos con experiencias y miradas antagónicas trabajaron con la fotografía como medio de expresión</w:t>
      </w:r>
      <w:r>
        <w:rPr>
          <w:rFonts w:ascii="Arial" w:hAnsi="Arial" w:cs="Arial"/>
          <w:color w:val="000000"/>
        </w:rPr>
        <w:t>. Por un lado, mujeres en situación de prostitución; por otro, personas ajenas a esa realidad. El resultado fue un mosaico de imágenes tomadas en calles, pisos y clubes, que muestra con crudeza lo cotidiano y lo invisible, invitando a reflexionar sobre las múltiples formas de representar el sistema prostitucional en nuestra sociedad. A través de fotografía no profesional, ambos grupos expresaron sus inquietudes y su forma de mirar una realidad compleja, a menudo oculta o relegada a contextos marginales. Además de las imágenes, la exposición ha permitido escuchar testimonios de las mujeres que acompañan a cada imagen.</w:t>
      </w:r>
    </w:p>
    <w:p>
      <w:pPr>
        <w:pStyle w:val="TableContents"/>
        <w:spacing w:line="360" w:lineRule="auto"/>
        <w:jc w:val="both"/>
        <w:rPr>
          <w:rFonts w:hint="eastAsia"/>
        </w:rPr>
      </w:pPr>
    </w:p>
    <w:p>
      <w:pPr>
        <w:pStyle w:val="TableContents"/>
        <w:spacing w:line="360" w:lineRule="auto"/>
        <w:jc w:val="both"/>
        <w:rPr>
          <w:rFonts w:ascii="Arial" w:hAnsi="Arial" w:cs="Arial"/>
          <w:color w:val="000000"/>
        </w:rPr>
      </w:pPr>
      <w:r>
        <w:rPr>
          <w:rFonts w:ascii="Arial" w:hAnsi="Arial" w:cs="Arial"/>
          <w:color w:val="000000"/>
        </w:rPr>
        <w:t xml:space="preserve">De manera transversal a todas las fases del proyecto, se desarrolló una </w:t>
      </w:r>
      <w:r>
        <w:rPr>
          <w:rFonts w:ascii="Arial" w:hAnsi="Arial" w:cs="Arial"/>
          <w:bCs/>
          <w:color w:val="000000"/>
        </w:rPr>
        <w:t>intensa labor de difusión y sensibilización</w:t>
      </w:r>
      <w:r>
        <w:rPr>
          <w:rFonts w:ascii="Arial" w:hAnsi="Arial" w:cs="Arial"/>
          <w:color w:val="000000"/>
        </w:rPr>
        <w:t xml:space="preserve">, tanto a través de redes sociales como mediante medios de comunicación social. En este ámbito se realizaron </w:t>
      </w:r>
      <w:r>
        <w:rPr>
          <w:rFonts w:ascii="Arial" w:hAnsi="Arial" w:cs="Arial"/>
          <w:bCs/>
          <w:color w:val="000000"/>
        </w:rPr>
        <w:t>61 acciones de difusión</w:t>
      </w:r>
      <w:r>
        <w:rPr>
          <w:rFonts w:ascii="Arial" w:hAnsi="Arial" w:cs="Arial"/>
          <w:color w:val="000000"/>
        </w:rPr>
        <w:t xml:space="preserve">, distribuidas en </w:t>
      </w:r>
      <w:r>
        <w:rPr>
          <w:rFonts w:ascii="Arial" w:hAnsi="Arial" w:cs="Arial"/>
          <w:bCs/>
          <w:color w:val="000000"/>
        </w:rPr>
        <w:t>34 apariciones en prensa escrita, 21 en radio y 6 en televisión</w:t>
      </w:r>
      <w:r>
        <w:rPr>
          <w:rFonts w:ascii="Arial" w:hAnsi="Arial" w:cs="Arial"/>
          <w:color w:val="000000"/>
        </w:rPr>
        <w:t>, lo que amplificó notablemente el alcance del proyecto más allá del público asistente a las jornadas y a la exposición.</w:t>
      </w:r>
    </w:p>
    <w:p>
      <w:pPr>
        <w:pStyle w:val="TableContents"/>
        <w:spacing w:line="360" w:lineRule="auto"/>
        <w:jc w:val="both"/>
        <w:rPr>
          <w:rFonts w:hint="eastAsia"/>
        </w:rPr>
      </w:pPr>
    </w:p>
    <w:p>
      <w:pPr>
        <w:pStyle w:val="TableContents"/>
        <w:spacing w:line="360" w:lineRule="auto"/>
        <w:jc w:val="both"/>
        <w:rPr>
          <w:rFonts w:ascii="Arial" w:hAnsi="Arial" w:cs="Arial"/>
          <w:color w:val="000000"/>
        </w:rPr>
      </w:pPr>
      <w:r>
        <w:rPr>
          <w:rFonts w:ascii="Arial" w:hAnsi="Arial" w:cs="Arial"/>
          <w:color w:val="000000"/>
        </w:rPr>
        <w:t xml:space="preserve">Uno de los principales retos detectados durante la ejecución del proyecto ha sido la </w:t>
      </w:r>
      <w:r>
        <w:rPr>
          <w:rFonts w:ascii="Arial" w:hAnsi="Arial" w:cs="Arial"/>
          <w:bCs/>
          <w:color w:val="000000"/>
        </w:rPr>
        <w:t>dificultad para determinar con precisión el número total de personas beneficiarias</w:t>
      </w:r>
      <w:r>
        <w:rPr>
          <w:rFonts w:ascii="Arial" w:hAnsi="Arial" w:cs="Arial"/>
          <w:color w:val="000000"/>
        </w:rPr>
        <w:t>, debido a la propia naturaleza de las actividades desarrolladas y a los canales utilizados para su difusión.</w:t>
      </w:r>
    </w:p>
    <w:p>
      <w:pPr>
        <w:pStyle w:val="TableContents"/>
        <w:spacing w:line="360" w:lineRule="auto"/>
        <w:jc w:val="both"/>
        <w:rPr>
          <w:rFonts w:hint="eastAsia"/>
        </w:rPr>
      </w:pPr>
    </w:p>
    <w:p>
      <w:pPr>
        <w:pStyle w:val="TableContents"/>
        <w:spacing w:line="360" w:lineRule="auto"/>
        <w:jc w:val="both"/>
        <w:rPr>
          <w:rFonts w:hint="eastAsia"/>
        </w:rPr>
      </w:pPr>
      <w:r>
        <w:rPr>
          <w:rFonts w:ascii="Arial" w:hAnsi="Arial" w:cs="Arial"/>
          <w:color w:val="000000"/>
        </w:rPr>
        <w:t xml:space="preserve">Por un lado, las </w:t>
      </w:r>
      <w:r>
        <w:rPr>
          <w:rFonts w:ascii="Arial" w:hAnsi="Arial" w:cs="Arial"/>
          <w:bCs/>
          <w:color w:val="000000"/>
        </w:rPr>
        <w:t>jornadas de sensibilización se realizaron tanto en formato presencial como en modalidad online (streaming)</w:t>
      </w:r>
      <w:r>
        <w:rPr>
          <w:rFonts w:ascii="Arial" w:hAnsi="Arial" w:cs="Arial"/>
          <w:color w:val="000000"/>
        </w:rPr>
        <w:t xml:space="preserve">. </w:t>
      </w:r>
    </w:p>
    <w:p>
      <w:pPr>
        <w:pStyle w:val="TableContents"/>
        <w:spacing w:line="360" w:lineRule="auto"/>
        <w:jc w:val="both"/>
        <w:rPr>
          <w:rFonts w:hint="eastAsia"/>
        </w:rPr>
      </w:pPr>
      <w:r>
        <w:rPr>
          <w:rFonts w:ascii="Arial" w:hAnsi="Arial" w:cs="Arial"/>
          <w:color w:val="000000"/>
        </w:rPr>
        <w:t xml:space="preserve">Por otro lado, el proyecto contó con una </w:t>
      </w:r>
      <w:r>
        <w:rPr>
          <w:rFonts w:ascii="Arial" w:hAnsi="Arial" w:cs="Arial"/>
          <w:bCs/>
          <w:color w:val="000000"/>
        </w:rPr>
        <w:t>amplia estrategia de difusión y sensibilización a través de los medios de comunicación social</w:t>
      </w:r>
      <w:r>
        <w:rPr>
          <w:rFonts w:ascii="Arial" w:hAnsi="Arial" w:cs="Arial"/>
          <w:color w:val="000000"/>
        </w:rPr>
        <w:t xml:space="preserve">, materializada en </w:t>
      </w:r>
      <w:r>
        <w:rPr>
          <w:rFonts w:ascii="Arial" w:hAnsi="Arial" w:cs="Arial"/>
          <w:bCs/>
          <w:color w:val="000000"/>
        </w:rPr>
        <w:t>61 acciones de comunicación</w:t>
      </w:r>
      <w:r>
        <w:rPr>
          <w:rFonts w:ascii="Arial" w:hAnsi="Arial" w:cs="Arial"/>
          <w:color w:val="000000"/>
        </w:rPr>
        <w:t xml:space="preserve"> (prensa escrita, radio y televisión). Si bien estas actuaciones han contribuido de forma significativa a amplificar el alcance del proyecto y a sensibilizar a </w:t>
      </w:r>
      <w:r>
        <w:rPr>
          <w:rFonts w:ascii="Arial" w:hAnsi="Arial" w:cs="Arial"/>
          <w:color w:val="000000"/>
        </w:rPr>
        <w:lastRenderedPageBreak/>
        <w:t xml:space="preserve">un público mucho más amplio, </w:t>
      </w:r>
      <w:r>
        <w:rPr>
          <w:rFonts w:ascii="Arial" w:hAnsi="Arial" w:cs="Arial"/>
          <w:bCs/>
          <w:color w:val="000000"/>
        </w:rPr>
        <w:t>no es posible obtener datos cuantitativos exactos sobre el número de personas alcanzadas</w:t>
      </w:r>
      <w:r>
        <w:rPr>
          <w:rFonts w:ascii="Arial" w:hAnsi="Arial" w:cs="Arial"/>
          <w:color w:val="000000"/>
        </w:rPr>
        <w:t>, ya que no se dispone de datos precisos sobre audiencias o personas lectoras que hubieron en cada acción.</w:t>
      </w:r>
    </w:p>
    <w:p>
      <w:pPr>
        <w:pStyle w:val="TableContents"/>
        <w:spacing w:line="360" w:lineRule="auto"/>
        <w:jc w:val="both"/>
        <w:rPr>
          <w:rFonts w:hint="eastAsia"/>
        </w:rPr>
      </w:pPr>
      <w:r>
        <w:rPr>
          <w:rFonts w:ascii="Arial" w:hAnsi="Arial" w:cs="Arial"/>
          <w:color w:val="000000"/>
        </w:rPr>
        <w:t xml:space="preserve">No obstante, se dispone de </w:t>
      </w:r>
      <w:r>
        <w:rPr>
          <w:rFonts w:ascii="Arial" w:hAnsi="Arial" w:cs="Arial"/>
          <w:bCs/>
          <w:color w:val="000000"/>
        </w:rPr>
        <w:t>indicadores verificables de alcance</w:t>
      </w:r>
      <w:r>
        <w:rPr>
          <w:rFonts w:ascii="Arial" w:hAnsi="Arial" w:cs="Arial"/>
          <w:color w:val="000000"/>
        </w:rPr>
        <w:t xml:space="preserve">, como las </w:t>
      </w:r>
      <w:r>
        <w:rPr>
          <w:rFonts w:ascii="Arial" w:hAnsi="Arial" w:cs="Arial"/>
          <w:bCs/>
          <w:color w:val="000000"/>
        </w:rPr>
        <w:t>859 visualizaciones acumuladas</w:t>
      </w:r>
      <w:r>
        <w:rPr>
          <w:rFonts w:ascii="Arial" w:hAnsi="Arial" w:cs="Arial"/>
          <w:color w:val="000000"/>
        </w:rPr>
        <w:t xml:space="preserve"> de los </w:t>
      </w:r>
      <w:r>
        <w:rPr>
          <w:rFonts w:ascii="Arial" w:hAnsi="Arial" w:cs="Arial"/>
          <w:bCs/>
          <w:color w:val="000000"/>
        </w:rPr>
        <w:t>tres vídeos de las jornadas</w:t>
      </w:r>
      <w:r>
        <w:rPr>
          <w:rFonts w:ascii="Arial" w:hAnsi="Arial" w:cs="Arial"/>
          <w:color w:val="000000"/>
        </w:rPr>
        <w:t xml:space="preserve"> disponibles en el canal de YouTube, accesible desde la página web oficial del proyecto (jornadastratadaniela.com). Estos datos permiten contar con una referencia del impacto online de las actividades formativas.</w:t>
      </w:r>
    </w:p>
    <w:p>
      <w:pPr>
        <w:pStyle w:val="TableContents"/>
        <w:spacing w:line="360" w:lineRule="auto"/>
        <w:jc w:val="both"/>
        <w:rPr>
          <w:rFonts w:hint="eastAsia"/>
        </w:rPr>
      </w:pPr>
      <w:r>
        <w:rPr>
          <w:rFonts w:ascii="Arial" w:hAnsi="Arial" w:cs="Arial"/>
          <w:color w:val="000000"/>
        </w:rPr>
        <w:t xml:space="preserve">En consecuencia, solo se han considerado como personas beneficiarias del proyecto las </w:t>
      </w:r>
      <w:r>
        <w:rPr>
          <w:rFonts w:ascii="Arial" w:hAnsi="Arial" w:cs="Arial"/>
          <w:bCs/>
          <w:color w:val="000000"/>
        </w:rPr>
        <w:t>personas asistentes de manera presencial</w:t>
      </w:r>
      <w:r>
        <w:rPr>
          <w:rFonts w:ascii="Arial" w:hAnsi="Arial" w:cs="Arial"/>
          <w:color w:val="000000"/>
        </w:rPr>
        <w:t xml:space="preserve"> tanto a las jornadas como a la exposición fotográfica y las </w:t>
      </w:r>
      <w:r>
        <w:rPr>
          <w:rFonts w:ascii="Arial" w:hAnsi="Arial" w:cs="Arial"/>
          <w:bCs/>
          <w:color w:val="000000"/>
        </w:rPr>
        <w:t>personas que han visualizado los contenidos a través del canal de YouTube</w:t>
      </w:r>
      <w:r>
        <w:rPr>
          <w:rFonts w:ascii="Arial" w:hAnsi="Arial" w:cs="Arial"/>
          <w:color w:val="000000"/>
        </w:rPr>
        <w:t>, según los datos disponibles.</w:t>
      </w:r>
    </w:p>
    <w:p>
      <w:pPr>
        <w:pStyle w:val="TableContents"/>
        <w:spacing w:line="360" w:lineRule="auto"/>
        <w:jc w:val="both"/>
        <w:rPr>
          <w:rFonts w:hint="eastAsia"/>
        </w:rPr>
      </w:pPr>
      <w:r>
        <w:rPr>
          <w:rFonts w:ascii="Arial" w:hAnsi="Arial" w:cs="Arial"/>
          <w:color w:val="000000"/>
        </w:rPr>
        <w:t xml:space="preserve">Quedan excluidas de este cómputo las personas que accedieron a los contenidos del proyecto a través de los medios de comunicación social, a pesar de la relevancia de las </w:t>
      </w:r>
      <w:r>
        <w:rPr>
          <w:rFonts w:ascii="Arial" w:hAnsi="Arial" w:cs="Arial"/>
          <w:bCs/>
          <w:color w:val="000000"/>
        </w:rPr>
        <w:t>61 acciones de difusión realizadas</w:t>
      </w:r>
      <w:r>
        <w:rPr>
          <w:rFonts w:ascii="Arial" w:hAnsi="Arial" w:cs="Arial"/>
          <w:color w:val="000000"/>
        </w:rPr>
        <w:t xml:space="preserve">, debido a la </w:t>
      </w:r>
      <w:r>
        <w:rPr>
          <w:rFonts w:ascii="Arial" w:hAnsi="Arial" w:cs="Arial"/>
          <w:bCs/>
          <w:color w:val="000000"/>
        </w:rPr>
        <w:t>ausencia de datos exactos y verificables.</w:t>
      </w:r>
    </w:p>
    <w:p>
      <w:pPr>
        <w:pStyle w:val="TableContents"/>
        <w:spacing w:line="360" w:lineRule="auto"/>
        <w:jc w:val="both"/>
        <w:rPr>
          <w:rFonts w:hint="eastAsia"/>
        </w:rPr>
      </w:pPr>
      <w:r>
        <w:rPr>
          <w:rFonts w:ascii="Arial" w:hAnsi="Arial" w:cs="Arial"/>
          <w:color w:val="000000"/>
        </w:rPr>
        <w:t xml:space="preserve">Se destaca como principales logros: la </w:t>
      </w:r>
      <w:r>
        <w:rPr>
          <w:rFonts w:ascii="Arial" w:hAnsi="Arial" w:cs="Arial"/>
          <w:bCs/>
          <w:color w:val="000000"/>
        </w:rPr>
        <w:t xml:space="preserve">realización de unas jornadas formativas </w:t>
      </w:r>
      <w:r>
        <w:rPr>
          <w:rFonts w:ascii="Arial" w:hAnsi="Arial" w:cs="Arial"/>
          <w:color w:val="000000"/>
        </w:rPr>
        <w:t xml:space="preserve">con amplia difusión, la </w:t>
      </w:r>
      <w:r>
        <w:rPr>
          <w:rFonts w:ascii="Arial" w:hAnsi="Arial" w:cs="Arial"/>
          <w:bCs/>
          <w:color w:val="000000"/>
        </w:rPr>
        <w:t>incorporación innovadora de la exposición fotográfica, lo cual</w:t>
      </w:r>
      <w:r>
        <w:rPr>
          <w:rFonts w:ascii="Arial" w:hAnsi="Arial" w:cs="Arial"/>
          <w:color w:val="000000"/>
        </w:rPr>
        <w:t xml:space="preserve"> fortaleció el impacto social y reflexivo del proyecto y la </w:t>
      </w:r>
      <w:r>
        <w:rPr>
          <w:rFonts w:ascii="Arial" w:hAnsi="Arial" w:cs="Arial"/>
          <w:bCs/>
          <w:color w:val="000000"/>
        </w:rPr>
        <w:t>amplia visibilidad mediática</w:t>
      </w:r>
      <w:r>
        <w:rPr>
          <w:rFonts w:ascii="Arial" w:hAnsi="Arial" w:cs="Arial"/>
          <w:color w:val="000000"/>
        </w:rPr>
        <w:t>, consolidando la sensibilización social sobre la trata y la explotación sexual realizada.</w:t>
      </w:r>
    </w:p>
    <w:p>
      <w:pPr>
        <w:pStyle w:val="TableContents"/>
        <w:spacing w:line="360" w:lineRule="auto"/>
        <w:jc w:val="both"/>
        <w:rPr>
          <w:rFonts w:hint="eastAsia"/>
        </w:rPr>
      </w:pPr>
      <w:r>
        <w:rPr>
          <w:rFonts w:ascii="Arial" w:hAnsi="Arial"/>
        </w:rPr>
        <w:t xml:space="preserve">Como conclusión final del proyecto, cabe destacar que las acciones desarrolladas han sido ejecutadas conforme a la planificación inicial y que los </w:t>
      </w:r>
      <w:r>
        <w:rPr>
          <w:rFonts w:ascii="Arial" w:hAnsi="Arial"/>
          <w:bCs/>
        </w:rPr>
        <w:t>objetivos planteados han sido superados conforme a los indicadores previstos</w:t>
      </w:r>
      <w:r>
        <w:rPr>
          <w:rFonts w:ascii="Arial" w:hAnsi="Arial"/>
        </w:rPr>
        <w:t>.</w:t>
      </w:r>
    </w:p>
    <w:p>
      <w:pPr>
        <w:pStyle w:val="TableContents"/>
        <w:spacing w:line="360" w:lineRule="auto"/>
        <w:jc w:val="both"/>
        <w:rPr>
          <w:rFonts w:hint="eastAsia"/>
        </w:rPr>
      </w:pPr>
      <w:r>
        <w:rPr>
          <w:rFonts w:ascii="Arial" w:hAnsi="Arial"/>
        </w:rPr>
        <w:t xml:space="preserve">En relación con el </w:t>
      </w:r>
      <w:r>
        <w:rPr>
          <w:rFonts w:ascii="Arial" w:hAnsi="Arial"/>
          <w:bCs/>
        </w:rPr>
        <w:t>objetivo general</w:t>
      </w:r>
      <w:r>
        <w:rPr>
          <w:rFonts w:ascii="Arial" w:hAnsi="Arial"/>
        </w:rPr>
        <w:t>, centrado en incidir socialmente en la mejora del conocimiento de la realidad de la prostitución y la trata con fines de explotación sexual, así como en la mejora de la atención a mujeres víctimas de violencia de género en estos contextos, las Jornadas han supuesto un espacio de sensibilización, reflexión crítica y formación, contribuyendo a la visibilización de estas realidades desde un enfoque de derechos humanos y perspectiva feminista.</w:t>
      </w:r>
    </w:p>
    <w:p>
      <w:pPr>
        <w:pStyle w:val="TableContents"/>
        <w:spacing w:line="360" w:lineRule="auto"/>
        <w:jc w:val="both"/>
        <w:rPr>
          <w:rFonts w:hint="eastAsia"/>
        </w:rPr>
      </w:pPr>
      <w:r>
        <w:rPr>
          <w:rFonts w:ascii="Arial" w:hAnsi="Arial"/>
        </w:rPr>
        <w:t xml:space="preserve">Respecto al </w:t>
      </w:r>
      <w:r>
        <w:rPr>
          <w:rFonts w:ascii="Arial" w:hAnsi="Arial"/>
          <w:bCs/>
        </w:rPr>
        <w:t>objetivo específico</w:t>
      </w:r>
      <w:r>
        <w:rPr>
          <w:rFonts w:ascii="Arial" w:hAnsi="Arial"/>
        </w:rPr>
        <w:t xml:space="preserve">, se ha cumplido la finalidad de realizar unas Jornadas y una Exposición Audiovisual dirigidas a la formación y sensibilización social, especialmente orientadas a agentes clave comunitarios y a la ciudadanía en general.  </w:t>
      </w:r>
    </w:p>
    <w:p>
      <w:pPr>
        <w:pStyle w:val="TableContents"/>
        <w:spacing w:line="360" w:lineRule="auto"/>
        <w:jc w:val="both"/>
        <w:rPr>
          <w:rFonts w:hint="eastAsia"/>
        </w:rPr>
      </w:pPr>
      <w:r>
        <w:rPr>
          <w:rFonts w:ascii="Arial" w:hAnsi="Arial"/>
        </w:rPr>
        <w:lastRenderedPageBreak/>
        <w:t xml:space="preserve">La programación desarrollada, junto con el taller y la exposición </w:t>
      </w:r>
      <w:r>
        <w:rPr>
          <w:rFonts w:ascii="Arial" w:hAnsi="Arial"/>
          <w:bCs/>
        </w:rPr>
        <w:t>“Miradas Cruzadas”</w:t>
      </w:r>
      <w:r>
        <w:rPr>
          <w:rFonts w:ascii="Arial" w:hAnsi="Arial"/>
        </w:rPr>
        <w:t>, ha permitido abordar los factores culturales, fomentados muchas veces en las distintas expresiones culturales (cine, música, pintura, literatura) que influyen en la normalización e incluso en la romantización de la prostitución y la violencia sexual que padecen las mujeres en contexto de prostitución.</w:t>
      </w:r>
    </w:p>
    <w:p>
      <w:pPr>
        <w:pStyle w:val="TableContents"/>
        <w:spacing w:line="360" w:lineRule="auto"/>
        <w:rPr>
          <w:rFonts w:ascii="Arial" w:hAnsi="Arial"/>
        </w:rPr>
      </w:pPr>
      <w:r>
        <w:rPr>
          <w:rFonts w:ascii="Arial" w:hAnsi="Arial"/>
        </w:rPr>
        <w:t>Se destacan la consecución de los siguientes logros:</w:t>
      </w:r>
    </w:p>
    <w:p>
      <w:pPr>
        <w:pStyle w:val="TableContents"/>
        <w:spacing w:line="360" w:lineRule="auto"/>
        <w:jc w:val="both"/>
        <w:rPr>
          <w:rFonts w:hint="eastAsia"/>
        </w:rPr>
      </w:pPr>
      <w:r>
        <w:rPr>
          <w:rFonts w:ascii="Arial" w:hAnsi="Arial"/>
        </w:rPr>
        <w:t xml:space="preserve">-La </w:t>
      </w:r>
      <w:r>
        <w:rPr>
          <w:rFonts w:ascii="Arial" w:hAnsi="Arial"/>
          <w:bCs/>
        </w:rPr>
        <w:t>amplificación del alcance a través de plataformas digitales</w:t>
      </w:r>
      <w:r>
        <w:rPr>
          <w:rFonts w:ascii="Arial" w:hAnsi="Arial"/>
        </w:rPr>
        <w:t xml:space="preserve">, con </w:t>
      </w:r>
      <w:r>
        <w:rPr>
          <w:rFonts w:ascii="Arial" w:hAnsi="Arial"/>
          <w:bCs/>
        </w:rPr>
        <w:t>859 visualizaciones acumuladas en los tres vídeos del canal de YouTube del Programa Oblatas Daniela</w:t>
      </w:r>
      <w:r>
        <w:rPr>
          <w:rFonts w:ascii="Arial" w:hAnsi="Arial"/>
        </w:rPr>
        <w:t>, lo que demuestra que el proyecto ha llegado más allá del espacio físico de las jornadas, permitiendo que personas interesadas hayan podido acceder a los contenidos en cualquier momento y lugar.</w:t>
      </w:r>
    </w:p>
    <w:p>
      <w:pPr>
        <w:pStyle w:val="TableContents"/>
        <w:spacing w:line="360" w:lineRule="auto"/>
        <w:jc w:val="both"/>
        <w:rPr>
          <w:rFonts w:hint="eastAsia"/>
        </w:rPr>
      </w:pPr>
      <w:r>
        <w:rPr>
          <w:rFonts w:ascii="Arial" w:hAnsi="Arial"/>
        </w:rPr>
        <w:t xml:space="preserve">- La realización de </w:t>
      </w:r>
      <w:r>
        <w:rPr>
          <w:rFonts w:ascii="Arial" w:hAnsi="Arial"/>
          <w:bCs/>
        </w:rPr>
        <w:t>61 acciones de difusión y sensibilización en medios de comunicación</w:t>
      </w:r>
      <w:r>
        <w:rPr>
          <w:rFonts w:ascii="Arial" w:hAnsi="Arial"/>
        </w:rPr>
        <w:t xml:space="preserve">, incluyendo prensa escrita, radio y televisión. Aunque no es posible cuantificar con exactitud el número de personas beneficiarias de estas acciones, las mismas han contribuido a la </w:t>
      </w:r>
      <w:r>
        <w:rPr>
          <w:rFonts w:ascii="Arial" w:hAnsi="Arial"/>
          <w:bCs/>
        </w:rPr>
        <w:t>visibilidad y repercusión social del proyecto</w:t>
      </w:r>
      <w:r>
        <w:rPr>
          <w:rFonts w:ascii="Arial" w:hAnsi="Arial"/>
        </w:rPr>
        <w:t>, aumentando el impacto en la sociedad en general.</w:t>
      </w:r>
    </w:p>
    <w:p>
      <w:pPr>
        <w:pStyle w:val="TableContents"/>
        <w:spacing w:line="360" w:lineRule="auto"/>
        <w:jc w:val="both"/>
        <w:rPr>
          <w:rFonts w:hint="eastAsia"/>
        </w:rPr>
      </w:pPr>
      <w:r>
        <w:rPr>
          <w:rFonts w:ascii="Arial" w:hAnsi="Arial"/>
        </w:rPr>
        <w:t xml:space="preserve">- La </w:t>
      </w:r>
      <w:r>
        <w:rPr>
          <w:rFonts w:ascii="Arial" w:hAnsi="Arial"/>
          <w:bCs/>
        </w:rPr>
        <w:t>participación de alumnado de tres centros educativos</w:t>
      </w:r>
      <w:r>
        <w:rPr>
          <w:rFonts w:ascii="Arial" w:hAnsi="Arial"/>
        </w:rPr>
        <w:t xml:space="preserve"> en acciones formativas conjuntas a la Exposición, ha permitido acercar la realidad de la trata y la prostitución a colectivos jóvenes y fomentar valores de igualdad.</w:t>
      </w:r>
    </w:p>
    <w:p>
      <w:pPr>
        <w:pStyle w:val="TableContents"/>
        <w:spacing w:line="360" w:lineRule="auto"/>
        <w:jc w:val="both"/>
        <w:rPr>
          <w:rFonts w:hint="eastAsia"/>
        </w:rPr>
      </w:pPr>
      <w:r>
        <w:rPr>
          <w:rFonts w:ascii="Arial" w:hAnsi="Arial"/>
        </w:rPr>
        <w:t xml:space="preserve">Estos resultados muestran que el proyecto ha logrado </w:t>
      </w:r>
      <w:r>
        <w:rPr>
          <w:rFonts w:ascii="Arial" w:hAnsi="Arial"/>
          <w:bCs/>
        </w:rPr>
        <w:t>crear conciencia social sobre la realidad de las mujeres en contexto de prostitución y víctimas de trata</w:t>
      </w:r>
      <w:r>
        <w:rPr>
          <w:rFonts w:ascii="Arial" w:hAnsi="Arial"/>
        </w:rPr>
        <w:t>, fomentando una mirada más crítica, respetuosa y comprometida.</w:t>
      </w:r>
    </w:p>
    <w:p>
      <w:pPr>
        <w:pStyle w:val="TableContents"/>
        <w:spacing w:line="360" w:lineRule="auto"/>
        <w:jc w:val="both"/>
        <w:rPr>
          <w:rFonts w:ascii="Arial" w:hAnsi="Arial"/>
          <w:bCs/>
        </w:rPr>
      </w:pPr>
      <w:r>
        <w:rPr>
          <w:rFonts w:ascii="Arial" w:hAnsi="Arial"/>
          <w:bCs/>
        </w:rPr>
        <w:t>Como propuestas de futuro, se plantea continuar y consolidar la celebración de las Jornadas de Sensibilización Social, dado que siguen siendo una herramienta necesaria para acercar a la ciudadanía la realidad de la prostitución y la trata con fines de explotación sexual, una problemática que permanece socialmente invisibilizada y, en muchos casos, atravesada por factores de discriminación que recaen exclusivamente sobre las mujeres, así como las violencias propias de este contexto. Asimismo, estas jornadas permiten fomentar una actitud crítica frente a las causas estructurales que generan estas situaciones y facilitan el análisis continuo de una realidad cambiante, que requiere ser revisada y actualizada año tras año.</w:t>
      </w:r>
    </w:p>
    <w:p>
      <w:pPr>
        <w:pStyle w:val="TableContents"/>
        <w:spacing w:line="360" w:lineRule="auto"/>
        <w:jc w:val="both"/>
        <w:rPr>
          <w:rFonts w:ascii="Arial" w:hAnsi="Arial"/>
          <w:sz w:val="16"/>
          <w:szCs w:val="16"/>
        </w:rPr>
      </w:pPr>
    </w:p>
    <w:p>
      <w:pPr>
        <w:tabs>
          <w:tab w:val="left" w:pos="253"/>
        </w:tabs>
        <w:spacing w:line="360" w:lineRule="auto"/>
        <w:jc w:val="both"/>
        <w:rPr>
          <w:rFonts w:asciiTheme="minorHAnsi" w:eastAsiaTheme="minorHAnsi" w:hAnsiTheme="minorHAnsi" w:cstheme="minorBidi"/>
        </w:rPr>
      </w:pPr>
    </w:p>
    <w:p>
      <w:pPr>
        <w:tabs>
          <w:tab w:val="left" w:pos="253"/>
        </w:tabs>
        <w:spacing w:line="360" w:lineRule="auto"/>
        <w:jc w:val="both"/>
        <w:rPr>
          <w:rFonts w:asciiTheme="minorHAnsi" w:eastAsiaTheme="minorHAnsi" w:hAnsiTheme="minorHAnsi" w:cstheme="minorBidi"/>
        </w:rPr>
      </w:pPr>
    </w:p>
    <w:p>
      <w:pPr>
        <w:tabs>
          <w:tab w:val="left" w:pos="253"/>
        </w:tabs>
        <w:spacing w:line="360" w:lineRule="auto"/>
        <w:jc w:val="both"/>
        <w:rPr>
          <w:rFonts w:asciiTheme="minorHAnsi" w:eastAsiaTheme="minorHAnsi" w:hAnsiTheme="minorHAnsi" w:cstheme="minorBidi"/>
        </w:rPr>
      </w:pPr>
    </w:p>
    <w:p>
      <w:pPr>
        <w:tabs>
          <w:tab w:val="left" w:pos="253"/>
        </w:tabs>
        <w:spacing w:line="360" w:lineRule="auto"/>
        <w:jc w:val="both"/>
        <w:rPr>
          <w:rFonts w:asciiTheme="minorHAnsi" w:eastAsiaTheme="minorHAnsi" w:hAnsiTheme="minorHAnsi" w:cstheme="minorBidi"/>
        </w:rPr>
      </w:pPr>
    </w:p>
    <w:p>
      <w:pPr>
        <w:shd w:val="clear" w:color="auto" w:fill="365F91" w:themeFill="accent1" w:themeFillShade="BF"/>
        <w:suppressAutoHyphens/>
        <w:autoSpaceDN w:val="0"/>
        <w:spacing w:after="0" w:line="360" w:lineRule="auto"/>
        <w:jc w:val="center"/>
        <w:textAlignment w:val="baseline"/>
        <w:rPr>
          <w:rFonts w:ascii="Arial" w:eastAsiaTheme="minorHAnsi" w:hAnsi="Arial" w:cs="Arial"/>
          <w:b/>
          <w:color w:val="FFFFFF" w:themeColor="background1"/>
          <w:sz w:val="24"/>
          <w:szCs w:val="24"/>
        </w:rPr>
      </w:pPr>
      <w:r>
        <w:rPr>
          <w:rFonts w:ascii="Arial" w:eastAsiaTheme="minorHAnsi" w:hAnsi="Arial" w:cs="Arial"/>
          <w:b/>
          <w:color w:val="FFFFFF" w:themeColor="background1"/>
          <w:sz w:val="24"/>
          <w:szCs w:val="24"/>
        </w:rPr>
        <w:t>6.- MEJORA DE LA EMPLEABILIDAD Y AUTONOMÍA DE LAS MUJERES EN SITUACIÓN DE EXCLUSIÓN SOCIAL /TRANSITANDO HACIA LA INSERCIÓN</w:t>
      </w:r>
    </w:p>
    <w:p>
      <w:pPr>
        <w:spacing w:after="0" w:line="360" w:lineRule="auto"/>
        <w:jc w:val="both"/>
        <w:rPr>
          <w:rFonts w:ascii="Arial" w:eastAsia="SimSun" w:hAnsi="Arial" w:cs="Arial"/>
          <w:color w:val="000000"/>
          <w:sz w:val="24"/>
          <w:szCs w:val="24"/>
          <w:lang w:eastAsia="es-ES"/>
        </w:rPr>
      </w:pPr>
    </w:p>
    <w:p>
      <w:pPr>
        <w:shd w:val="clear" w:color="auto" w:fill="B2A1C7" w:themeFill="accent4" w:themeFillTint="99"/>
        <w:suppressAutoHyphens/>
        <w:autoSpaceDN w:val="0"/>
        <w:spacing w:after="0" w:line="360" w:lineRule="auto"/>
        <w:jc w:val="both"/>
        <w:textAlignment w:val="baseline"/>
        <w:rPr>
          <w:rFonts w:ascii="Arial" w:eastAsiaTheme="minorHAnsi" w:hAnsi="Arial" w:cs="Arial"/>
          <w:b/>
          <w:sz w:val="24"/>
          <w:szCs w:val="24"/>
        </w:rPr>
      </w:pPr>
      <w:r>
        <w:rPr>
          <w:rFonts w:ascii="Arial" w:eastAsiaTheme="minorHAnsi" w:hAnsi="Arial" w:cs="Arial"/>
          <w:b/>
          <w:sz w:val="24"/>
          <w:szCs w:val="24"/>
        </w:rPr>
        <w:t>6.1.- SÍNTESIS CONTENIDO DEL PROYECTO Y OBJETIVOS:</w:t>
      </w:r>
    </w:p>
    <w:p>
      <w:pPr>
        <w:spacing w:after="0" w:line="360" w:lineRule="auto"/>
        <w:jc w:val="both"/>
        <w:rPr>
          <w:rFonts w:asciiTheme="minorHAnsi" w:eastAsia="Times New Roman" w:hAnsiTheme="minorHAnsi"/>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El proyecto ha tenido como finalidad promover la igualdad y reducir los obstáculos que enfrentan mujeres en situación de múltiples vulnerabilidades, especialmente aquellas víctimas de trata, explotación sexual, en contexto de prostitución, violencia de género y/o en situación administrativa irregular.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Desde su inicio, la intervención se diseñó para dar respuesta a un perfil de mujeres que, por sus circunstancias personales y sociales, quedan habitualmente excluidas de otras acciones formativas del entorno. Para ello, se combinó el apoyo psicosocial grupal con el desarrollo de habilidades sociales y la formación en herramientas laborales, incorporando así mismo, formación sobre perspectiva de género y sobre distintas formas de violencia de género.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Durante la implementación del proyecto se tomó como decisión en el modelo de intervención, que se iba a optar por ampliar el acceso a un mayor número de mujeres participantes, aunque estas no conformaran un grupo estable desde el inicio, ya que muchas mujeres al conocer el proyecto a través de otras mujeres participantes, se mostraban interesadas en poder también participar. Se adoptó un sistema de incorporación flexible que permitió la entrada progresiva de mujeres en distintos momentos de la ejecución, constatando que eran acciones que de alguna manera le </w:t>
      </w:r>
      <w:r>
        <w:rPr>
          <w:rFonts w:ascii="Arial" w:eastAsia="Times New Roman" w:hAnsi="Arial" w:cs="Arial"/>
          <w:sz w:val="24"/>
          <w:szCs w:val="24"/>
        </w:rPr>
        <w:lastRenderedPageBreak/>
        <w:t xml:space="preserve">iban a beneficiar en sus procesos de integración social. Al mismo tiempo, algunas mujeres habían causado baja, bien por decisión personal o por dificultades para conciliar con su vida personal o por haber conseguido acceder a recursos formativos comunitarios o insertarse laboralmente, estas dos últimas propiciadas por el propio proyecto, al ofrecerles asesoramiento formativo, laboral e información sobre recursos y ofertas a las que podían acceder.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Asimismo, y como resultado del interés mostrado por las participantes y de las necesidades detectadas durante el desarrollo del proyecto, se amplió el número de talleres vinculados a la perspectiva de género y a la prevención de la violencia de género. Esta ampliación fue valorada de manera muy positiva, al evidenciarse un impacto significativo en los procesos de toma de conciencia y resignificación de experiencias vividas por parte de las mujeres.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b/>
          <w:sz w:val="24"/>
          <w:szCs w:val="24"/>
          <w:u w:val="single"/>
        </w:rPr>
      </w:pPr>
      <w:r>
        <w:rPr>
          <w:rFonts w:ascii="Arial" w:eastAsia="Times New Roman" w:hAnsi="Arial" w:cs="Arial"/>
          <w:b/>
          <w:sz w:val="24"/>
          <w:szCs w:val="24"/>
          <w:u w:val="single"/>
        </w:rPr>
        <w:t>Objetivo general:</w:t>
      </w:r>
    </w:p>
    <w:p>
      <w:pPr>
        <w:spacing w:after="0" w:line="360" w:lineRule="auto"/>
        <w:jc w:val="both"/>
        <w:rPr>
          <w:rFonts w:ascii="Arial" w:eastAsia="Times New Roman" w:hAnsi="Arial" w:cs="Arial"/>
          <w:b/>
          <w:sz w:val="24"/>
          <w:szCs w:val="24"/>
          <w:u w:val="single"/>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Fomentar la integración social y laboral de las mujeres beneficiarias del proyecto, que se encuentran en situación de prostitución o han sido víctimas de trata con fines de explotación sexual, brindándoles conocimientos técnicos y habilidades profesionales que faciliten su ingreso al mercado laboral y el reconocimiento de sus capacidades.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b/>
          <w:sz w:val="24"/>
          <w:szCs w:val="24"/>
          <w:u w:val="single"/>
        </w:rPr>
      </w:pPr>
      <w:r>
        <w:rPr>
          <w:rFonts w:ascii="Arial" w:eastAsia="Times New Roman" w:hAnsi="Arial" w:cs="Arial"/>
          <w:b/>
          <w:sz w:val="24"/>
          <w:szCs w:val="24"/>
          <w:u w:val="single"/>
        </w:rPr>
        <w:t>Objetivos específicos:</w:t>
      </w:r>
    </w:p>
    <w:p>
      <w:pPr>
        <w:spacing w:after="0" w:line="360" w:lineRule="auto"/>
        <w:jc w:val="both"/>
        <w:rPr>
          <w:rFonts w:ascii="Arial" w:eastAsia="Times New Roman" w:hAnsi="Arial" w:cs="Arial"/>
          <w:b/>
          <w:sz w:val="24"/>
          <w:szCs w:val="24"/>
          <w:u w:val="single"/>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1. Fortalecer las habilidades y potenciar el empoderamiento de las mujeres participantes mediante la capacitación en habilidades sociales, reconocimiento de sus</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capacidades tanto personales como profesionales, y promoviendo una autoestima saludable, con el fin de promover su participación equitativa en diferentes ámbitos.</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2. Sensibilizar y capacitar sobre las diferentes formas de violencia de género y las relaciones de poder entre géneros, promoviendo una visión de igualdad, para facilitar la resignificación de experiencias traumáticas y prevenir futuras situaciones de violencia.</w:t>
      </w:r>
    </w:p>
    <w:p>
      <w:pPr>
        <w:spacing w:after="0" w:line="360" w:lineRule="auto"/>
        <w:jc w:val="both"/>
        <w:rPr>
          <w:rFonts w:ascii="Arial" w:eastAsia="Times New Roman" w:hAnsi="Arial" w:cs="Arial"/>
          <w:sz w:val="24"/>
          <w:szCs w:val="24"/>
        </w:rPr>
      </w:pPr>
      <w:r>
        <w:rPr>
          <w:rFonts w:ascii="Arial" w:eastAsia="Times New Roman" w:hAnsi="Arial" w:cs="Arial"/>
          <w:sz w:val="24"/>
          <w:szCs w:val="24"/>
        </w:rPr>
        <w:lastRenderedPageBreak/>
        <w:t>3. Proveer a las participantes de herramientas prácticas y conocimientos necesarios para acceder al mercado laboral, así como para reconocer y valorar sus propias capacidades.</w:t>
      </w:r>
    </w:p>
    <w:p>
      <w:pPr>
        <w:spacing w:after="0" w:line="360" w:lineRule="auto"/>
        <w:jc w:val="both"/>
        <w:rPr>
          <w:rFonts w:ascii="Arial" w:eastAsia="Times New Roman" w:hAnsi="Arial" w:cs="Arial"/>
          <w:sz w:val="24"/>
          <w:szCs w:val="24"/>
        </w:rPr>
      </w:pPr>
    </w:p>
    <w:p>
      <w:pPr>
        <w:spacing w:after="0" w:line="360" w:lineRule="auto"/>
        <w:jc w:val="both"/>
        <w:rPr>
          <w:rFonts w:asciiTheme="minorHAnsi" w:eastAsia="Times New Roman" w:hAnsiTheme="minorHAnsi"/>
        </w:rPr>
      </w:pPr>
    </w:p>
    <w:p>
      <w:pPr>
        <w:spacing w:after="0" w:line="360" w:lineRule="auto"/>
        <w:jc w:val="both"/>
        <w:rPr>
          <w:rFonts w:asciiTheme="minorHAnsi" w:eastAsia="Times New Roman" w:hAnsiTheme="minorHAnsi"/>
        </w:rPr>
      </w:pPr>
    </w:p>
    <w:p>
      <w:pPr>
        <w:spacing w:after="0" w:line="360" w:lineRule="auto"/>
        <w:jc w:val="both"/>
        <w:rPr>
          <w:rFonts w:asciiTheme="minorHAnsi" w:eastAsia="Times New Roman" w:hAnsiTheme="minorHAnsi"/>
        </w:rPr>
      </w:pPr>
    </w:p>
    <w:p>
      <w:pPr>
        <w:spacing w:after="0" w:line="360" w:lineRule="auto"/>
        <w:jc w:val="both"/>
        <w:rPr>
          <w:rFonts w:asciiTheme="minorHAnsi" w:eastAsia="Times New Roman" w:hAnsiTheme="minorHAnsi"/>
        </w:rPr>
      </w:pPr>
    </w:p>
    <w:p>
      <w:pPr>
        <w:shd w:val="clear" w:color="auto" w:fill="B2A1C7" w:themeFill="accent4" w:themeFillTint="99"/>
        <w:suppressAutoHyphens/>
        <w:autoSpaceDN w:val="0"/>
        <w:spacing w:after="0" w:line="240" w:lineRule="auto"/>
        <w:jc w:val="both"/>
        <w:textAlignment w:val="baseline"/>
        <w:rPr>
          <w:rFonts w:ascii="Arial" w:eastAsia="SimSun" w:hAnsi="Arial" w:cs="Arial"/>
          <w:b/>
          <w:kern w:val="3"/>
          <w:sz w:val="24"/>
          <w:szCs w:val="24"/>
          <w:lang w:eastAsia="zh-CN" w:bidi="hi-IN"/>
        </w:rPr>
      </w:pPr>
      <w:r>
        <w:rPr>
          <w:rFonts w:ascii="Arial" w:eastAsia="SimSun" w:hAnsi="Arial" w:cs="Arial"/>
          <w:b/>
          <w:kern w:val="3"/>
          <w:sz w:val="24"/>
          <w:szCs w:val="24"/>
          <w:lang w:eastAsia="zh-CN" w:bidi="hi-IN"/>
        </w:rPr>
        <w:t>6.2.- ACTIVIDADES REALIZADAS Y RESULTADOS OBTENIDOS:</w:t>
      </w:r>
    </w:p>
    <w:p>
      <w:pPr>
        <w:suppressAutoHyphens/>
        <w:autoSpaceDN w:val="0"/>
        <w:spacing w:after="0" w:line="240" w:lineRule="auto"/>
        <w:jc w:val="both"/>
        <w:textAlignment w:val="baseline"/>
        <w:rPr>
          <w:rFonts w:ascii="Arial" w:eastAsia="SimSun" w:hAnsi="Arial" w:cs="Arial"/>
          <w:b/>
          <w:kern w:val="3"/>
          <w:sz w:val="24"/>
          <w:szCs w:val="24"/>
          <w:lang w:eastAsia="zh-CN" w:bidi="hi-IN"/>
        </w:rPr>
      </w:pPr>
    </w:p>
    <w:tbl>
      <w:tblPr>
        <w:tblW w:w="9175" w:type="dxa"/>
        <w:tblInd w:w="36" w:type="dxa"/>
        <w:tblLayout w:type="fixed"/>
        <w:tblCellMar>
          <w:left w:w="10" w:type="dxa"/>
          <w:right w:w="10" w:type="dxa"/>
        </w:tblCellMar>
        <w:tblLook w:val="0000" w:firstRow="0" w:lastRow="0" w:firstColumn="0" w:lastColumn="0" w:noHBand="0" w:noVBand="0"/>
      </w:tblPr>
      <w:tblGrid>
        <w:gridCol w:w="2006"/>
        <w:gridCol w:w="2534"/>
        <w:gridCol w:w="4635"/>
      </w:tblGrid>
      <w:tr>
        <w:tc>
          <w:tcPr>
            <w:tcW w:w="20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24"/>
                <w:szCs w:val="24"/>
                <w:lang w:eastAsia="zh-CN" w:bidi="hi-IN"/>
              </w:rPr>
            </w:pPr>
            <w:r>
              <w:rPr>
                <w:rFonts w:ascii="Arial" w:eastAsia="NSimSun" w:hAnsi="Arial" w:cs="Arial"/>
                <w:b/>
                <w:bCs/>
                <w:kern w:val="3"/>
                <w:sz w:val="24"/>
                <w:szCs w:val="24"/>
                <w:lang w:eastAsia="zh-CN" w:bidi="hi-IN"/>
              </w:rPr>
              <w:t xml:space="preserve">ACTIVIDADES  </w:t>
            </w:r>
          </w:p>
        </w:tc>
        <w:tc>
          <w:tcPr>
            <w:tcW w:w="253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24"/>
                <w:szCs w:val="24"/>
                <w:lang w:eastAsia="zh-CN" w:bidi="hi-IN"/>
              </w:rPr>
            </w:pPr>
            <w:r>
              <w:rPr>
                <w:rFonts w:ascii="Arial" w:eastAsia="NSimSun" w:hAnsi="Arial" w:cs="Arial"/>
                <w:b/>
                <w:bCs/>
                <w:kern w:val="3"/>
                <w:sz w:val="24"/>
                <w:szCs w:val="24"/>
                <w:lang w:eastAsia="zh-CN" w:bidi="hi-IN"/>
              </w:rPr>
              <w:t>FECHAS EN LAS QUE SE REALIZA</w:t>
            </w:r>
          </w:p>
        </w:tc>
        <w:tc>
          <w:tcPr>
            <w:tcW w:w="46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textAlignment w:val="baseline"/>
              <w:rPr>
                <w:rFonts w:ascii="Arial" w:eastAsia="NSimSun" w:hAnsi="Arial" w:cs="Arial"/>
                <w:b/>
                <w:bCs/>
                <w:kern w:val="3"/>
                <w:sz w:val="24"/>
                <w:szCs w:val="24"/>
                <w:lang w:eastAsia="zh-CN" w:bidi="hi-IN"/>
              </w:rPr>
            </w:pPr>
            <w:r>
              <w:rPr>
                <w:rFonts w:ascii="Arial" w:eastAsia="NSimSun" w:hAnsi="Arial" w:cs="Arial"/>
                <w:b/>
                <w:bCs/>
                <w:kern w:val="3"/>
                <w:sz w:val="24"/>
                <w:szCs w:val="24"/>
                <w:lang w:eastAsia="zh-CN" w:bidi="hi-IN"/>
              </w:rPr>
              <w:t>EXPLICACIÓN DE SU PERTINENCIA</w:t>
            </w: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1.1.- Talleres de desarrollo de habilidades sociales y comunicación efectiva.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534"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Actividad de continuidad durante la ejecución del proyecto. Se detallan las fechas concretas de cada taller:</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23/04/2025: Taller “Conociendo el proyecto y a las participantes” (pautas sobre habilidades sociales en el trabajo en grupo).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02/06/2025: “Mis objetivos y mis habilidades”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16/06/2025: “Mis objetivos y las habilidades trasversales”.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03/09/2025: “Introducción a las habilidades sociales”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10/09/2025: “Resolución de conflictos”.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17/09/2025: “Comunicación efectiva: lenguaje verbal y no verbal”</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24/09/2025: “Relaciones interpersonales en el ámbito laboral y trabajo en equipo”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29/09/2025: “Comunicación eficaz”</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08/09/2025: “Nuevos medios de comunicación, mundo digital y riesgos asociados”.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13/10/2025: “Economía doméstica y consumo responsable”</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15/10/2025: “Hablar en público”.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05/11/2025: “Gestión del tiempo: procrastinación y ladrones del tiempo”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46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El aumento del número de talleres sobre habilidades sociales ha sido pertinente para mejorar la inserción sociolaboral de mujeres en contextos de prostitución, víctimas de trata y/o en situación de exclusión social, ya que estos colectivos enfrentan múltiples barreras derivadas de experiencias de violencia, estigmatización y falta de redes de apoyo. El desarrollo de competencias como la comunicación asertiva, las relaciones interpersonales en el trabajo y la resolución de conflictos, resulta clave para su acceso y permanencia en entornos laborales normalizados.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Ampliar la oferta de talleres ha permitido ofrecer un acompañamiento más continuado y adaptado a los distintos ritmos y necesidades de las participantes, para favorecer la construcción de proyectos de vida alternativos.</w:t>
            </w: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 xml:space="preserve">1.2.- Talleres grupales de intervención psico-educativa enfocadas en el crecimiento personal, que </w:t>
            </w:r>
            <w:r>
              <w:rPr>
                <w:rFonts w:ascii="Arial" w:eastAsia="NSimSun" w:hAnsi="Arial" w:cs="Arial"/>
                <w:kern w:val="3"/>
                <w:sz w:val="24"/>
                <w:szCs w:val="24"/>
                <w:lang w:eastAsia="zh-CN" w:bidi="hi-IN"/>
              </w:rPr>
              <w:lastRenderedPageBreak/>
              <w:t>incluyen actividades de autoconocimiento, fortalecimiento de actitudes y mejora de la autoestima.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534"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Actividad de continuidad durante la ejecución del proyecto. Se detallan las fechas concretas de cada taller:</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07/07/2025: “Autoestima”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11/08/2025: “Fotografía narrativa”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01/09/2025: “Confianza”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15/09/2025: “Los miedos”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27/10/2025: “Efecto de las imposiciones socioculturales sobre la mujer: salud y autoestima”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03/11/2025: “Sensibilización sobre el uso responsable de benzodiacepinas ”(en relación al taller anterior de salud y autoestima).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10/11/2025: “Autoestima y proceso de cambio”.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17/11/2025: “Yoga y slowlife”</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24/11/2025: “Me cuido. El cambio puede comenzar en mí”</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26/11/2025: “Encuentro de cierre y evaluación final del proyecto (qué me ha aportado)”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46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 xml:space="preserve">La realización de un mayor número de talleres grupales de intervención psicoeducativa resulta pertinente debido a las necesidades detectadas en las participantes, cuyas trayectorias vitales suelen estar marcadas por experiencias de vulnerabilidad, violencia y exclusión social. </w:t>
            </w:r>
            <w:r>
              <w:rPr>
                <w:rFonts w:ascii="Arial" w:eastAsia="NSimSun" w:hAnsi="Arial" w:cs="Arial"/>
                <w:kern w:val="3"/>
                <w:sz w:val="24"/>
                <w:szCs w:val="24"/>
                <w:lang w:eastAsia="zh-CN" w:bidi="hi-IN"/>
              </w:rPr>
              <w:lastRenderedPageBreak/>
              <w:t>Estos espacios orientados al crecimiento personal, el autoconocimiento, el fortalecimiento de actitudes y la mejora de la autoestima son fundamentales para favorecer procesos de recuperación emocional, los cuales han contribuido al bienestar psicosocial de las mujeres participantes. Uno de los talleres más valorados por las mujeres participantes en el encuentro de   evaluación fue el de yoga y slowlife, solicitando su continuidad.</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 xml:space="preserve">2.1.- Talleres de sensibilización </w:t>
            </w:r>
            <w:r>
              <w:rPr>
                <w:rFonts w:ascii="Arial" w:eastAsia="NSimSun" w:hAnsi="Arial" w:cs="Arial"/>
                <w:kern w:val="3"/>
                <w:sz w:val="24"/>
                <w:szCs w:val="24"/>
                <w:lang w:eastAsia="zh-CN" w:bidi="hi-IN"/>
              </w:rPr>
              <w:lastRenderedPageBreak/>
              <w:t>sobre la violencia de género y la promoción de relaciones basadas en la igualdad, el respeto mutuo y la comunicación efectiva, fomentando una visión de género equitativa.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2534"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 xml:space="preserve">Actividad de continuidad durante la </w:t>
            </w:r>
            <w:r>
              <w:rPr>
                <w:rFonts w:ascii="Arial" w:eastAsia="NSimSun" w:hAnsi="Arial" w:cs="Arial"/>
                <w:kern w:val="3"/>
                <w:sz w:val="24"/>
                <w:szCs w:val="24"/>
                <w:lang w:eastAsia="zh-CN" w:bidi="hi-IN"/>
              </w:rPr>
              <w:lastRenderedPageBreak/>
              <w:t>ejecución del proyecto. Se detallan las fechas concretas de cada taller:</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30/04/2025: “El abc del género: conociendo conceptos claves”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07/05/2025: “Deconstruyendo estereotipos sexistas y roles asociados al género”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21/05/2025: “La mujer a lo largo de la historia”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04/06/2025: “Cinefórum. El feminismo y empoderamiento femenino”.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11/06/2025: “Cierre, conclusiones y evaluación del bloque perspectiva de género”.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18/06/2025: “Violencia de género: el amor romántico y sus mitos”.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02/07/2025: “Relaciones sanas vs. Relaciones tóxicas”.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09/07/2025: “Violencia de género y sus formas”.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16/07/2025: “Recursos para la atención a la violencia de género en Gran Canaria”.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23/07/2025: “Cierre, conclusiones y evaluación del bloque violencia de género”.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04/08/2025: “Cineforum. Persépolis”.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c>
          <w:tcPr>
            <w:tcW w:w="46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 xml:space="preserve">La ampliación del número de talleres de sensibilización sobre violencia de género </w:t>
            </w:r>
            <w:r>
              <w:rPr>
                <w:rFonts w:ascii="Arial" w:eastAsia="NSimSun" w:hAnsi="Arial" w:cs="Arial"/>
                <w:kern w:val="3"/>
                <w:sz w:val="24"/>
                <w:szCs w:val="24"/>
                <w:lang w:eastAsia="zh-CN" w:bidi="hi-IN"/>
              </w:rPr>
              <w:lastRenderedPageBreak/>
              <w:t>dirigidos a mujeres en situación de prostitución, víctimas de trata y/o mujeres que han sufrido violencia de género en sus distintas manifestaciones, ha resultado especialmente pertinente debido a la elevada exposición que han experimentado estas mujeres a dinámicas de control, abuso y vulneración de derechos. Estos talleres les han permitido poder identificar y comprender las distintas formas de violencia, cuestionar la normalización del maltrato y promover modelos de relación basados en la igualdad, el respeto mutuo y la comunicación, desde un enfoque de género y de derechos.</w:t>
            </w:r>
          </w:p>
        </w:tc>
      </w:tr>
      <w:tr>
        <w:tc>
          <w:tcPr>
            <w:tcW w:w="2006"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3.1.- Espacios de capacitación para facilitar la mejora de la formación y la búsqueda activa de empleo, a través de orientación laboral que incluye la información sobre recursos formativos y de búsqueda de empleo disponibles, información sobre legislación de extranjería y formas de regularización, elaboración de currículums, preparación para entrevistas, uso de plataformas digitales y capacitación para su manejo, etc.</w:t>
            </w:r>
          </w:p>
        </w:tc>
        <w:tc>
          <w:tcPr>
            <w:tcW w:w="2534" w:type="dxa"/>
            <w:tcBorders>
              <w:left w:val="single" w:sz="2" w:space="0" w:color="000000"/>
              <w:bottom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Actividad de continuidad durante la ejecución del proyecto. Se detallan las fechas concretas de cada taller:</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21/04/2025: “Competencias digitales 1: iniciación Microsoft Word”.</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28/04/2025: “Competencias digitales 2: iniciación Excel”</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05/05/2025: “Mi primer paso al empleo I”.</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12/05/2025: “Competencias digitales 3: ciberseguridad”.</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13/05/2025: “Sistema educativo español y estudios que oferta la Fundación ECCA”.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19/05/2025: “Competencias Digitales 4: CV digital con Canva”.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02/06/2025: “Situación administrativa en España”.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23/06/2025: “Competencias digitales 5: trámites online y recursos sociales para el empleo”.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30/06/2025: “Curriculum vitae, autocandidatura y búsqueda de empleo I”.</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14/07/2025: “Curriculum vitae, autocandidatura y búsqueda de empleo II”.</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28/07/2025: “Presentación del Servicio Canario de Empleo”.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18/08/2025: “App Servicio Canario de Empleo”.</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06/10/2025: “Entrevista de selección I”.</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20/10/2025: “Derechos y obligaciones de la ciudadanía en España”.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22/10/2025: “Cl@ve móvil y firma electrónica”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29/10/2025: “Entrevista de selección II”.</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19/11/2025: “Elevator Pitch: cómo defender mi candidatura”.</w:t>
            </w:r>
          </w:p>
          <w:p>
            <w:pPr>
              <w:suppressAutoHyphens/>
              <w:autoSpaceDN w:val="0"/>
              <w:spacing w:after="0" w:line="240" w:lineRule="auto"/>
              <w:textAlignment w:val="baseline"/>
              <w:rPr>
                <w:rFonts w:ascii="Arial" w:eastAsia="NSimSun" w:hAnsi="Arial" w:cs="Arial"/>
                <w:kern w:val="3"/>
                <w:sz w:val="24"/>
                <w:szCs w:val="24"/>
                <w:lang w:eastAsia="zh-CN" w:bidi="hi-IN"/>
              </w:rPr>
            </w:pPr>
          </w:p>
        </w:tc>
        <w:tc>
          <w:tcPr>
            <w:tcW w:w="463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lastRenderedPageBreak/>
              <w:t>La ampliación de los espacios de capacitación orientados a la mejora de la formación y la búsqueda activa de empleo ha resultado pertinente sobre todo si se tiene en cuenta las características de las mujeres participantes en el proyecto, ya que suelen presentar desconocimiento de los recursos disponibles y dificultades derivadas de su situación administrativa y social. La orientación laboral individual y grupal, que ha incluido información sobre recursos formativos, legislación de extranjería y procesos de regularización, ha constituido información clave para reducir barreras de acceso al empleo y favorecer itinerarios de inserción sociolaboral futura.</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r>
              <w:rPr>
                <w:rFonts w:ascii="Arial" w:eastAsia="NSimSun" w:hAnsi="Arial" w:cs="Arial"/>
                <w:kern w:val="3"/>
                <w:sz w:val="24"/>
                <w:szCs w:val="24"/>
                <w:lang w:eastAsia="zh-CN" w:bidi="hi-IN"/>
              </w:rPr>
              <w:t>Se han reforzado competencias prácticas como la elaboración de currículums, la preparación de entrevistas y el uso de plataformas digitales de empleo, facilitando el desarrollo de la autonomía en la búsqueda de trabajo, a la vez que mejora la confianza de las mujeres en las propias capacidades.</w:t>
            </w:r>
          </w:p>
          <w:p>
            <w:pPr>
              <w:suppressLineNumbers/>
              <w:suppressAutoHyphens/>
              <w:autoSpaceDN w:val="0"/>
              <w:spacing w:after="0" w:line="240" w:lineRule="auto"/>
              <w:jc w:val="both"/>
              <w:textAlignment w:val="baseline"/>
              <w:rPr>
                <w:rFonts w:ascii="Arial" w:eastAsia="NSimSun" w:hAnsi="Arial" w:cs="Arial"/>
                <w:kern w:val="3"/>
                <w:sz w:val="24"/>
                <w:szCs w:val="24"/>
                <w:lang w:eastAsia="zh-CN" w:bidi="hi-IN"/>
              </w:rPr>
            </w:pPr>
          </w:p>
        </w:tc>
      </w:tr>
    </w:tbl>
    <w:p>
      <w:pPr>
        <w:suppressAutoHyphens/>
        <w:autoSpaceDN w:val="0"/>
        <w:spacing w:after="0" w:line="240" w:lineRule="auto"/>
        <w:jc w:val="both"/>
        <w:textAlignment w:val="baseline"/>
        <w:rPr>
          <w:rFonts w:ascii="Arial" w:eastAsia="SimSun" w:hAnsi="Arial" w:cs="Arial"/>
          <w:b/>
          <w:kern w:val="3"/>
          <w:sz w:val="24"/>
          <w:szCs w:val="24"/>
          <w:lang w:eastAsia="zh-CN" w:bidi="hi-IN"/>
        </w:rPr>
      </w:pPr>
    </w:p>
    <w:p>
      <w:pPr>
        <w:suppressAutoHyphens/>
        <w:autoSpaceDN w:val="0"/>
        <w:spacing w:after="0" w:line="240" w:lineRule="auto"/>
        <w:jc w:val="both"/>
        <w:textAlignment w:val="baseline"/>
        <w:rPr>
          <w:rFonts w:ascii="Arial" w:eastAsia="SimSun" w:hAnsi="Arial" w:cs="Arial"/>
          <w:b/>
          <w:kern w:val="3"/>
          <w:sz w:val="24"/>
          <w:szCs w:val="24"/>
          <w:lang w:eastAsia="zh-CN" w:bidi="hi-IN"/>
        </w:rPr>
      </w:pPr>
    </w:p>
    <w:p>
      <w:pPr>
        <w:spacing w:after="0" w:line="240" w:lineRule="auto"/>
        <w:jc w:val="both"/>
        <w:rPr>
          <w:rFonts w:ascii="Arial" w:eastAsia="Times New Roman" w:hAnsi="Arial" w:cs="Arial"/>
          <w:sz w:val="24"/>
          <w:szCs w:val="24"/>
        </w:rPr>
      </w:pPr>
    </w:p>
    <w:p>
      <w:pPr>
        <w:shd w:val="clear" w:color="auto" w:fill="B2A1C7" w:themeFill="accent4" w:themeFillTint="99"/>
        <w:suppressAutoHyphens/>
        <w:autoSpaceDN w:val="0"/>
        <w:spacing w:after="0" w:line="240" w:lineRule="auto"/>
        <w:jc w:val="both"/>
        <w:textAlignment w:val="baseline"/>
        <w:rPr>
          <w:rFonts w:ascii="Arial" w:eastAsia="SimSun" w:hAnsi="Arial" w:cs="Arial"/>
          <w:b/>
          <w:kern w:val="3"/>
          <w:sz w:val="24"/>
          <w:szCs w:val="24"/>
          <w:lang w:eastAsia="zh-CN" w:bidi="hi-IN"/>
        </w:rPr>
      </w:pPr>
      <w:r>
        <w:rPr>
          <w:rFonts w:ascii="Arial" w:eastAsia="SimSun" w:hAnsi="Arial" w:cs="Arial"/>
          <w:b/>
          <w:kern w:val="3"/>
          <w:sz w:val="24"/>
          <w:szCs w:val="24"/>
          <w:lang w:eastAsia="zh-CN" w:bidi="hi-IN"/>
        </w:rPr>
        <w:t>6.3.- VALORACIÓN DEL PROYECTO:</w:t>
      </w:r>
    </w:p>
    <w:p>
      <w:pPr>
        <w:suppressAutoHyphens/>
        <w:autoSpaceDN w:val="0"/>
        <w:spacing w:after="0" w:line="240" w:lineRule="auto"/>
        <w:jc w:val="both"/>
        <w:textAlignment w:val="baseline"/>
        <w:rPr>
          <w:rFonts w:ascii="Arial" w:eastAsia="Times New Roman" w:hAnsi="Arial" w:cs="Arial"/>
          <w:sz w:val="24"/>
          <w:szCs w:val="24"/>
        </w:rPr>
      </w:pPr>
    </w:p>
    <w:p>
      <w:pPr>
        <w:spacing w:line="360" w:lineRule="auto"/>
        <w:jc w:val="both"/>
        <w:rPr>
          <w:rFonts w:ascii="Arial" w:eastAsia="Times New Roman" w:hAnsi="Arial" w:cs="Arial"/>
          <w:sz w:val="24"/>
          <w:szCs w:val="24"/>
        </w:rPr>
      </w:pPr>
      <w:r>
        <w:rPr>
          <w:rFonts w:ascii="Arial" w:eastAsia="Times New Roman" w:hAnsi="Arial" w:cs="Arial"/>
          <w:sz w:val="24"/>
          <w:szCs w:val="24"/>
        </w:rPr>
        <w:t xml:space="preserve">El proyecto ha tenido como finalidad promover la igualdad y reducir los obstáculos que enfrentan mujeres en situación de múltiples vulnerabilidades, especialmente aquellas víctimas de trata, explotación sexual, en contexto de prostitución, violencia de género y/o en situación administrativa irregular. </w:t>
      </w:r>
    </w:p>
    <w:p>
      <w:pPr>
        <w:spacing w:line="360" w:lineRule="auto"/>
        <w:jc w:val="both"/>
        <w:rPr>
          <w:rFonts w:ascii="Arial" w:eastAsia="Times New Roman" w:hAnsi="Arial" w:cs="Arial"/>
          <w:sz w:val="24"/>
          <w:szCs w:val="24"/>
        </w:rPr>
      </w:pPr>
      <w:r>
        <w:rPr>
          <w:rFonts w:ascii="Arial" w:eastAsia="Times New Roman" w:hAnsi="Arial" w:cs="Arial"/>
          <w:sz w:val="24"/>
          <w:szCs w:val="24"/>
        </w:rPr>
        <w:t>Desde su inicio, la intervención se diseñó para dar respuesta a un perfil de mujeres que, por sus circunstancias personales y sociales, quedan habitualmente excluidas de otras acciones formativas del entorno. Para ello, se combinó el apoyo psicosocial grupal con el desarrollo de habilidades sociales y la formación en herramientas laborales, incorporando así mismo, formación sobre perspectiva de género y sobre distintas formas de violencia de género.</w:t>
      </w:r>
    </w:p>
    <w:p>
      <w:pPr>
        <w:spacing w:line="360" w:lineRule="auto"/>
        <w:jc w:val="both"/>
        <w:rPr>
          <w:rFonts w:ascii="Arial" w:eastAsia="Times New Roman" w:hAnsi="Arial" w:cs="Arial"/>
          <w:sz w:val="24"/>
          <w:szCs w:val="24"/>
        </w:rPr>
      </w:pPr>
      <w:r>
        <w:rPr>
          <w:rFonts w:ascii="Arial" w:eastAsia="Times New Roman" w:hAnsi="Arial" w:cs="Arial"/>
          <w:sz w:val="24"/>
          <w:szCs w:val="24"/>
        </w:rPr>
        <w:t xml:space="preserve">Durante la implementación del proyecto se tomó como decisión en el modelo de intervención, que se iba a optar por ampliar el acceso a un mayor número de mujeres participantes, aunque estas no conformaran un grupo estable desde el inicio, ya que muchas mujeres al conocer el proyecto a través de otras mujeres participantes, se mostraban interesadas en poder también participar. Se adoptó un sistema de incorporación flexible que permitió la entrada progresiva de mujeres en distintos momentos de la ejecución, constatando que eran acciones que de alguna manera le iban a beneficiar en sus procesos de integración social. Al mismo tiempo, algunas mujeres habían causado baja, bien por decisión personal o por dificultades para conciliar con su vida personal o por haber conseguido acceder a recursos formativos </w:t>
      </w:r>
      <w:r>
        <w:rPr>
          <w:rFonts w:ascii="Arial" w:eastAsia="Times New Roman" w:hAnsi="Arial" w:cs="Arial"/>
          <w:sz w:val="24"/>
          <w:szCs w:val="24"/>
        </w:rPr>
        <w:lastRenderedPageBreak/>
        <w:t xml:space="preserve">comunitarios o insertarse laboralmente, estas dos últimas propiciadas por el propio proyecto, al ofrecerles asesoramiento formativo, laboral e información sobre recursos y ofertas a las que podían acceder. </w:t>
      </w:r>
    </w:p>
    <w:p>
      <w:pPr>
        <w:spacing w:line="360" w:lineRule="auto"/>
        <w:jc w:val="both"/>
        <w:rPr>
          <w:rFonts w:ascii="Arial" w:eastAsia="Times New Roman" w:hAnsi="Arial" w:cs="Arial"/>
          <w:sz w:val="24"/>
          <w:szCs w:val="24"/>
        </w:rPr>
      </w:pPr>
      <w:r>
        <w:rPr>
          <w:rFonts w:ascii="Arial" w:eastAsia="Times New Roman" w:hAnsi="Arial" w:cs="Arial"/>
          <w:sz w:val="24"/>
          <w:szCs w:val="24"/>
        </w:rPr>
        <w:t xml:space="preserve">Asimismo, y como resultado del interés mostrado por las participantes y de las necesidades detectadas durante el desarrollo del proyecto, se amplió el número de talleres vinculados a la perspectiva de género y a la prevención de la violencia de género. Esta ampliación fue valorada de manera muy positiva, al evidenciarse un impacto significativo en los procesos de toma de conciencia y resignificación de experiencias vividas por parte de las mujeres. </w:t>
      </w:r>
    </w:p>
    <w:p>
      <w:pPr>
        <w:spacing w:line="360" w:lineRule="auto"/>
        <w:jc w:val="both"/>
        <w:rPr>
          <w:rFonts w:ascii="Arial" w:eastAsia="Times New Roman" w:hAnsi="Arial" w:cs="Arial"/>
          <w:sz w:val="24"/>
          <w:szCs w:val="24"/>
        </w:rPr>
      </w:pPr>
      <w:r>
        <w:rPr>
          <w:rFonts w:ascii="Arial" w:eastAsia="Times New Roman" w:hAnsi="Arial" w:cs="Arial"/>
          <w:sz w:val="24"/>
          <w:szCs w:val="24"/>
        </w:rPr>
        <w:t xml:space="preserve">El elevado número de acciones formativas desarrolladas (50 talleres) requirió una alta coordinación y flexibilidad organizativa, implicando activamente no sólo los recursos humanos propios del proyecto, sino también las distintas áreas del Programa en su planificación y ejecución, así como la participación en red de otras entidades que colaboraron en la impartición de algunos talleres impartidos en nuestra entidad, acordes a los objetivos y temáticas previstas. </w:t>
      </w:r>
    </w:p>
    <w:p>
      <w:pPr>
        <w:spacing w:line="360" w:lineRule="auto"/>
        <w:jc w:val="both"/>
        <w:rPr>
          <w:rFonts w:ascii="Arial" w:eastAsia="Times New Roman" w:hAnsi="Arial" w:cs="Arial"/>
          <w:sz w:val="24"/>
          <w:szCs w:val="24"/>
        </w:rPr>
      </w:pPr>
      <w:r>
        <w:rPr>
          <w:rFonts w:ascii="Arial" w:eastAsia="Times New Roman" w:hAnsi="Arial" w:cs="Arial"/>
          <w:sz w:val="24"/>
          <w:szCs w:val="24"/>
        </w:rPr>
        <w:t>El proyecto ha contado con una acogida muy positiva por parte de la población destinataria. A lo largo de su ejecución participaron un total de 21 mujeres, con una media de permanencia aproximada de tres meses, teniendo en cuenta que algunas se incorporaron en los últimos meses como resultado del modelo de intervención abierto. La estabilidad en la participación supuso uno de los principales retos, debido a las circunstancias vitales de las mujeres, marcadas por la alta movilidad geográfica, la asunción en solitario de responsabilidades familiares y, en dos casos, la presencia de problemas de salud.</w:t>
      </w:r>
    </w:p>
    <w:p>
      <w:pPr>
        <w:spacing w:line="360" w:lineRule="auto"/>
        <w:jc w:val="both"/>
        <w:rPr>
          <w:rFonts w:ascii="Arial" w:eastAsia="Times New Roman" w:hAnsi="Arial" w:cs="Arial"/>
          <w:sz w:val="24"/>
          <w:szCs w:val="24"/>
        </w:rPr>
      </w:pPr>
      <w:r>
        <w:rPr>
          <w:rFonts w:ascii="Arial" w:eastAsia="Times New Roman" w:hAnsi="Arial" w:cs="Arial"/>
          <w:sz w:val="24"/>
          <w:szCs w:val="24"/>
        </w:rPr>
        <w:t xml:space="preserve">Pese a estas incidencias, los resultados obtenidos reflejan un impacto positivo del proyecto, ya que, como consecuencia del mismo, trece mujeres iniciaron un proceso de intervención psicoterapéutica individual, tres participantes accedieron a formaciones externas y cuatro lograron incorporarse al mercado laboral, tres de ellas mediante contrato de trabajo, a pesar de las limitaciones administrativas existentes en muchos de los casos. Más allá de los datos cuantitativos, en el último encuentro evaluativo </w:t>
      </w:r>
      <w:r>
        <w:rPr>
          <w:rFonts w:ascii="Arial" w:eastAsia="Times New Roman" w:hAnsi="Arial" w:cs="Arial"/>
          <w:sz w:val="24"/>
          <w:szCs w:val="24"/>
        </w:rPr>
        <w:lastRenderedPageBreak/>
        <w:t>realizado con las mujeres, éstas valoraron, además de la formación recibida y el conocimiento adquirido sobre derechos y recursos, el haber generado espacios de confianza, apoyo y participación activa, animándoles a creer en sus posibilidades y a seguir avanzando en sus procesos.</w:t>
      </w:r>
    </w:p>
    <w:p>
      <w:pPr>
        <w:spacing w:line="360" w:lineRule="auto"/>
        <w:jc w:val="both"/>
        <w:rPr>
          <w:rFonts w:ascii="Arial" w:eastAsia="Times New Roman" w:hAnsi="Arial" w:cs="Arial"/>
          <w:sz w:val="24"/>
          <w:szCs w:val="24"/>
        </w:rPr>
      </w:pPr>
    </w:p>
    <w:p>
      <w:pPr>
        <w:spacing w:line="360" w:lineRule="auto"/>
        <w:jc w:val="both"/>
        <w:rPr>
          <w:rFonts w:ascii="Arial" w:eastAsia="Times New Roman" w:hAnsi="Arial" w:cs="Arial"/>
          <w:sz w:val="24"/>
          <w:szCs w:val="24"/>
        </w:rPr>
      </w:pPr>
    </w:p>
    <w:p>
      <w:pPr>
        <w:spacing w:line="360" w:lineRule="auto"/>
        <w:jc w:val="both"/>
        <w:rPr>
          <w:rFonts w:ascii="Arial" w:eastAsia="Times New Roman" w:hAnsi="Arial" w:cs="Arial"/>
          <w:sz w:val="24"/>
          <w:szCs w:val="24"/>
        </w:rPr>
      </w:pPr>
      <w:r>
        <w:rPr>
          <w:rFonts w:ascii="Arial" w:eastAsia="Times New Roman" w:hAnsi="Arial" w:cs="Arial"/>
          <w:b/>
          <w:sz w:val="24"/>
          <w:szCs w:val="24"/>
          <w:u w:val="single"/>
        </w:rPr>
        <w:t>Conclusiones</w:t>
      </w:r>
      <w:r>
        <w:rPr>
          <w:rFonts w:ascii="Arial" w:eastAsia="Times New Roman" w:hAnsi="Arial" w:cs="Arial"/>
          <w:sz w:val="24"/>
          <w:szCs w:val="24"/>
        </w:rPr>
        <w:t>:</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El desarrollo del proyecto ha puesto de relieve la importancia de una intervención integral y centrada en las necesidades específicas de veintiuna mujeres en situación de vulnerabilidad social tan específica como la que atañe a mujeres en contexto de prostitución y víctimas de trata. La combinación de apoyo socio educativo, talleres de empoderamiento y formación laboral ha permitido generar avances significativos en la autoestima, el bienestar emocional y la capacidad de las participantes para reconocer y potenciar sus habilidades personales y profesionales. Igualmente, la creación de espacios seguros y de confianza ha favorecido la participación activa, el intercambio de experiencias y la construcción de redes de apoyo entre las propias mujeres participantes, contribuyendo a su integración social y personal.</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La flexibilidad en la incorporación de nuevas participantes y la adaptación de los contenidos y ritmos de las actividades a las circunstancias individuales, así como facilitar ayudas o incentivos a la participación a las mujeres con especiales dificultades, han sido claves para asegurar la accesibilidad del proyecto y su impacto real. Esta estrategia ha permitido atender a mujeres que, por su situación administrativa, responsabilidades familiares o experiencias de vulnerabilidad, suelen quedar excluidas de otros programas formativos. Entre los logros más relevantes se encuentran la decisión de trece de las participantes de iniciar procesos de acompañamiento psicoterapéutico individual, la continuidad en itinerarios formativos y la incorporación al mercado laboral de algunas beneficiarias, resultados que evidencian la efectividad del proyecto. Además, la sensibilización sobre igualdad de género y violencia de género ha </w:t>
      </w:r>
      <w:r>
        <w:rPr>
          <w:rFonts w:ascii="Arial" w:eastAsia="Times New Roman" w:hAnsi="Arial" w:cs="Arial"/>
          <w:sz w:val="24"/>
          <w:szCs w:val="24"/>
        </w:rPr>
        <w:lastRenderedPageBreak/>
        <w:t>contribuido a un cambio de percepción y a la toma de conciencia sobre derechos, relaciones de poder y oportunidades, fortaleciendo la autonomía de estas mujeres.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De cara al futuro, se propone consolidar la metodología flexible y la atención integral, incorporando el seguimiento que permitan dar continuidad a los avances logrados y reforzar el acompañamiento en los procesos de inserción laboral y social. También de cara al futuro es importante fortalecer las colaboraciones externas con entidades formativas y laborales, así como ampliar los talleres y acciones de sensibilización en igualdad de género, para mantener el impacto y prevención de violencia.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Las mujeres participantes, más allá de la formación recibida, han manifestado sentirse en un lugar seguro, acompañadas, escuchadas, donde se ha ido consolidando el vínculo de confianza, entre ellas y hacia las profesionales.</w:t>
      </w:r>
    </w:p>
    <w:p>
      <w:pPr>
        <w:spacing w:line="360" w:lineRule="auto"/>
        <w:jc w:val="both"/>
        <w:rPr>
          <w:rFonts w:ascii="Arial" w:eastAsia="Times New Roman" w:hAnsi="Arial" w:cs="Arial"/>
          <w:sz w:val="24"/>
          <w:szCs w:val="24"/>
        </w:rPr>
      </w:pPr>
    </w:p>
    <w:p>
      <w:pPr>
        <w:shd w:val="clear" w:color="auto" w:fill="365F91" w:themeFill="accent1" w:themeFillShade="BF"/>
        <w:jc w:val="both"/>
        <w:rPr>
          <w:rFonts w:ascii="Arial" w:eastAsiaTheme="minorHAnsi" w:hAnsi="Arial" w:cs="Arial"/>
          <w:b/>
          <w:color w:val="FFFFFF" w:themeColor="background1"/>
          <w:sz w:val="24"/>
          <w:szCs w:val="24"/>
        </w:rPr>
      </w:pPr>
      <w:r>
        <w:rPr>
          <w:rFonts w:asciiTheme="minorHAnsi" w:eastAsiaTheme="minorHAnsi" w:hAnsiTheme="minorHAnsi" w:cstheme="minorBidi"/>
          <w:b/>
          <w:color w:val="FFFFFF" w:themeColor="background1"/>
          <w:sz w:val="28"/>
          <w:szCs w:val="28"/>
        </w:rPr>
        <w:t>7</w:t>
      </w:r>
      <w:r>
        <w:rPr>
          <w:rFonts w:ascii="Arial" w:eastAsiaTheme="minorHAnsi" w:hAnsi="Arial" w:cs="Arial"/>
          <w:b/>
          <w:color w:val="FFFFFF" w:themeColor="background1"/>
          <w:sz w:val="24"/>
          <w:szCs w:val="24"/>
        </w:rPr>
        <w:t>.- PROGRAMA DE FORMACIÓN CON COMPROMISO DE CONTRATACIÓN E INSERCIÓN PARA MUJERES VÍCTIMAS DE TRATA Y EXPLOTACIÓN SEXUAL “ABRIENDO PUERTAS, ABRIENDO OPORTUNIDADES”:</w:t>
      </w:r>
    </w:p>
    <w:p>
      <w:pPr>
        <w:spacing w:after="0" w:line="360" w:lineRule="auto"/>
        <w:jc w:val="both"/>
        <w:rPr>
          <w:rFonts w:ascii="Arial" w:hAnsi="Arial" w:cs="Arial"/>
          <w:sz w:val="24"/>
          <w:szCs w:val="24"/>
        </w:rPr>
      </w:pPr>
      <w:r>
        <w:rPr>
          <w:rFonts w:ascii="Arial" w:hAnsi="Arial" w:cs="Arial"/>
          <w:sz w:val="24"/>
          <w:szCs w:val="24"/>
        </w:rPr>
        <w:t>Este proyecto se encuadra en el Convenio de Colaboración entre el Servicio Canario de Empleo y la Congregación Oblatas del Santísimo Redentor en Las Palmas.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El presente convenio pretende desarrollarse a través de un programa de formación e inserción para mujeres víctimas de violencia de género o de trata y explotación sexual, y se guía por los principios rectores y derechos reconocidos en la ley 15/2022, de 12 de julio, integral para la igualdad de trato y la no discriminación, y en la ley 2/2021, de 7 de julio, de igualdad social y no discriminación por razón de identidad de género, expresión y características sexuales.</w:t>
      </w:r>
    </w:p>
    <w:p>
      <w:pPr>
        <w:spacing w:after="0" w:line="360" w:lineRule="auto"/>
        <w:jc w:val="both"/>
        <w:rPr>
          <w:rFonts w:ascii="Arial" w:hAnsi="Arial" w:cs="Arial"/>
          <w:sz w:val="24"/>
          <w:szCs w:val="24"/>
        </w:rPr>
      </w:pPr>
    </w:p>
    <w:p>
      <w:pPr>
        <w:shd w:val="clear" w:color="auto" w:fill="B2A1C7" w:themeFill="accent4" w:themeFillTint="99"/>
        <w:spacing w:after="160" w:line="360" w:lineRule="auto"/>
        <w:rPr>
          <w:b/>
          <w:sz w:val="24"/>
          <w:szCs w:val="24"/>
        </w:rPr>
      </w:pPr>
      <w:r>
        <w:rPr>
          <w:b/>
          <w:sz w:val="24"/>
          <w:szCs w:val="24"/>
        </w:rPr>
        <w:t>7.1.-OBJETIVOS DEL PROYECTO</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lastRenderedPageBreak/>
        <w:t>El objetivo general del proyecto es la inserción laboral de las mujeres participantes, víctimas de trata con fines de explotación sexual o en contextos de prostitución, mediante la consecución de empleo, lo cual les permite alejarse de entornos de explotación y vulneración de derechos, facilitando la autonomía económica y personal. Este objetivo se alcanza aportando alternativas de vida a las mujeres participantes y proporcionando entornos de cuidado, donde poder desarrollar acciones formativas profesionalizantes que puedan mejorar su cualificación y su empleabilidad.</w:t>
      </w:r>
    </w:p>
    <w:p>
      <w:pPr>
        <w:spacing w:after="0" w:line="360" w:lineRule="auto"/>
        <w:jc w:val="both"/>
        <w:rPr>
          <w:rFonts w:ascii="Arial" w:hAnsi="Arial" w:cs="Arial"/>
          <w:sz w:val="24"/>
          <w:szCs w:val="24"/>
        </w:rPr>
      </w:pPr>
      <w:r>
        <w:rPr>
          <w:rFonts w:ascii="Arial" w:hAnsi="Arial" w:cs="Arial"/>
          <w:sz w:val="24"/>
          <w:szCs w:val="24"/>
        </w:rPr>
        <w:t>El proyecto se diseña y se presupuesta para poder acompañar y becar a un total de 8 mujeres a lo largo de los 12 meses previstos inicialmente de duración del proyecto, percibiendo una beca durante los seis meses que dura la formación y las prácticas.</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Por otra parte, el proyecto también pretende a través de la intermediación con empresas mediante un trabajo de prospección laboral, realizar labores de sensibilización ante estas realidades, establecer posibles acuerdos de colaboración, favorecer la realización de prácticas y/o contratación, entre otras. </w:t>
      </w:r>
    </w:p>
    <w:p>
      <w:pPr>
        <w:spacing w:after="0" w:line="360" w:lineRule="auto"/>
        <w:jc w:val="both"/>
        <w:rPr>
          <w:rFonts w:ascii="Arial" w:hAnsi="Arial" w:cs="Arial"/>
          <w:sz w:val="24"/>
          <w:szCs w:val="24"/>
        </w:rPr>
      </w:pPr>
    </w:p>
    <w:p>
      <w:pPr>
        <w:spacing w:after="0" w:line="360" w:lineRule="auto"/>
        <w:jc w:val="both"/>
        <w:rPr>
          <w:rFonts w:ascii="Arial" w:hAnsi="Arial" w:cs="Arial"/>
          <w:sz w:val="24"/>
          <w:szCs w:val="24"/>
        </w:rPr>
      </w:pPr>
      <w:r>
        <w:rPr>
          <w:rFonts w:ascii="Arial" w:hAnsi="Arial" w:cs="Arial"/>
          <w:sz w:val="24"/>
          <w:szCs w:val="24"/>
        </w:rPr>
        <w:t xml:space="preserve">Se pretende favorecer la integración social y laboral de las mujeres destinatarias del proyecto, teniendo en cuenta tanto las necesidades específicas de cada mujer, como su punto de partida mediante la atención personalizada, realizando itinerarios integrados de inserción social y laboral y promoviendo su inserción laboral en puestos de trabajo vacantes con los que se haya pactado el correspondiente compromiso de contratación. </w:t>
      </w:r>
    </w:p>
    <w:p>
      <w:pPr>
        <w:spacing w:after="160" w:line="259" w:lineRule="auto"/>
        <w:jc w:val="both"/>
      </w:pPr>
    </w:p>
    <w:p>
      <w:pPr>
        <w:shd w:val="clear" w:color="auto" w:fill="B2A1C7" w:themeFill="accent4" w:themeFillTint="99"/>
        <w:spacing w:after="160" w:line="259" w:lineRule="auto"/>
        <w:jc w:val="both"/>
        <w:rPr>
          <w:rFonts w:ascii="Arial" w:hAnsi="Arial" w:cs="Arial"/>
          <w:b/>
          <w:sz w:val="24"/>
          <w:szCs w:val="24"/>
        </w:rPr>
      </w:pPr>
      <w:r>
        <w:rPr>
          <w:rFonts w:ascii="Arial" w:hAnsi="Arial" w:cs="Arial"/>
          <w:b/>
          <w:sz w:val="24"/>
          <w:szCs w:val="24"/>
        </w:rPr>
        <w:t>7.2.- RESULTADOS OBTENIDOS POR FASES:</w:t>
      </w:r>
    </w:p>
    <w:p>
      <w:pPr>
        <w:tabs>
          <w:tab w:val="right" w:leader="dot" w:pos="8494"/>
        </w:tabs>
        <w:spacing w:after="0" w:line="360" w:lineRule="auto"/>
        <w:jc w:val="both"/>
        <w:rPr>
          <w:rFonts w:ascii="Arial" w:eastAsia="Times New Roman" w:hAnsi="Arial" w:cs="Arial"/>
          <w:b/>
          <w:noProof/>
          <w:color w:val="000000"/>
          <w:sz w:val="24"/>
          <w:szCs w:val="24"/>
          <w:u w:val="single"/>
        </w:rPr>
      </w:pPr>
    </w:p>
    <w:p>
      <w:pPr>
        <w:tabs>
          <w:tab w:val="right" w:leader="dot" w:pos="8494"/>
        </w:tabs>
        <w:spacing w:after="0" w:line="360" w:lineRule="auto"/>
        <w:jc w:val="both"/>
        <w:rPr>
          <w:rFonts w:ascii="Arial" w:eastAsia="Times New Roman" w:hAnsi="Arial" w:cs="Arial"/>
          <w:b/>
          <w:noProof/>
          <w:color w:val="000000"/>
          <w:sz w:val="24"/>
          <w:szCs w:val="24"/>
          <w:u w:val="single"/>
        </w:rPr>
      </w:pPr>
      <w:r>
        <w:rPr>
          <w:rFonts w:ascii="Arial" w:eastAsia="Times New Roman" w:hAnsi="Arial" w:cs="Arial"/>
          <w:b/>
          <w:noProof/>
          <w:color w:val="000000"/>
          <w:sz w:val="24"/>
          <w:szCs w:val="24"/>
          <w:u w:val="single"/>
        </w:rPr>
        <w:t>FASE A:</w:t>
      </w:r>
    </w:p>
    <w:p>
      <w:pPr>
        <w:tabs>
          <w:tab w:val="right" w:leader="dot" w:pos="8494"/>
        </w:tabs>
        <w:spacing w:after="0" w:line="36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t xml:space="preserve">Esta fase tiene el propósito de la acogida, diagnóstico y desarrollo del itinerario personalizado de inserción. Durante la misma, una vez seleccionadas las 8 participantes que cumplen con los requisitos exigidos para formar parte del proyecto, se lleva a cabo un proceso de intervención para el refuerzo de las habilidades personales, sociales y las competencias profesionales básicas. </w:t>
      </w:r>
    </w:p>
    <w:p>
      <w:pPr>
        <w:tabs>
          <w:tab w:val="right" w:leader="dot" w:pos="8494"/>
        </w:tabs>
        <w:spacing w:after="0" w:line="360" w:lineRule="auto"/>
        <w:jc w:val="both"/>
        <w:rPr>
          <w:rFonts w:ascii="Arial" w:eastAsia="Times New Roman" w:hAnsi="Arial" w:cs="Arial"/>
          <w:noProof/>
          <w:color w:val="000000"/>
          <w:sz w:val="24"/>
          <w:szCs w:val="24"/>
        </w:rPr>
      </w:pPr>
    </w:p>
    <w:p>
      <w:pPr>
        <w:tabs>
          <w:tab w:val="right" w:leader="dot" w:pos="8494"/>
        </w:tabs>
        <w:spacing w:after="0" w:line="36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t>Se  establece el perfil social, profesional y laboral de las mujeres participantes, a partir de un diagnóstico y seguimiento individualizado, centrado en la detección de necesidades, capacidades, motivaciones, inquietudes y potencialidades. Asimismo, se construyen conjuntamente, itinerarios personales e integrados de acciones de orientación, asesoramiento y formación ajustada al perfil de empleabilidad de cada mujer.</w:t>
      </w:r>
    </w:p>
    <w:p>
      <w:pPr>
        <w:tabs>
          <w:tab w:val="right" w:leader="dot" w:pos="8494"/>
        </w:tabs>
        <w:spacing w:after="0" w:line="36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t>La Fase A está estructurada combinando acciones individuales y grupales. La entrevista, acogida, diagnóstico y orientación se corresponden con los seguimientos individuales y, a nivel grupal, se realizan distintas formaciones y talleres orientados a potenciar competencias y habilidades psico-sociales y profesionales y mejorar el empoderamiento, autoestima y la empleabilidad.</w:t>
      </w:r>
    </w:p>
    <w:p>
      <w:pPr>
        <w:tabs>
          <w:tab w:val="right" w:leader="dot" w:pos="8494"/>
        </w:tabs>
        <w:spacing w:after="0" w:line="360" w:lineRule="auto"/>
        <w:jc w:val="both"/>
        <w:rPr>
          <w:rFonts w:ascii="Arial" w:eastAsia="Times New Roman" w:hAnsi="Arial" w:cs="Arial"/>
          <w:noProof/>
          <w:color w:val="000000"/>
          <w:sz w:val="24"/>
          <w:szCs w:val="24"/>
        </w:rPr>
      </w:pPr>
    </w:p>
    <w:p>
      <w:pPr>
        <w:tabs>
          <w:tab w:val="right" w:leader="dot" w:pos="8494"/>
        </w:tabs>
        <w:spacing w:after="0" w:line="36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t xml:space="preserve">Una vez finalizada la fase de selección de las participantes, junto con la realización de la entrevista inicial y la firma de la documentación correspondiente, se convoca una reunión general de carácter informativo y de planificación. En este encuentro se presenta el cronograma grupal que servirá de guía para el desarrollo de los talleres orientados a la adquisición y/o consolidación de competencias personales y sociales, así como las diversas sesiones que componen el taller de alfabetización digital. Además, el equipo técnico propone un taller complementario centrado en proporcionar herramientas de fortalecimiento psicológico.  Las participantes son convocadas y se realiza el registro de firmas de asistencia pertinente en cada una de las acciones realizadas, bien sea de carácter grupal como individual.  </w:t>
      </w:r>
    </w:p>
    <w:p>
      <w:pPr>
        <w:tabs>
          <w:tab w:val="right" w:leader="dot" w:pos="8494"/>
        </w:tabs>
        <w:spacing w:after="0" w:line="360" w:lineRule="auto"/>
        <w:jc w:val="both"/>
        <w:rPr>
          <w:rFonts w:ascii="Arial" w:eastAsia="Times New Roman" w:hAnsi="Arial" w:cs="Arial"/>
          <w:noProof/>
          <w:color w:val="000000"/>
          <w:sz w:val="24"/>
          <w:szCs w:val="24"/>
        </w:rPr>
      </w:pPr>
    </w:p>
    <w:p>
      <w:pPr>
        <w:tabs>
          <w:tab w:val="right" w:leader="dot" w:pos="8494"/>
        </w:tabs>
        <w:spacing w:after="0" w:line="36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t>Los objetivos planteados para el desarrollo de la formación  son los siguientes:</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Adquirir y/o mejorar las habilidades sociales.</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Adquirir y/o mejorar habilidades para el aprendizaje.</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Motivar ante el empleo.</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Reforzar la autoconfianza.</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Reforzar las competencias profesionales básicas.</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lastRenderedPageBreak/>
        <w:t>Mejorar el conocimiento y uso de las TIC (Tecnologías de la Información y la Comunicación): Alfabetización digital.</w:t>
      </w:r>
    </w:p>
    <w:p>
      <w:pPr>
        <w:numPr>
          <w:ilvl w:val="0"/>
          <w:numId w:val="128"/>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Conocer y poner en práctica la gestión del tiempo.</w:t>
      </w:r>
    </w:p>
    <w:p>
      <w:pPr>
        <w:spacing w:after="160" w:line="360" w:lineRule="auto"/>
        <w:ind w:left="1068"/>
        <w:contextualSpacing/>
        <w:jc w:val="both"/>
        <w:rPr>
          <w:rFonts w:ascii="Arial" w:eastAsia="Times New Roman" w:hAnsi="Arial" w:cs="Arial"/>
          <w:sz w:val="24"/>
          <w:szCs w:val="24"/>
        </w:rPr>
      </w:pPr>
    </w:p>
    <w:p>
      <w:pPr>
        <w:tabs>
          <w:tab w:val="right" w:leader="dot" w:pos="8494"/>
        </w:tabs>
        <w:spacing w:after="0" w:line="36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t>A modo de resumen, se especifica las acciones en la fase A con las mujeres participantes del proyecto y el objetivo de las mismas:</w:t>
      </w:r>
    </w:p>
    <w:p>
      <w:pPr>
        <w:tabs>
          <w:tab w:val="right" w:leader="dot" w:pos="8494"/>
        </w:tabs>
        <w:spacing w:after="0" w:line="360" w:lineRule="auto"/>
        <w:jc w:val="both"/>
        <w:rPr>
          <w:rFonts w:ascii="Arial" w:eastAsia="Times New Roman" w:hAnsi="Arial" w:cs="Arial"/>
          <w:noProof/>
          <w:color w:val="000000"/>
          <w:sz w:val="24"/>
          <w:szCs w:val="24"/>
        </w:rPr>
      </w:pPr>
    </w:p>
    <w:p>
      <w:pPr>
        <w:numPr>
          <w:ilvl w:val="0"/>
          <w:numId w:val="126"/>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Acción 11M - Entrevista inicial/de clasificación: conocer y establecer idoneidad para participación en el proyecto</w:t>
      </w:r>
    </w:p>
    <w:p>
      <w:pPr>
        <w:numPr>
          <w:ilvl w:val="0"/>
          <w:numId w:val="126"/>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Acción 130 - Presentación de Servicios del Servicio Canario de Empleo: dar a conocer los recursos de esta materia.</w:t>
      </w:r>
    </w:p>
    <w:p>
      <w:pPr>
        <w:numPr>
          <w:ilvl w:val="0"/>
          <w:numId w:val="126"/>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Acción 113 - Diseño del itinerario formativo: establecer un plan personalizado para mejorar la empleabilidad</w:t>
      </w:r>
    </w:p>
    <w:p>
      <w:pPr>
        <w:numPr>
          <w:ilvl w:val="0"/>
          <w:numId w:val="127"/>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Acción 114: Seguimiento del Itinerario: acompañar y reforzar en el proceso formativo y de inserción.</w:t>
      </w:r>
    </w:p>
    <w:p>
      <w:pPr>
        <w:spacing w:after="160" w:line="360" w:lineRule="auto"/>
        <w:ind w:left="720"/>
        <w:contextualSpacing/>
        <w:jc w:val="both"/>
        <w:rPr>
          <w:rFonts w:ascii="Arial" w:eastAsia="Times New Roman" w:hAnsi="Arial" w:cs="Arial"/>
          <w:color w:val="000000"/>
          <w:sz w:val="24"/>
          <w:szCs w:val="24"/>
        </w:rPr>
      </w:pPr>
    </w:p>
    <w:p>
      <w:pPr>
        <w:keepNext/>
        <w:keepLines/>
        <w:spacing w:before="320" w:after="80" w:line="360" w:lineRule="auto"/>
        <w:jc w:val="center"/>
        <w:outlineLvl w:val="0"/>
        <w:rPr>
          <w:rFonts w:ascii="Arial" w:eastAsia="Times New Roman" w:hAnsi="Arial" w:cs="Arial"/>
          <w:b/>
          <w:sz w:val="24"/>
          <w:szCs w:val="24"/>
        </w:rPr>
      </w:pPr>
      <w:bookmarkStart w:id="2" w:name="_Toc122501662"/>
      <w:r>
        <w:rPr>
          <w:rFonts w:ascii="Arial" w:eastAsia="Times New Roman" w:hAnsi="Arial" w:cs="Arial"/>
          <w:b/>
          <w:sz w:val="24"/>
          <w:szCs w:val="24"/>
        </w:rPr>
        <w:t xml:space="preserve">Acciones formativas y </w:t>
      </w:r>
      <w:bookmarkEnd w:id="2"/>
      <w:r>
        <w:rPr>
          <w:rFonts w:ascii="Arial" w:eastAsia="Times New Roman" w:hAnsi="Arial" w:cs="Arial"/>
          <w:b/>
          <w:sz w:val="24"/>
          <w:szCs w:val="24"/>
        </w:rPr>
        <w:t>Contenidos</w:t>
      </w:r>
    </w:p>
    <w:p>
      <w:pPr>
        <w:spacing w:after="160" w:line="360" w:lineRule="auto"/>
        <w:jc w:val="both"/>
        <w:rPr>
          <w:rFonts w:ascii="Arial" w:eastAsia="Times New Roman" w:hAnsi="Arial" w:cs="Arial"/>
          <w:sz w:val="24"/>
          <w:szCs w:val="24"/>
        </w:rPr>
      </w:pPr>
      <w:r>
        <w:rPr>
          <w:rFonts w:ascii="Arial" w:eastAsia="Times New Roman" w:hAnsi="Arial" w:cs="Arial"/>
          <w:sz w:val="24"/>
          <w:szCs w:val="24"/>
        </w:rPr>
        <w:t>Los objetivos de las acciones de formación de especialidad propia realizadas, creados y estructurados específicamente para el marco del proyecto, se detallan en el cuadro siguiente:</w:t>
      </w:r>
    </w:p>
    <w:tbl>
      <w:tblPr>
        <w:tblStyle w:val="Listaclara-nfasis113"/>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103"/>
      </w:tblGrid>
      <w:tr>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823" w:type="dxa"/>
            <w:shd w:val="clear" w:color="auto" w:fill="8EAADB"/>
          </w:tcPr>
          <w:p>
            <w:pPr>
              <w:spacing w:after="0" w:line="240" w:lineRule="auto"/>
              <w:contextualSpacing/>
              <w:rPr>
                <w:rFonts w:ascii="Arial" w:hAnsi="Arial" w:cs="Arial"/>
                <w:color w:val="000000"/>
                <w:sz w:val="18"/>
                <w:szCs w:val="18"/>
              </w:rPr>
            </w:pPr>
            <w:r>
              <w:rPr>
                <w:rFonts w:ascii="Arial" w:hAnsi="Arial" w:cs="Arial"/>
                <w:color w:val="000000"/>
                <w:sz w:val="18"/>
                <w:szCs w:val="18"/>
              </w:rPr>
              <w:t>TALLERER FORMACIÓN/ORIENTACIÓN</w:t>
            </w:r>
          </w:p>
        </w:tc>
        <w:tc>
          <w:tcPr>
            <w:tcW w:w="5103" w:type="dxa"/>
            <w:shd w:val="clear" w:color="auto" w:fill="8EAADB"/>
          </w:tcPr>
          <w:p>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CONTENIDOS</w:t>
            </w:r>
          </w:p>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p>
        </w:tc>
      </w:tr>
      <w:tr>
        <w:trPr>
          <w:cnfStyle w:val="000000100000" w:firstRow="0" w:lastRow="0" w:firstColumn="0" w:lastColumn="0" w:oddVBand="0" w:evenVBand="0" w:oddHBand="1" w:evenHBand="0" w:firstRowFirstColumn="0" w:firstRowLastColumn="0" w:lastRowFirstColumn="0" w:lastRowLastColumn="0"/>
          <w:trHeight w:val="1329"/>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 xml:space="preserve">Alfabetización Digital 1: Ofimática básica y Word. </w:t>
            </w:r>
          </w:p>
        </w:tc>
        <w:tc>
          <w:tcPr>
            <w:tcW w:w="5103" w:type="dxa"/>
          </w:tcPr>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Entorno Office.</w:t>
            </w:r>
          </w:p>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Microsoft Word. </w:t>
            </w:r>
          </w:p>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Herramientas básicas.</w:t>
            </w:r>
          </w:p>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Creación de tablas.</w:t>
            </w:r>
          </w:p>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Numeración y viñetas.</w:t>
            </w:r>
          </w:p>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Inserción de imágenes.</w:t>
            </w:r>
          </w:p>
          <w:p>
            <w:pPr>
              <w:numPr>
                <w:ilvl w:val="0"/>
                <w:numId w:val="4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Impresión de documentos.</w:t>
            </w:r>
          </w:p>
        </w:tc>
      </w:tr>
      <w:tr>
        <w:trPr>
          <w:trHeight w:val="92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Alfabetización Digital. 2: Ciberseguridad, internet y correo.</w:t>
            </w:r>
          </w:p>
        </w:tc>
        <w:tc>
          <w:tcPr>
            <w:tcW w:w="5103" w:type="dxa"/>
          </w:tcPr>
          <w:p>
            <w:pPr>
              <w:numPr>
                <w:ilvl w:val="0"/>
                <w:numId w:val="45"/>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Correo electrónico.</w:t>
            </w:r>
          </w:p>
          <w:p>
            <w:pPr>
              <w:numPr>
                <w:ilvl w:val="0"/>
                <w:numId w:val="45"/>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Trabajar en la nube.</w:t>
            </w:r>
          </w:p>
          <w:p>
            <w:pPr>
              <w:numPr>
                <w:ilvl w:val="0"/>
                <w:numId w:val="45"/>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Ciberseguridad.</w:t>
            </w:r>
          </w:p>
        </w:tc>
      </w:tr>
      <w:tr>
        <w:trPr>
          <w:cnfStyle w:val="000000100000" w:firstRow="0" w:lastRow="0" w:firstColumn="0" w:lastColumn="0" w:oddVBand="0" w:evenVBand="0" w:oddHBand="1" w:evenHBand="0" w:firstRowFirstColumn="0" w:firstRowLastColumn="0" w:lastRowFirstColumn="0" w:lastRowLastColumn="0"/>
          <w:trHeight w:val="1441"/>
        </w:trPr>
        <w:tc>
          <w:tcPr>
            <w:cnfStyle w:val="001000000000" w:firstRow="0" w:lastRow="0" w:firstColumn="1" w:lastColumn="0" w:oddVBand="0" w:evenVBand="0" w:oddHBand="0" w:evenHBand="0" w:firstRowFirstColumn="0" w:firstRowLastColumn="0" w:lastRowFirstColumn="0" w:lastRowLastColumn="0"/>
            <w:tcW w:w="3823" w:type="dxa"/>
            <w:tcBorders>
              <w:bottom w:val="none" w:sz="0" w:space="0" w:color="auto"/>
            </w:tcBorders>
            <w:shd w:val="clear" w:color="auto" w:fill="F2F2F2"/>
          </w:tcPr>
          <w:p>
            <w:pPr>
              <w:spacing w:after="0" w:line="240" w:lineRule="auto"/>
              <w:contextualSpacing/>
              <w:rPr>
                <w:rFonts w:ascii="Arial" w:hAnsi="Arial" w:cs="Arial"/>
                <w:sz w:val="18"/>
                <w:szCs w:val="18"/>
              </w:rPr>
            </w:pPr>
            <w:r>
              <w:rPr>
                <w:rFonts w:ascii="Arial" w:hAnsi="Arial" w:cs="Arial"/>
                <w:sz w:val="18"/>
                <w:szCs w:val="18"/>
              </w:rPr>
              <w:lastRenderedPageBreak/>
              <w:t>Alfabetización Digital. 3. Excel.</w:t>
            </w:r>
          </w:p>
        </w:tc>
        <w:tc>
          <w:tcPr>
            <w:tcW w:w="5103" w:type="dxa"/>
            <w:tcBorders>
              <w:bottom w:val="none" w:sz="0" w:space="0" w:color="auto"/>
            </w:tcBorders>
          </w:tcPr>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Introducción.</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Libros y datos.</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Funciones básicas.</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Funciones complejas.</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Tablas y bases de datos.</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Imprimir y exportar hojas de cálculo.</w:t>
            </w:r>
          </w:p>
        </w:tc>
      </w:tr>
      <w:tr>
        <w:trPr>
          <w:trHeight w:val="1671"/>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Alfabetización Digital 4. CV Canva.</w:t>
            </w:r>
          </w:p>
        </w:tc>
        <w:tc>
          <w:tcPr>
            <w:tcW w:w="5103" w:type="dxa"/>
          </w:tcPr>
          <w:p>
            <w:pPr>
              <w:numPr>
                <w:ilvl w:val="0"/>
                <w:numId w:val="4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El análisis DAFO para la búsqueda de empleo.</w:t>
            </w:r>
          </w:p>
          <w:p>
            <w:pPr>
              <w:numPr>
                <w:ilvl w:val="0"/>
                <w:numId w:val="4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El currículum vitae.</w:t>
            </w:r>
          </w:p>
          <w:p>
            <w:pPr>
              <w:numPr>
                <w:ilvl w:val="0"/>
                <w:numId w:val="4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Canva para la elaboración del currículum vitae, ventajas.</w:t>
            </w:r>
          </w:p>
          <w:p>
            <w:pPr>
              <w:numPr>
                <w:ilvl w:val="0"/>
                <w:numId w:val="4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Prácticas.</w:t>
            </w:r>
          </w:p>
          <w:p>
            <w:pPr>
              <w:numPr>
                <w:ilvl w:val="0"/>
                <w:numId w:val="4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Edición y envío de documentación.</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3823" w:type="dxa"/>
            <w:tcBorders>
              <w:bottom w:val="none" w:sz="0" w:space="0" w:color="auto"/>
            </w:tcBorders>
            <w:shd w:val="clear" w:color="auto" w:fill="F2F2F2"/>
          </w:tcPr>
          <w:p>
            <w:pPr>
              <w:spacing w:after="0" w:line="240" w:lineRule="auto"/>
              <w:contextualSpacing/>
              <w:rPr>
                <w:rFonts w:ascii="Arial" w:hAnsi="Arial" w:cs="Arial"/>
                <w:color w:val="000000"/>
                <w:sz w:val="18"/>
                <w:szCs w:val="18"/>
              </w:rPr>
            </w:pPr>
            <w:r>
              <w:rPr>
                <w:rFonts w:ascii="Arial" w:hAnsi="Arial" w:cs="Arial"/>
                <w:color w:val="000000"/>
                <w:sz w:val="18"/>
                <w:szCs w:val="18"/>
              </w:rPr>
              <w:t>Alfabetización digital 5. Trámites online y RRSS para el empleo.</w:t>
            </w:r>
          </w:p>
        </w:tc>
        <w:tc>
          <w:tcPr>
            <w:tcW w:w="5103" w:type="dxa"/>
            <w:tcBorders>
              <w:bottom w:val="none" w:sz="0" w:space="0" w:color="auto"/>
            </w:tcBorders>
          </w:tcPr>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Trámites online.</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Búsqueda de empleo online.</w:t>
            </w:r>
          </w:p>
          <w:p>
            <w:pPr>
              <w:numPr>
                <w:ilvl w:val="0"/>
                <w:numId w:val="4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Redes sociales para el empleo.</w:t>
            </w:r>
          </w:p>
        </w:tc>
      </w:tr>
      <w:tr>
        <w:trPr>
          <w:trHeight w:val="65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Taller 1. Adquisición y mejora de habilidades de comunicación y relación.</w:t>
            </w:r>
          </w:p>
        </w:tc>
        <w:tc>
          <w:tcPr>
            <w:tcW w:w="5103" w:type="dxa"/>
          </w:tcPr>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Elementos de comunicación: emisor, receptos, mensaje, código y contexto.</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Estilos de comunicación: asertivo, pasivo y agresivo.</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Desarrollo de buenos hábitos de comunicación.</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Taller 2. Adquisición de habilidades de aprendizaje: técnicas de estudio.</w:t>
            </w:r>
          </w:p>
        </w:tc>
        <w:tc>
          <w:tcPr>
            <w:tcW w:w="5103" w:type="dxa"/>
          </w:tcPr>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Qué son las habilidades de aprendizaje: destrezas, habilidades cognitivas, tipos.</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Habilidades de organización y habilidades organizativas: significado, importancia, técnicas y planificación.</w:t>
            </w:r>
          </w:p>
        </w:tc>
      </w:tr>
      <w:tr>
        <w:trPr>
          <w:trHeight w:val="65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Taller 3. Situación administrativa en España.</w:t>
            </w:r>
          </w:p>
        </w:tc>
        <w:tc>
          <w:tcPr>
            <w:tcW w:w="5103" w:type="dxa"/>
          </w:tcPr>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Marco legal: Ley de Extranjería y normativa complementaria. </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Tipos de visados y autorizaciones de residencia.</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Trámites y procedimientos administrativos.</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Derechos y obligaciones de los extranjeros en España.</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Situaciones administrativas irregulares.</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Times New Roman" w:hAnsi="Times New Roman"/>
                <w:sz w:val="18"/>
                <w:szCs w:val="18"/>
              </w:rPr>
            </w:pPr>
            <w:r>
              <w:rPr>
                <w:rFonts w:ascii="Times New Roman" w:hAnsi="Times New Roman"/>
                <w:sz w:val="18"/>
                <w:szCs w:val="18"/>
              </w:rPr>
              <w:t>Taller 4. Autovaloración de las propias actitudes y aptitudes.</w:t>
            </w:r>
          </w:p>
        </w:tc>
        <w:tc>
          <w:tcPr>
            <w:tcW w:w="5103" w:type="dxa"/>
          </w:tcPr>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Definición de conceptos de actitud y aptitud.</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Diferencias entre los dos términos.</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Importancia en la vida personal y profesional.</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val="pt-PT"/>
              </w:rPr>
            </w:pPr>
            <w:r>
              <w:rPr>
                <w:rFonts w:ascii="Times New Roman" w:hAnsi="Times New Roman"/>
                <w:sz w:val="18"/>
                <w:szCs w:val="18"/>
                <w:lang w:val="pt-PT"/>
              </w:rPr>
              <w:t>Cómo desarrollarlos.</w:t>
            </w:r>
          </w:p>
        </w:tc>
      </w:tr>
      <w:tr>
        <w:trPr>
          <w:trHeight w:val="65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Taller 5. Autoestima, asertividad, autoimagen, negociación de conflictos.</w:t>
            </w:r>
          </w:p>
        </w:tc>
        <w:tc>
          <w:tcPr>
            <w:tcW w:w="5103" w:type="dxa"/>
          </w:tcPr>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Concepto de autoestima: las 4 caras.</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Concepto de asertividad.</w:t>
            </w:r>
          </w:p>
          <w:p>
            <w:pPr>
              <w:numPr>
                <w:ilvl w:val="0"/>
                <w:numId w:val="47"/>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Técnicas de negociación de conflictos.</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3823" w:type="dxa"/>
            <w:shd w:val="clear" w:color="auto" w:fill="F2F2F2"/>
          </w:tcPr>
          <w:p>
            <w:pPr>
              <w:spacing w:after="0" w:line="240" w:lineRule="auto"/>
              <w:contextualSpacing/>
              <w:rPr>
                <w:rFonts w:ascii="Arial" w:hAnsi="Arial" w:cs="Arial"/>
                <w:sz w:val="18"/>
                <w:szCs w:val="18"/>
              </w:rPr>
            </w:pPr>
            <w:r>
              <w:rPr>
                <w:rFonts w:ascii="Arial" w:hAnsi="Arial" w:cs="Arial"/>
                <w:sz w:val="18"/>
                <w:szCs w:val="18"/>
              </w:rPr>
              <w:t>Taller 6. Empoderamiento.</w:t>
            </w:r>
          </w:p>
        </w:tc>
        <w:tc>
          <w:tcPr>
            <w:tcW w:w="5103" w:type="dxa"/>
          </w:tcPr>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Autoconciencia y autoconocimiento.</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Habilidades de autodefinición.</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Promover la confianza en sí misma.</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pt-PT"/>
              </w:rPr>
            </w:pPr>
            <w:r>
              <w:rPr>
                <w:rFonts w:ascii="Arial" w:hAnsi="Arial" w:cs="Arial"/>
                <w:sz w:val="18"/>
                <w:szCs w:val="18"/>
                <w:lang w:val="pt-PT"/>
              </w:rPr>
              <w:t>Solidaridad y apoyo mutuo.</w:t>
            </w:r>
          </w:p>
          <w:p>
            <w:pPr>
              <w:numPr>
                <w:ilvl w:val="0"/>
                <w:numId w:val="4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Herramientas psicológicas para enfrentar desafíos.</w:t>
            </w:r>
          </w:p>
        </w:tc>
      </w:tr>
    </w:tbl>
    <w:p>
      <w:pPr>
        <w:spacing w:after="160" w:line="240" w:lineRule="auto"/>
        <w:rPr>
          <w:rFonts w:eastAsia="Times New Roman"/>
          <w:sz w:val="21"/>
          <w:szCs w:val="21"/>
        </w:rPr>
      </w:pPr>
      <w:bookmarkStart w:id="3" w:name="_Toc121394313"/>
      <w:bookmarkStart w:id="4" w:name="_Toc122501661"/>
    </w:p>
    <w:p>
      <w:pPr>
        <w:keepNext/>
        <w:keepLines/>
        <w:spacing w:before="160" w:after="0" w:line="360" w:lineRule="auto"/>
        <w:jc w:val="center"/>
        <w:outlineLvl w:val="1"/>
        <w:rPr>
          <w:rFonts w:ascii="Arial" w:eastAsia="Times New Roman" w:hAnsi="Arial" w:cs="Arial"/>
          <w:b/>
          <w:sz w:val="24"/>
          <w:szCs w:val="24"/>
        </w:rPr>
      </w:pPr>
      <w:r>
        <w:rPr>
          <w:rFonts w:ascii="Arial" w:eastAsia="Times New Roman" w:hAnsi="Arial" w:cs="Arial"/>
          <w:b/>
          <w:sz w:val="24"/>
          <w:szCs w:val="24"/>
        </w:rPr>
        <w:lastRenderedPageBreak/>
        <w:t>Talleres de Alfabetización Digital</w:t>
      </w:r>
      <w:bookmarkEnd w:id="3"/>
      <w:bookmarkEnd w:id="4"/>
    </w:p>
    <w:p>
      <w:pPr>
        <w:keepNext/>
        <w:keepLines/>
        <w:spacing w:before="160" w:after="0" w:line="360" w:lineRule="auto"/>
        <w:jc w:val="both"/>
        <w:outlineLvl w:val="1"/>
        <w:rPr>
          <w:rFonts w:ascii="Arial" w:eastAsia="Times New Roman" w:hAnsi="Arial" w:cs="Arial"/>
          <w:sz w:val="24"/>
          <w:szCs w:val="24"/>
        </w:rPr>
      </w:pPr>
      <w:r>
        <w:rPr>
          <w:rFonts w:ascii="Arial" w:eastAsia="Times New Roman" w:hAnsi="Arial" w:cs="Arial"/>
          <w:sz w:val="24"/>
          <w:szCs w:val="24"/>
        </w:rPr>
        <w:t>La adquisición de las habilidades tecnológicas necesarias para un correcto desarrollo en la sociedad de la información y el conocimiento en que nos movemos, es fundamental para la inclusión social y laboral.</w:t>
      </w:r>
    </w:p>
    <w:p>
      <w:pPr>
        <w:keepNext/>
        <w:keepLines/>
        <w:spacing w:before="160" w:after="0" w:line="360" w:lineRule="auto"/>
        <w:jc w:val="both"/>
        <w:outlineLvl w:val="1"/>
        <w:rPr>
          <w:rFonts w:ascii="Arial" w:eastAsia="Times New Roman" w:hAnsi="Arial" w:cs="Arial"/>
          <w:b/>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La alfabetización digital supone ofrecer las herramientas y habilidades necesarias para hacer un uso correcto y responsable de las TIC (Tecnologías de la Información y la Comunicación). Es la capacidad de localizar, investigar y analizar información y supone, además, un añadido para lograr el acceso a puestos de trabajo.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bCs/>
          <w:color w:val="000000"/>
          <w:sz w:val="24"/>
          <w:szCs w:val="24"/>
          <w:lang w:eastAsia="es-ES"/>
        </w:rPr>
      </w:pPr>
      <w:r>
        <w:rPr>
          <w:rFonts w:ascii="Arial" w:eastAsia="Times New Roman" w:hAnsi="Arial" w:cs="Arial"/>
          <w:bCs/>
          <w:sz w:val="24"/>
          <w:szCs w:val="24"/>
          <w:lang w:eastAsia="es-ES"/>
        </w:rPr>
        <w:t xml:space="preserve">Tener una aproximación a </w:t>
      </w:r>
      <w:r>
        <w:rPr>
          <w:rFonts w:ascii="Arial" w:eastAsia="Times New Roman" w:hAnsi="Arial" w:cs="Arial"/>
          <w:bCs/>
          <w:color w:val="000000"/>
          <w:sz w:val="24"/>
          <w:szCs w:val="24"/>
          <w:lang w:eastAsia="es-ES"/>
        </w:rPr>
        <w:t xml:space="preserve">esta formación facilita la mejora de las posibilidades de acceso y desempeño en el mundo laboral. Adquirir conocimientos relacionados con el mundo virtual, posibilita alcanzar mayor comprensión y dominio de las herramientas digitales y de la terminología relacionada. </w:t>
      </w:r>
    </w:p>
    <w:p>
      <w:pPr>
        <w:spacing w:after="0" w:line="360" w:lineRule="auto"/>
        <w:jc w:val="both"/>
        <w:rPr>
          <w:rFonts w:ascii="Arial" w:eastAsia="Times New Roman" w:hAnsi="Arial" w:cs="Arial"/>
          <w:bCs/>
          <w:color w:val="000000"/>
          <w:sz w:val="24"/>
          <w:szCs w:val="24"/>
          <w:lang w:eastAsia="es-ES"/>
        </w:rPr>
      </w:pPr>
      <w:r>
        <w:rPr>
          <w:rFonts w:ascii="Arial" w:eastAsia="Times New Roman" w:hAnsi="Arial" w:cs="Arial"/>
          <w:bCs/>
          <w:color w:val="000000"/>
          <w:sz w:val="24"/>
          <w:szCs w:val="24"/>
          <w:lang w:eastAsia="es-ES"/>
        </w:rPr>
        <w:t xml:space="preserve">Por otro lado, el uso y el conocimiento de las TIC favorece la adquisición de habilidades, tales como la creatividad y el pensamiento crítico. Habilidades tenidas muy en cuenta por los empleadores y necesarias para la inserción. </w:t>
      </w:r>
    </w:p>
    <w:p>
      <w:pPr>
        <w:spacing w:after="0" w:line="360" w:lineRule="auto"/>
        <w:jc w:val="both"/>
        <w:rPr>
          <w:rFonts w:ascii="Arial" w:eastAsia="Times New Roman" w:hAnsi="Arial" w:cs="Arial"/>
          <w:bCs/>
          <w:color w:val="000000"/>
          <w:sz w:val="24"/>
          <w:szCs w:val="24"/>
          <w:lang w:eastAsia="es-ES"/>
        </w:rPr>
      </w:pPr>
    </w:p>
    <w:p>
      <w:pPr>
        <w:spacing w:after="160" w:line="360" w:lineRule="auto"/>
        <w:jc w:val="both"/>
        <w:rPr>
          <w:rFonts w:ascii="Arial" w:eastAsia="Times New Roman" w:hAnsi="Arial" w:cs="Arial"/>
          <w:bCs/>
          <w:color w:val="000000"/>
          <w:sz w:val="24"/>
          <w:szCs w:val="24"/>
          <w:lang w:eastAsia="es-ES"/>
        </w:rPr>
      </w:pPr>
      <w:r>
        <w:rPr>
          <w:rFonts w:ascii="Arial" w:eastAsia="Times New Roman" w:hAnsi="Arial" w:cs="Arial"/>
          <w:bCs/>
          <w:color w:val="000000"/>
          <w:sz w:val="24"/>
          <w:szCs w:val="24"/>
          <w:lang w:eastAsia="es-ES"/>
        </w:rPr>
        <w:t xml:space="preserve">Para ello, se toma en cuenta el nivel general del grupo en cuanto al conocimiento sobre alfabetización digital, el componente cultural en el uso de las tecnologías y </w:t>
      </w:r>
      <w:r>
        <w:rPr>
          <w:rFonts w:ascii="Arial" w:eastAsia="Times New Roman" w:hAnsi="Arial" w:cs="Arial"/>
          <w:bCs/>
          <w:sz w:val="24"/>
          <w:szCs w:val="24"/>
          <w:lang w:eastAsia="es-ES"/>
        </w:rPr>
        <w:t xml:space="preserve">se resalta </w:t>
      </w:r>
      <w:r>
        <w:rPr>
          <w:rFonts w:ascii="Arial" w:eastAsia="Times New Roman" w:hAnsi="Arial" w:cs="Arial"/>
          <w:bCs/>
          <w:color w:val="000000"/>
          <w:sz w:val="24"/>
          <w:szCs w:val="24"/>
          <w:lang w:eastAsia="es-ES"/>
        </w:rPr>
        <w:t>la importancia de concienciar sobre los riesgos de la red, el mantenimiento de la privacidad sobre la identidad digital y</w:t>
      </w:r>
      <w:r>
        <w:rPr>
          <w:rFonts w:ascii="Arial" w:eastAsia="Times New Roman" w:hAnsi="Arial" w:cs="Arial"/>
          <w:bCs/>
          <w:color w:val="0070C0"/>
          <w:sz w:val="24"/>
          <w:szCs w:val="24"/>
          <w:lang w:eastAsia="es-ES"/>
        </w:rPr>
        <w:t xml:space="preserve"> </w:t>
      </w:r>
      <w:r>
        <w:rPr>
          <w:rFonts w:ascii="Arial" w:eastAsia="Times New Roman" w:hAnsi="Arial" w:cs="Arial"/>
          <w:bCs/>
          <w:color w:val="000000"/>
          <w:sz w:val="24"/>
          <w:szCs w:val="24"/>
          <w:lang w:eastAsia="es-ES"/>
        </w:rPr>
        <w:t xml:space="preserve">las diferentes violencias que se ejercen </w:t>
      </w:r>
      <w:r>
        <w:rPr>
          <w:rFonts w:ascii="Arial" w:eastAsia="Times New Roman" w:hAnsi="Arial" w:cs="Arial"/>
          <w:bCs/>
          <w:sz w:val="24"/>
          <w:szCs w:val="24"/>
          <w:lang w:eastAsia="es-ES"/>
        </w:rPr>
        <w:t>a través de este medio</w:t>
      </w:r>
      <w:bookmarkStart w:id="5" w:name="_Toc122501663"/>
      <w:r>
        <w:rPr>
          <w:rFonts w:ascii="Arial" w:eastAsia="Times New Roman" w:hAnsi="Arial" w:cs="Arial"/>
          <w:bCs/>
          <w:color w:val="000000"/>
          <w:sz w:val="24"/>
          <w:szCs w:val="24"/>
          <w:lang w:eastAsia="es-ES"/>
        </w:rPr>
        <w:t>.</w:t>
      </w:r>
    </w:p>
    <w:p>
      <w:pPr>
        <w:keepNext/>
        <w:keepLines/>
        <w:spacing w:after="40" w:line="240" w:lineRule="auto"/>
        <w:jc w:val="center"/>
        <w:outlineLvl w:val="1"/>
        <w:rPr>
          <w:rFonts w:ascii="Arial" w:eastAsia="Times New Roman" w:hAnsi="Arial" w:cs="Arial"/>
          <w:b/>
          <w:sz w:val="24"/>
          <w:szCs w:val="24"/>
        </w:rPr>
      </w:pPr>
    </w:p>
    <w:p>
      <w:pPr>
        <w:keepNext/>
        <w:keepLines/>
        <w:spacing w:after="40" w:line="240" w:lineRule="auto"/>
        <w:jc w:val="center"/>
        <w:outlineLvl w:val="1"/>
        <w:rPr>
          <w:rFonts w:ascii="Arial" w:eastAsia="Times New Roman" w:hAnsi="Arial" w:cs="Arial"/>
          <w:b/>
          <w:sz w:val="24"/>
          <w:szCs w:val="24"/>
        </w:rPr>
      </w:pPr>
      <w:r>
        <w:rPr>
          <w:rFonts w:ascii="Arial" w:eastAsia="Times New Roman" w:hAnsi="Arial" w:cs="Arial"/>
          <w:b/>
          <w:sz w:val="24"/>
          <w:szCs w:val="24"/>
        </w:rPr>
        <w:t>Temporalizació</w:t>
      </w:r>
      <w:bookmarkEnd w:id="5"/>
      <w:r>
        <w:rPr>
          <w:rFonts w:ascii="Arial" w:eastAsia="Times New Roman" w:hAnsi="Arial" w:cs="Arial"/>
          <w:b/>
          <w:sz w:val="24"/>
          <w:szCs w:val="24"/>
        </w:rPr>
        <w:t xml:space="preserve">n talleres Formación/Orientación  </w:t>
      </w:r>
    </w:p>
    <w:p>
      <w:pPr>
        <w:keepNext/>
        <w:keepLines/>
        <w:framePr w:hSpace="141" w:wrap="around" w:vAnchor="text" w:hAnchor="text" w:y="1"/>
        <w:spacing w:after="40" w:line="240" w:lineRule="auto"/>
        <w:suppressOverlap/>
        <w:jc w:val="center"/>
        <w:outlineLvl w:val="1"/>
        <w:rPr>
          <w:rFonts w:ascii="Arial" w:eastAsia="Times New Roman" w:hAnsi="Arial" w:cs="Arial"/>
          <w:b/>
          <w:sz w:val="24"/>
          <w:szCs w:val="24"/>
        </w:rPr>
      </w:pPr>
      <w:r>
        <w:rPr>
          <w:rFonts w:ascii="Arial" w:eastAsia="Times New Roman" w:hAnsi="Arial" w:cs="Arial"/>
          <w:b/>
          <w:sz w:val="24"/>
          <w:szCs w:val="24"/>
        </w:rPr>
        <w:t xml:space="preserve">Fase A </w:t>
      </w:r>
    </w:p>
    <w:p>
      <w:pPr>
        <w:framePr w:hSpace="141" w:wrap="around" w:vAnchor="text" w:hAnchor="text" w:y="1"/>
        <w:spacing w:after="0" w:line="240" w:lineRule="auto"/>
        <w:suppressOverlap/>
        <w:rPr>
          <w:rFonts w:eastAsia="Times New Roman"/>
          <w:sz w:val="21"/>
          <w:szCs w:val="21"/>
        </w:rPr>
      </w:pPr>
    </w:p>
    <w:tbl>
      <w:tblPr>
        <w:tblStyle w:val="Tablaconcuadrcula114"/>
        <w:tblpPr w:leftFromText="141" w:rightFromText="141" w:vertAnchor="text" w:tblpY="1"/>
        <w:tblOverlap w:val="never"/>
        <w:tblW w:w="0" w:type="auto"/>
        <w:tblLook w:val="04A0" w:firstRow="1" w:lastRow="0" w:firstColumn="1" w:lastColumn="0" w:noHBand="0" w:noVBand="1"/>
      </w:tblPr>
      <w:tblGrid>
        <w:gridCol w:w="425"/>
        <w:gridCol w:w="425"/>
        <w:gridCol w:w="486"/>
        <w:gridCol w:w="425"/>
        <w:gridCol w:w="425"/>
        <w:gridCol w:w="425"/>
        <w:gridCol w:w="425"/>
        <w:gridCol w:w="6"/>
      </w:tblGrid>
      <w:tr>
        <w:trPr>
          <w:trHeight w:val="426"/>
        </w:trPr>
        <w:tc>
          <w:tcPr>
            <w:tcW w:w="3030" w:type="dxa"/>
            <w:gridSpan w:val="8"/>
            <w:shd w:val="clear" w:color="auto" w:fill="ACB9CA"/>
          </w:tcPr>
          <w:p>
            <w:pPr>
              <w:spacing w:after="0" w:line="240" w:lineRule="auto"/>
              <w:rPr>
                <w:rFonts w:ascii="Arial" w:eastAsia="Calibri" w:hAnsi="Arial" w:cs="Arial"/>
                <w:b/>
                <w:sz w:val="18"/>
                <w:szCs w:val="18"/>
              </w:rPr>
            </w:pPr>
            <w:r>
              <w:rPr>
                <w:rFonts w:ascii="Arial" w:eastAsia="Calibri" w:hAnsi="Arial" w:cs="Arial"/>
                <w:b/>
                <w:sz w:val="18"/>
                <w:szCs w:val="18"/>
              </w:rPr>
              <w:t xml:space="preserve">              ENERO  2025</w:t>
            </w:r>
          </w:p>
          <w:p>
            <w:pPr>
              <w:spacing w:after="0" w:line="240" w:lineRule="auto"/>
              <w:rPr>
                <w:rFonts w:ascii="Arial" w:eastAsia="Calibri" w:hAnsi="Arial" w:cs="Arial"/>
                <w:sz w:val="18"/>
                <w:szCs w:val="18"/>
              </w:rPr>
            </w:pPr>
          </w:p>
        </w:tc>
      </w:tr>
      <w:tr>
        <w:trPr>
          <w:gridAfter w:val="1"/>
          <w:wAfter w:w="6" w:type="dxa"/>
          <w:trHeight w:val="271"/>
        </w:trPr>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L</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M</w:t>
            </w:r>
          </w:p>
        </w:tc>
        <w:tc>
          <w:tcPr>
            <w:tcW w:w="474" w:type="dxa"/>
          </w:tcPr>
          <w:p>
            <w:pPr>
              <w:spacing w:after="0" w:line="240" w:lineRule="auto"/>
              <w:jc w:val="center"/>
              <w:rPr>
                <w:rFonts w:ascii="Arial" w:eastAsia="Calibri" w:hAnsi="Arial" w:cs="Arial"/>
                <w:sz w:val="18"/>
                <w:szCs w:val="18"/>
              </w:rPr>
            </w:pPr>
            <w:r>
              <w:rPr>
                <w:rFonts w:ascii="Arial" w:eastAsia="Calibri" w:hAnsi="Arial" w:cs="Arial"/>
                <w:sz w:val="18"/>
                <w:szCs w:val="18"/>
              </w:rPr>
              <w:t>MX</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J</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V</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S</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D</w:t>
            </w:r>
          </w:p>
        </w:tc>
      </w:tr>
      <w:tr>
        <w:trPr>
          <w:gridAfter w:val="1"/>
          <w:wAfter w:w="6" w:type="dxa"/>
          <w:trHeight w:val="259"/>
        </w:trPr>
        <w:tc>
          <w:tcPr>
            <w:tcW w:w="425" w:type="dxa"/>
          </w:tcPr>
          <w:p>
            <w:pPr>
              <w:spacing w:after="0" w:line="240" w:lineRule="auto"/>
              <w:jc w:val="center"/>
              <w:rPr>
                <w:rFonts w:ascii="Arial" w:eastAsia="Calibri" w:hAnsi="Arial" w:cs="Arial"/>
                <w:sz w:val="18"/>
                <w:szCs w:val="18"/>
              </w:rPr>
            </w:pPr>
          </w:p>
        </w:tc>
        <w:tc>
          <w:tcPr>
            <w:tcW w:w="425" w:type="dxa"/>
          </w:tcPr>
          <w:p>
            <w:pPr>
              <w:spacing w:after="0" w:line="240" w:lineRule="auto"/>
              <w:jc w:val="center"/>
              <w:rPr>
                <w:rFonts w:ascii="Arial" w:eastAsia="Calibri" w:hAnsi="Arial" w:cs="Arial"/>
                <w:sz w:val="18"/>
                <w:szCs w:val="18"/>
              </w:rPr>
            </w:pPr>
          </w:p>
        </w:tc>
        <w:tc>
          <w:tcPr>
            <w:tcW w:w="474" w:type="dxa"/>
          </w:tcPr>
          <w:p>
            <w:pPr>
              <w:spacing w:after="0" w:line="240" w:lineRule="auto"/>
              <w:jc w:val="center"/>
              <w:rPr>
                <w:rFonts w:ascii="Arial" w:eastAsia="Calibri" w:hAnsi="Arial" w:cs="Arial"/>
                <w:sz w:val="18"/>
                <w:szCs w:val="18"/>
              </w:rPr>
            </w:pPr>
            <w:r>
              <w:rPr>
                <w:rFonts w:ascii="Arial" w:eastAsia="Calibri" w:hAnsi="Arial" w:cs="Arial"/>
                <w:sz w:val="18"/>
                <w:szCs w:val="18"/>
              </w:rPr>
              <w:t>1</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2</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3</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4</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5</w:t>
            </w:r>
          </w:p>
        </w:tc>
      </w:tr>
      <w:tr>
        <w:trPr>
          <w:gridAfter w:val="1"/>
          <w:wAfter w:w="6" w:type="dxa"/>
          <w:trHeight w:val="271"/>
        </w:trPr>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7</w:t>
            </w:r>
          </w:p>
        </w:tc>
        <w:tc>
          <w:tcPr>
            <w:tcW w:w="474"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8</w:t>
            </w:r>
          </w:p>
        </w:tc>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9</w:t>
            </w:r>
          </w:p>
        </w:tc>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10</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11</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12</w:t>
            </w:r>
          </w:p>
        </w:tc>
      </w:tr>
      <w:tr>
        <w:trPr>
          <w:gridAfter w:val="1"/>
          <w:wAfter w:w="6" w:type="dxa"/>
          <w:trHeight w:val="259"/>
        </w:trPr>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13</w:t>
            </w:r>
          </w:p>
        </w:tc>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474"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15</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16</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17</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18</w:t>
            </w:r>
          </w:p>
        </w:tc>
        <w:tc>
          <w:tcPr>
            <w:tcW w:w="425" w:type="dxa"/>
          </w:tcPr>
          <w:p>
            <w:pPr>
              <w:spacing w:after="0" w:line="240" w:lineRule="auto"/>
              <w:jc w:val="center"/>
              <w:rPr>
                <w:rFonts w:ascii="Arial" w:eastAsia="Calibri" w:hAnsi="Arial" w:cs="Arial"/>
                <w:sz w:val="18"/>
                <w:szCs w:val="18"/>
              </w:rPr>
            </w:pPr>
            <w:r>
              <w:rPr>
                <w:rFonts w:ascii="Arial" w:eastAsia="Calibri" w:hAnsi="Arial" w:cs="Arial"/>
                <w:sz w:val="18"/>
                <w:szCs w:val="18"/>
              </w:rPr>
              <w:t>19</w:t>
            </w:r>
          </w:p>
        </w:tc>
      </w:tr>
      <w:tr>
        <w:trPr>
          <w:gridAfter w:val="1"/>
          <w:wAfter w:w="6" w:type="dxa"/>
          <w:trHeight w:val="271"/>
        </w:trPr>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20</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21</w:t>
            </w:r>
          </w:p>
        </w:tc>
        <w:tc>
          <w:tcPr>
            <w:tcW w:w="474"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22</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23</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24</w:t>
            </w:r>
          </w:p>
        </w:tc>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25</w:t>
            </w:r>
          </w:p>
        </w:tc>
        <w:tc>
          <w:tcPr>
            <w:tcW w:w="425"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26</w:t>
            </w:r>
          </w:p>
        </w:tc>
      </w:tr>
      <w:tr>
        <w:trPr>
          <w:gridAfter w:val="1"/>
          <w:wAfter w:w="6" w:type="dxa"/>
          <w:trHeight w:val="259"/>
        </w:trPr>
        <w:tc>
          <w:tcPr>
            <w:tcW w:w="425" w:type="dxa"/>
            <w:shd w:val="clear" w:color="auto" w:fill="DEEAF6"/>
          </w:tcPr>
          <w:p>
            <w:pPr>
              <w:spacing w:after="0" w:line="240" w:lineRule="auto"/>
              <w:jc w:val="center"/>
              <w:rPr>
                <w:rFonts w:ascii="Arial" w:eastAsia="Calibri" w:hAnsi="Arial" w:cs="Arial"/>
                <w:sz w:val="18"/>
                <w:szCs w:val="18"/>
              </w:rPr>
            </w:pPr>
            <w:r>
              <w:rPr>
                <w:rFonts w:ascii="Arial" w:eastAsia="Calibri" w:hAnsi="Arial" w:cs="Arial"/>
                <w:sz w:val="18"/>
                <w:szCs w:val="18"/>
              </w:rPr>
              <w:t>27</w:t>
            </w:r>
          </w:p>
        </w:tc>
        <w:tc>
          <w:tcPr>
            <w:tcW w:w="425" w:type="dxa"/>
            <w:shd w:val="clear" w:color="auto" w:fill="DEEAF6"/>
          </w:tcPr>
          <w:p>
            <w:pPr>
              <w:spacing w:after="0" w:line="240" w:lineRule="auto"/>
              <w:jc w:val="center"/>
              <w:rPr>
                <w:rFonts w:ascii="Arial" w:eastAsia="Calibri" w:hAnsi="Arial" w:cs="Arial"/>
                <w:sz w:val="18"/>
                <w:szCs w:val="18"/>
              </w:rPr>
            </w:pPr>
            <w:r>
              <w:rPr>
                <w:rFonts w:ascii="Arial" w:eastAsia="Calibri" w:hAnsi="Arial" w:cs="Arial"/>
                <w:sz w:val="18"/>
                <w:szCs w:val="18"/>
              </w:rPr>
              <w:t>28</w:t>
            </w:r>
          </w:p>
        </w:tc>
        <w:tc>
          <w:tcPr>
            <w:tcW w:w="474" w:type="dxa"/>
            <w:shd w:val="clear" w:color="auto" w:fill="DEEAF6"/>
          </w:tcPr>
          <w:p>
            <w:pPr>
              <w:spacing w:after="0" w:line="240" w:lineRule="auto"/>
              <w:jc w:val="center"/>
              <w:rPr>
                <w:rFonts w:ascii="Arial" w:eastAsia="Calibri" w:hAnsi="Arial" w:cs="Arial"/>
                <w:sz w:val="18"/>
                <w:szCs w:val="18"/>
              </w:rPr>
            </w:pPr>
            <w:r>
              <w:rPr>
                <w:rFonts w:ascii="Arial" w:eastAsia="Calibri" w:hAnsi="Arial" w:cs="Arial"/>
                <w:sz w:val="18"/>
                <w:szCs w:val="18"/>
              </w:rPr>
              <w:t>29</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30</w:t>
            </w:r>
          </w:p>
        </w:tc>
        <w:tc>
          <w:tcPr>
            <w:tcW w:w="425"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31</w:t>
            </w:r>
          </w:p>
        </w:tc>
        <w:tc>
          <w:tcPr>
            <w:tcW w:w="425" w:type="dxa"/>
            <w:shd w:val="clear" w:color="auto" w:fill="FFFFFF"/>
          </w:tcPr>
          <w:p>
            <w:pPr>
              <w:spacing w:after="0" w:line="240" w:lineRule="auto"/>
              <w:jc w:val="center"/>
              <w:rPr>
                <w:rFonts w:ascii="Arial" w:eastAsia="Calibri" w:hAnsi="Arial" w:cs="Arial"/>
                <w:sz w:val="18"/>
                <w:szCs w:val="18"/>
              </w:rPr>
            </w:pPr>
          </w:p>
        </w:tc>
        <w:tc>
          <w:tcPr>
            <w:tcW w:w="425" w:type="dxa"/>
            <w:shd w:val="clear" w:color="auto" w:fill="FFFFFF"/>
          </w:tcPr>
          <w:p>
            <w:pPr>
              <w:spacing w:after="0" w:line="240" w:lineRule="auto"/>
              <w:jc w:val="center"/>
              <w:rPr>
                <w:rFonts w:ascii="Arial" w:eastAsia="Calibri" w:hAnsi="Arial" w:cs="Arial"/>
                <w:sz w:val="18"/>
                <w:szCs w:val="18"/>
              </w:rPr>
            </w:pPr>
          </w:p>
        </w:tc>
      </w:tr>
    </w:tbl>
    <w:p>
      <w:pPr>
        <w:shd w:val="clear" w:color="auto" w:fill="FFFFFF"/>
        <w:tabs>
          <w:tab w:val="left" w:pos="866"/>
        </w:tabs>
        <w:spacing w:after="160" w:line="240" w:lineRule="auto"/>
        <w:rPr>
          <w:rFonts w:ascii="Arial" w:hAnsi="Arial" w:cs="Arial"/>
          <w:sz w:val="18"/>
          <w:szCs w:val="18"/>
          <w:shd w:val="clear" w:color="auto" w:fill="DEEAF6"/>
        </w:rPr>
      </w:pPr>
    </w:p>
    <w:p>
      <w:pPr>
        <w:tabs>
          <w:tab w:val="left" w:pos="866"/>
        </w:tabs>
        <w:spacing w:after="160" w:line="240" w:lineRule="auto"/>
        <w:rPr>
          <w:rFonts w:ascii="Arial" w:hAnsi="Arial" w:cs="Arial"/>
          <w:sz w:val="18"/>
          <w:szCs w:val="18"/>
        </w:rPr>
      </w:pPr>
      <w:r>
        <w:rPr>
          <w:rFonts w:ascii="Arial" w:hAnsi="Arial" w:cs="Arial"/>
          <w:sz w:val="18"/>
          <w:szCs w:val="18"/>
          <w:shd w:val="clear" w:color="auto" w:fill="D9E2F3"/>
        </w:rPr>
        <w:t>Taller formación 1</w:t>
      </w:r>
      <w:r>
        <w:rPr>
          <w:rFonts w:ascii="Arial" w:hAnsi="Arial" w:cs="Arial"/>
          <w:sz w:val="18"/>
          <w:szCs w:val="18"/>
        </w:rPr>
        <w:t>. Adquisición y mejora habilidades comunicación y relación. Día 27</w:t>
      </w:r>
    </w:p>
    <w:p>
      <w:pPr>
        <w:tabs>
          <w:tab w:val="left" w:pos="866"/>
        </w:tabs>
        <w:spacing w:after="160" w:line="240" w:lineRule="auto"/>
        <w:rPr>
          <w:rFonts w:ascii="Arial" w:hAnsi="Arial" w:cs="Arial"/>
          <w:sz w:val="18"/>
          <w:szCs w:val="18"/>
          <w:shd w:val="clear" w:color="auto" w:fill="D9E2F3"/>
        </w:rPr>
      </w:pPr>
      <w:r>
        <w:rPr>
          <w:rFonts w:ascii="Arial" w:eastAsia="Times New Roman" w:hAnsi="Arial" w:cs="Arial"/>
          <w:color w:val="000000"/>
          <w:sz w:val="18"/>
          <w:szCs w:val="18"/>
          <w:shd w:val="clear" w:color="auto" w:fill="D9E2F3"/>
          <w:lang w:eastAsia="es-ES"/>
        </w:rPr>
        <w:t>Taller formación 2</w:t>
      </w:r>
      <w:r>
        <w:rPr>
          <w:rFonts w:ascii="Arial" w:eastAsia="Times New Roman" w:hAnsi="Arial" w:cs="Arial"/>
          <w:color w:val="000000"/>
          <w:sz w:val="18"/>
          <w:szCs w:val="18"/>
          <w:shd w:val="clear" w:color="auto" w:fill="DEEAF6"/>
          <w:lang w:eastAsia="es-ES"/>
        </w:rPr>
        <w:t>.</w:t>
      </w:r>
      <w:r>
        <w:rPr>
          <w:rFonts w:ascii="Arial" w:eastAsia="Times New Roman" w:hAnsi="Arial" w:cs="Arial"/>
          <w:color w:val="000000"/>
          <w:sz w:val="18"/>
          <w:szCs w:val="18"/>
          <w:lang w:eastAsia="es-ES"/>
        </w:rPr>
        <w:t xml:space="preserve"> Adquisición habilidades aprendizaje. Día 28</w:t>
      </w:r>
    </w:p>
    <w:p>
      <w:pPr>
        <w:shd w:val="clear" w:color="auto" w:fill="FFFFFF"/>
        <w:tabs>
          <w:tab w:val="left" w:pos="866"/>
        </w:tabs>
        <w:spacing w:after="160" w:line="240" w:lineRule="auto"/>
        <w:rPr>
          <w:rFonts w:ascii="Arial" w:hAnsi="Arial" w:cs="Arial"/>
          <w:color w:val="000000"/>
          <w:sz w:val="18"/>
          <w:szCs w:val="18"/>
          <w:shd w:val="clear" w:color="auto" w:fill="FFFFFF"/>
        </w:rPr>
      </w:pPr>
      <w:r>
        <w:rPr>
          <w:rFonts w:ascii="Arial" w:hAnsi="Arial" w:cs="Arial"/>
          <w:sz w:val="18"/>
          <w:szCs w:val="18"/>
          <w:shd w:val="clear" w:color="auto" w:fill="D9E2F3"/>
        </w:rPr>
        <w:lastRenderedPageBreak/>
        <w:t>Taller de presentación de Servicios</w:t>
      </w:r>
      <w:r>
        <w:rPr>
          <w:rFonts w:ascii="Arial" w:hAnsi="Arial" w:cs="Arial"/>
          <w:sz w:val="18"/>
          <w:szCs w:val="18"/>
          <w:shd w:val="clear" w:color="auto" w:fill="FFFFFF"/>
        </w:rPr>
        <w:t xml:space="preserve"> 130. Día 29</w:t>
      </w:r>
    </w:p>
    <w:p>
      <w:pPr>
        <w:tabs>
          <w:tab w:val="left" w:pos="866"/>
        </w:tabs>
        <w:spacing w:after="0" w:line="240" w:lineRule="auto"/>
        <w:rPr>
          <w:rFonts w:ascii="Arial" w:hAnsi="Arial" w:cs="Arial"/>
          <w:sz w:val="18"/>
          <w:szCs w:val="18"/>
          <w:shd w:val="clear" w:color="auto" w:fill="FFFFFF"/>
        </w:rPr>
      </w:pPr>
    </w:p>
    <w:p>
      <w:pPr>
        <w:tabs>
          <w:tab w:val="left" w:pos="866"/>
        </w:tabs>
        <w:spacing w:after="0" w:line="240" w:lineRule="auto"/>
        <w:rPr>
          <w:rFonts w:ascii="Arial" w:hAnsi="Arial" w:cs="Arial"/>
          <w:sz w:val="18"/>
          <w:szCs w:val="18"/>
          <w:shd w:val="clear" w:color="auto" w:fill="FFFFFF"/>
        </w:rPr>
      </w:pPr>
    </w:p>
    <w:p>
      <w:pPr>
        <w:tabs>
          <w:tab w:val="left" w:pos="866"/>
        </w:tabs>
        <w:spacing w:after="0" w:line="240" w:lineRule="auto"/>
        <w:rPr>
          <w:rFonts w:ascii="Arial" w:hAnsi="Arial" w:cs="Arial"/>
          <w:sz w:val="18"/>
          <w:szCs w:val="18"/>
        </w:rPr>
      </w:pPr>
    </w:p>
    <w:p>
      <w:pPr>
        <w:spacing w:after="0" w:line="240" w:lineRule="auto"/>
        <w:rPr>
          <w:rFonts w:ascii="Arial" w:eastAsia="Times New Roman" w:hAnsi="Arial" w:cs="Arial"/>
          <w:sz w:val="18"/>
          <w:szCs w:val="18"/>
        </w:rPr>
      </w:pPr>
    </w:p>
    <w:tbl>
      <w:tblPr>
        <w:tblStyle w:val="Tablaconcuadrcula213"/>
        <w:tblpPr w:leftFromText="141" w:rightFromText="141" w:vertAnchor="text" w:tblpX="137" w:tblpY="1"/>
        <w:tblOverlap w:val="never"/>
        <w:tblW w:w="0" w:type="auto"/>
        <w:tblLook w:val="04A0" w:firstRow="1" w:lastRow="0" w:firstColumn="1" w:lastColumn="0" w:noHBand="0" w:noVBand="1"/>
      </w:tblPr>
      <w:tblGrid>
        <w:gridCol w:w="418"/>
        <w:gridCol w:w="443"/>
        <w:gridCol w:w="488"/>
        <w:gridCol w:w="443"/>
        <w:gridCol w:w="443"/>
        <w:gridCol w:w="443"/>
        <w:gridCol w:w="417"/>
      </w:tblGrid>
      <w:tr>
        <w:trPr>
          <w:trHeight w:val="391"/>
        </w:trPr>
        <w:tc>
          <w:tcPr>
            <w:tcW w:w="2972" w:type="dxa"/>
            <w:gridSpan w:val="7"/>
            <w:shd w:val="clear" w:color="auto" w:fill="ACB9CA"/>
          </w:tcPr>
          <w:p>
            <w:pPr>
              <w:spacing w:after="0" w:line="240" w:lineRule="auto"/>
              <w:rPr>
                <w:rFonts w:ascii="Arial" w:eastAsia="Calibri" w:hAnsi="Arial" w:cs="Arial"/>
                <w:b/>
                <w:sz w:val="18"/>
                <w:szCs w:val="18"/>
              </w:rPr>
            </w:pPr>
            <w:r>
              <w:rPr>
                <w:rFonts w:ascii="Arial" w:eastAsia="Calibri" w:hAnsi="Arial" w:cs="Arial"/>
                <w:b/>
                <w:sz w:val="18"/>
                <w:szCs w:val="18"/>
              </w:rPr>
              <w:t xml:space="preserve">                 FEBRERO  2025</w:t>
            </w:r>
          </w:p>
          <w:p>
            <w:pPr>
              <w:spacing w:after="0" w:line="240" w:lineRule="auto"/>
              <w:rPr>
                <w:rFonts w:ascii="Arial" w:eastAsia="Calibri" w:hAnsi="Arial" w:cs="Arial"/>
                <w:sz w:val="18"/>
                <w:szCs w:val="18"/>
              </w:rPr>
            </w:pPr>
          </w:p>
        </w:tc>
      </w:tr>
      <w:tr>
        <w:trPr>
          <w:trHeight w:val="244"/>
        </w:trPr>
        <w:tc>
          <w:tcPr>
            <w:tcW w:w="418" w:type="dxa"/>
          </w:tcPr>
          <w:p>
            <w:pPr>
              <w:spacing w:after="0" w:line="240" w:lineRule="auto"/>
              <w:jc w:val="center"/>
              <w:rPr>
                <w:rFonts w:ascii="Arial" w:eastAsia="Calibri" w:hAnsi="Arial" w:cs="Arial"/>
                <w:sz w:val="18"/>
                <w:szCs w:val="18"/>
              </w:rPr>
            </w:pPr>
            <w:r>
              <w:rPr>
                <w:rFonts w:ascii="Arial" w:eastAsia="Calibri" w:hAnsi="Arial" w:cs="Arial"/>
                <w:sz w:val="18"/>
                <w:szCs w:val="18"/>
              </w:rPr>
              <w:t>L</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M</w:t>
            </w:r>
          </w:p>
        </w:tc>
        <w:tc>
          <w:tcPr>
            <w:tcW w:w="488" w:type="dxa"/>
          </w:tcPr>
          <w:p>
            <w:pPr>
              <w:spacing w:after="0" w:line="240" w:lineRule="auto"/>
              <w:jc w:val="center"/>
              <w:rPr>
                <w:rFonts w:ascii="Arial" w:eastAsia="Calibri" w:hAnsi="Arial" w:cs="Arial"/>
                <w:sz w:val="18"/>
                <w:szCs w:val="18"/>
              </w:rPr>
            </w:pPr>
            <w:r>
              <w:rPr>
                <w:rFonts w:ascii="Arial" w:eastAsia="Calibri" w:hAnsi="Arial" w:cs="Arial"/>
                <w:sz w:val="18"/>
                <w:szCs w:val="18"/>
              </w:rPr>
              <w:t>MX</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J</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V</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S</w:t>
            </w:r>
          </w:p>
        </w:tc>
        <w:tc>
          <w:tcPr>
            <w:tcW w:w="294" w:type="dxa"/>
          </w:tcPr>
          <w:p>
            <w:pPr>
              <w:spacing w:after="0" w:line="240" w:lineRule="auto"/>
              <w:jc w:val="center"/>
              <w:rPr>
                <w:rFonts w:ascii="Arial" w:eastAsia="Calibri" w:hAnsi="Arial" w:cs="Arial"/>
                <w:sz w:val="18"/>
                <w:szCs w:val="18"/>
              </w:rPr>
            </w:pPr>
            <w:r>
              <w:rPr>
                <w:rFonts w:ascii="Arial" w:eastAsia="Calibri" w:hAnsi="Arial" w:cs="Arial"/>
                <w:sz w:val="18"/>
                <w:szCs w:val="18"/>
              </w:rPr>
              <w:t>D</w:t>
            </w:r>
          </w:p>
        </w:tc>
      </w:tr>
      <w:tr>
        <w:trPr>
          <w:trHeight w:val="233"/>
        </w:trPr>
        <w:tc>
          <w:tcPr>
            <w:tcW w:w="418" w:type="dxa"/>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p>
        </w:tc>
        <w:tc>
          <w:tcPr>
            <w:tcW w:w="488" w:type="dxa"/>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p>
        </w:tc>
        <w:tc>
          <w:tcPr>
            <w:tcW w:w="443" w:type="dxa"/>
            <w:shd w:val="clear" w:color="auto" w:fill="auto"/>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w:t>
            </w:r>
          </w:p>
        </w:tc>
        <w:tc>
          <w:tcPr>
            <w:tcW w:w="294" w:type="dxa"/>
          </w:tcPr>
          <w:p>
            <w:pPr>
              <w:spacing w:after="0" w:line="240" w:lineRule="auto"/>
              <w:jc w:val="center"/>
              <w:rPr>
                <w:rFonts w:ascii="Arial" w:eastAsia="Calibri" w:hAnsi="Arial" w:cs="Arial"/>
                <w:sz w:val="18"/>
                <w:szCs w:val="18"/>
              </w:rPr>
            </w:pPr>
            <w:r>
              <w:rPr>
                <w:rFonts w:ascii="Arial" w:eastAsia="Calibri" w:hAnsi="Arial" w:cs="Arial"/>
                <w:sz w:val="18"/>
                <w:szCs w:val="18"/>
              </w:rPr>
              <w:t>2</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3</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4</w:t>
            </w:r>
          </w:p>
        </w:tc>
        <w:tc>
          <w:tcPr>
            <w:tcW w:w="488"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5</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7</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8</w:t>
            </w:r>
          </w:p>
        </w:tc>
        <w:tc>
          <w:tcPr>
            <w:tcW w:w="294" w:type="dxa"/>
          </w:tcPr>
          <w:p>
            <w:pPr>
              <w:spacing w:after="0" w:line="240" w:lineRule="auto"/>
              <w:jc w:val="center"/>
              <w:rPr>
                <w:rFonts w:ascii="Arial" w:eastAsia="Calibri" w:hAnsi="Arial" w:cs="Arial"/>
                <w:sz w:val="18"/>
                <w:szCs w:val="18"/>
              </w:rPr>
            </w:pPr>
            <w:r>
              <w:rPr>
                <w:rFonts w:ascii="Arial" w:eastAsia="Calibri" w:hAnsi="Arial" w:cs="Arial"/>
                <w:sz w:val="18"/>
                <w:szCs w:val="18"/>
              </w:rPr>
              <w:t>9</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10</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11</w:t>
            </w:r>
          </w:p>
        </w:tc>
        <w:tc>
          <w:tcPr>
            <w:tcW w:w="488"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13</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15</w:t>
            </w:r>
          </w:p>
        </w:tc>
        <w:tc>
          <w:tcPr>
            <w:tcW w:w="294" w:type="dxa"/>
          </w:tcPr>
          <w:p>
            <w:pPr>
              <w:spacing w:after="0" w:line="240" w:lineRule="auto"/>
              <w:jc w:val="center"/>
              <w:rPr>
                <w:rFonts w:ascii="Arial" w:eastAsia="Calibri" w:hAnsi="Arial" w:cs="Arial"/>
                <w:sz w:val="18"/>
                <w:szCs w:val="18"/>
              </w:rPr>
            </w:pPr>
            <w:r>
              <w:rPr>
                <w:rFonts w:ascii="Arial" w:eastAsia="Calibri" w:hAnsi="Arial" w:cs="Arial"/>
                <w:sz w:val="18"/>
                <w:szCs w:val="18"/>
              </w:rPr>
              <w:t>16</w:t>
            </w:r>
          </w:p>
        </w:tc>
      </w:tr>
      <w:tr>
        <w:trPr>
          <w:trHeight w:val="244"/>
        </w:trPr>
        <w:tc>
          <w:tcPr>
            <w:tcW w:w="418"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17</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18</w:t>
            </w:r>
          </w:p>
        </w:tc>
        <w:tc>
          <w:tcPr>
            <w:tcW w:w="488"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19</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20</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21</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22</w:t>
            </w:r>
          </w:p>
        </w:tc>
        <w:tc>
          <w:tcPr>
            <w:tcW w:w="294" w:type="dxa"/>
          </w:tcPr>
          <w:p>
            <w:pPr>
              <w:spacing w:after="0" w:line="240" w:lineRule="auto"/>
              <w:jc w:val="center"/>
              <w:rPr>
                <w:rFonts w:ascii="Arial" w:eastAsia="Calibri" w:hAnsi="Arial" w:cs="Arial"/>
                <w:sz w:val="18"/>
                <w:szCs w:val="18"/>
              </w:rPr>
            </w:pPr>
            <w:r>
              <w:rPr>
                <w:rFonts w:ascii="Arial" w:eastAsia="Calibri" w:hAnsi="Arial" w:cs="Arial"/>
                <w:sz w:val="18"/>
                <w:szCs w:val="18"/>
              </w:rPr>
              <w:t>23</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24</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25</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26</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27</w:t>
            </w:r>
          </w:p>
        </w:tc>
        <w:tc>
          <w:tcPr>
            <w:tcW w:w="443"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28</w:t>
            </w:r>
          </w:p>
        </w:tc>
        <w:tc>
          <w:tcPr>
            <w:tcW w:w="443" w:type="dxa"/>
          </w:tcPr>
          <w:p>
            <w:pPr>
              <w:spacing w:after="0" w:line="240" w:lineRule="auto"/>
              <w:jc w:val="center"/>
              <w:rPr>
                <w:rFonts w:ascii="Arial" w:eastAsia="Calibri" w:hAnsi="Arial" w:cs="Arial"/>
                <w:sz w:val="18"/>
                <w:szCs w:val="18"/>
              </w:rPr>
            </w:pPr>
          </w:p>
        </w:tc>
        <w:tc>
          <w:tcPr>
            <w:tcW w:w="294" w:type="dxa"/>
          </w:tcPr>
          <w:p>
            <w:pPr>
              <w:spacing w:after="0" w:line="240" w:lineRule="auto"/>
              <w:jc w:val="center"/>
              <w:rPr>
                <w:rFonts w:ascii="Arial" w:eastAsia="Calibri" w:hAnsi="Arial" w:cs="Arial"/>
                <w:sz w:val="18"/>
                <w:szCs w:val="18"/>
              </w:rPr>
            </w:pPr>
          </w:p>
        </w:tc>
      </w:tr>
    </w:tbl>
    <w:p>
      <w:pPr>
        <w:tabs>
          <w:tab w:val="left" w:pos="866"/>
        </w:tabs>
        <w:spacing w:after="160" w:line="240" w:lineRule="auto"/>
        <w:rPr>
          <w:rFonts w:ascii="Arial" w:hAnsi="Arial" w:cs="Arial"/>
          <w:sz w:val="18"/>
          <w:szCs w:val="18"/>
          <w:shd w:val="clear" w:color="auto" w:fill="FFFFFF"/>
        </w:rPr>
      </w:pPr>
      <w:r>
        <w:rPr>
          <w:rFonts w:ascii="Arial" w:eastAsia="Times New Roman" w:hAnsi="Arial" w:cs="Arial"/>
          <w:color w:val="000000"/>
          <w:sz w:val="18"/>
          <w:szCs w:val="18"/>
          <w:shd w:val="clear" w:color="auto" w:fill="D9E2F3"/>
          <w:lang w:eastAsia="es-ES"/>
        </w:rPr>
        <w:t>Taller formación 3.</w:t>
      </w:r>
      <w:r>
        <w:rPr>
          <w:rFonts w:ascii="Arial" w:eastAsia="Times New Roman" w:hAnsi="Arial" w:cs="Arial"/>
          <w:color w:val="000000"/>
          <w:sz w:val="18"/>
          <w:szCs w:val="18"/>
          <w:lang w:eastAsia="es-ES"/>
        </w:rPr>
        <w:t xml:space="preserve"> Situación administrativa en España.</w:t>
      </w:r>
      <w:r>
        <w:rPr>
          <w:rFonts w:ascii="Arial" w:hAnsi="Arial" w:cs="Arial"/>
          <w:sz w:val="18"/>
          <w:szCs w:val="18"/>
          <w:shd w:val="clear" w:color="auto" w:fill="FFFFFF"/>
        </w:rPr>
        <w:t xml:space="preserve"> Día 4</w:t>
      </w:r>
    </w:p>
    <w:p>
      <w:pPr>
        <w:tabs>
          <w:tab w:val="left" w:pos="866"/>
        </w:tabs>
        <w:spacing w:after="160" w:line="240" w:lineRule="auto"/>
        <w:rPr>
          <w:rFonts w:ascii="Arial" w:hAnsi="Arial" w:cs="Arial"/>
          <w:sz w:val="18"/>
          <w:szCs w:val="18"/>
          <w:shd w:val="clear" w:color="auto" w:fill="FFFFFF"/>
        </w:rPr>
      </w:pPr>
      <w:r>
        <w:rPr>
          <w:rFonts w:ascii="Arial" w:eastAsia="Times New Roman" w:hAnsi="Arial" w:cs="Arial"/>
          <w:color w:val="000000"/>
          <w:sz w:val="18"/>
          <w:szCs w:val="18"/>
          <w:shd w:val="clear" w:color="auto" w:fill="D9E2F3"/>
          <w:lang w:eastAsia="es-ES"/>
        </w:rPr>
        <w:t>Taller orientación 1 A2.</w:t>
      </w:r>
      <w:r>
        <w:rPr>
          <w:rFonts w:ascii="Arial" w:eastAsia="Times New Roman" w:hAnsi="Arial" w:cs="Arial"/>
          <w:color w:val="000000"/>
          <w:sz w:val="18"/>
          <w:szCs w:val="18"/>
          <w:lang w:eastAsia="es-ES"/>
        </w:rPr>
        <w:t xml:space="preserve"> Currículum, auto candidatura. Día 5</w:t>
      </w:r>
    </w:p>
    <w:p>
      <w:pPr>
        <w:tabs>
          <w:tab w:val="left" w:pos="866"/>
        </w:tabs>
        <w:spacing w:after="160" w:line="240" w:lineRule="auto"/>
        <w:rPr>
          <w:rFonts w:ascii="Arial" w:hAnsi="Arial" w:cs="Arial"/>
          <w:sz w:val="18"/>
          <w:szCs w:val="18"/>
          <w:shd w:val="clear" w:color="auto" w:fill="FFFFFF"/>
        </w:rPr>
      </w:pPr>
      <w:r>
        <w:rPr>
          <w:rFonts w:ascii="Arial" w:eastAsia="Times New Roman" w:hAnsi="Arial" w:cs="Arial"/>
          <w:color w:val="000000"/>
          <w:sz w:val="18"/>
          <w:szCs w:val="18"/>
          <w:shd w:val="clear" w:color="auto" w:fill="D9E2F3"/>
          <w:lang w:eastAsia="es-ES"/>
        </w:rPr>
        <w:t>Taller formación 4.</w:t>
      </w:r>
      <w:r>
        <w:rPr>
          <w:rFonts w:ascii="Arial" w:eastAsia="Times New Roman" w:hAnsi="Arial" w:cs="Arial"/>
          <w:color w:val="000000"/>
          <w:sz w:val="18"/>
          <w:szCs w:val="18"/>
          <w:lang w:eastAsia="es-ES"/>
        </w:rPr>
        <w:t xml:space="preserve"> Autovaloración aptitudes y actitudes. Día 6</w:t>
      </w:r>
    </w:p>
    <w:p>
      <w:pPr>
        <w:spacing w:after="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shd w:val="clear" w:color="auto" w:fill="D9E2F3"/>
          <w:lang w:eastAsia="es-ES"/>
        </w:rPr>
        <w:t>Taller formación AD</w:t>
      </w:r>
      <w:r>
        <w:rPr>
          <w:rFonts w:ascii="Arial" w:eastAsia="Times New Roman" w:hAnsi="Arial" w:cs="Arial"/>
          <w:color w:val="000000"/>
          <w:sz w:val="18"/>
          <w:szCs w:val="18"/>
          <w:lang w:eastAsia="es-ES"/>
        </w:rPr>
        <w:t>. Ofimática básica y Word. Día 11</w:t>
      </w:r>
    </w:p>
    <w:p>
      <w:pPr>
        <w:tabs>
          <w:tab w:val="left" w:pos="866"/>
        </w:tabs>
        <w:spacing w:after="16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shd w:val="clear" w:color="auto" w:fill="D9E2F3"/>
          <w:lang w:eastAsia="es-ES"/>
        </w:rPr>
        <w:t>Taller formación 5</w:t>
      </w:r>
      <w:r>
        <w:rPr>
          <w:rFonts w:ascii="Arial" w:eastAsia="Times New Roman" w:hAnsi="Arial" w:cs="Arial"/>
          <w:color w:val="000000"/>
          <w:sz w:val="18"/>
          <w:szCs w:val="18"/>
          <w:lang w:eastAsia="es-ES"/>
        </w:rPr>
        <w:t xml:space="preserve">. Autoestima, asertividad… Día 12 </w:t>
      </w:r>
    </w:p>
    <w:p>
      <w:pPr>
        <w:spacing w:after="16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shd w:val="clear" w:color="auto" w:fill="D9E2F3"/>
          <w:lang w:eastAsia="es-ES"/>
        </w:rPr>
        <w:t>Taller formación AD</w:t>
      </w:r>
      <w:r>
        <w:rPr>
          <w:rFonts w:ascii="Arial" w:eastAsia="Times New Roman" w:hAnsi="Arial" w:cs="Arial"/>
          <w:color w:val="000000"/>
          <w:sz w:val="18"/>
          <w:szCs w:val="18"/>
          <w:lang w:eastAsia="es-ES"/>
        </w:rPr>
        <w:t>. Ciberseguridad, internet y correo. Día 14</w:t>
      </w:r>
    </w:p>
    <w:p>
      <w:pPr>
        <w:spacing w:after="16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t xml:space="preserve">           </w:t>
      </w:r>
      <w:r>
        <w:rPr>
          <w:rFonts w:ascii="Arial" w:eastAsia="Times New Roman" w:hAnsi="Arial" w:cs="Arial"/>
          <w:color w:val="000000"/>
          <w:sz w:val="18"/>
          <w:szCs w:val="18"/>
          <w:shd w:val="clear" w:color="auto" w:fill="D9E2F3"/>
          <w:lang w:eastAsia="es-ES"/>
        </w:rPr>
        <w:t>Taller formación AD</w:t>
      </w:r>
      <w:r>
        <w:rPr>
          <w:rFonts w:ascii="Arial" w:eastAsia="Times New Roman" w:hAnsi="Arial" w:cs="Arial"/>
          <w:color w:val="000000"/>
          <w:sz w:val="18"/>
          <w:szCs w:val="18"/>
          <w:lang w:eastAsia="es-ES"/>
        </w:rPr>
        <w:t>.  Excel. Día 17</w:t>
      </w:r>
    </w:p>
    <w:p>
      <w:pPr>
        <w:spacing w:after="16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t xml:space="preserve">           </w:t>
      </w:r>
      <w:r>
        <w:rPr>
          <w:rFonts w:ascii="Arial" w:eastAsia="Times New Roman" w:hAnsi="Arial" w:cs="Arial"/>
          <w:color w:val="000000"/>
          <w:sz w:val="18"/>
          <w:szCs w:val="18"/>
          <w:shd w:val="clear" w:color="auto" w:fill="D9E2F3"/>
          <w:lang w:eastAsia="es-ES"/>
        </w:rPr>
        <w:t>Taller formación AD</w:t>
      </w:r>
      <w:r>
        <w:rPr>
          <w:rFonts w:ascii="Arial" w:eastAsia="Times New Roman" w:hAnsi="Arial" w:cs="Arial"/>
          <w:color w:val="000000"/>
          <w:sz w:val="18"/>
          <w:szCs w:val="18"/>
          <w:lang w:eastAsia="es-ES"/>
        </w:rPr>
        <w:t>. Cv Canva. Día 18</w:t>
      </w:r>
    </w:p>
    <w:p>
      <w:pPr>
        <w:spacing w:after="160" w:line="240" w:lineRule="auto"/>
        <w:jc w:val="both"/>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t xml:space="preserve">           </w:t>
      </w:r>
      <w:r>
        <w:rPr>
          <w:rFonts w:ascii="Arial" w:eastAsia="Times New Roman" w:hAnsi="Arial" w:cs="Arial"/>
          <w:color w:val="000000"/>
          <w:sz w:val="18"/>
          <w:szCs w:val="18"/>
          <w:shd w:val="clear" w:color="auto" w:fill="D9E2F3"/>
          <w:lang w:eastAsia="es-ES"/>
        </w:rPr>
        <w:t>Taller formación AD</w:t>
      </w:r>
      <w:r>
        <w:rPr>
          <w:rFonts w:ascii="Arial" w:eastAsia="Times New Roman" w:hAnsi="Arial" w:cs="Arial"/>
          <w:color w:val="000000"/>
          <w:sz w:val="18"/>
          <w:szCs w:val="18"/>
          <w:lang w:eastAsia="es-ES"/>
        </w:rPr>
        <w:t>.  Trámites online y RRSS empleo. Día 19</w:t>
      </w:r>
    </w:p>
    <w:p>
      <w:pPr>
        <w:tabs>
          <w:tab w:val="left" w:pos="866"/>
        </w:tabs>
        <w:spacing w:after="160" w:line="240" w:lineRule="auto"/>
        <w:ind w:left="708"/>
        <w:jc w:val="both"/>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r>
      <w:r>
        <w:rPr>
          <w:rFonts w:ascii="Arial" w:eastAsia="Times New Roman" w:hAnsi="Arial" w:cs="Arial"/>
          <w:color w:val="000000"/>
          <w:sz w:val="18"/>
          <w:szCs w:val="18"/>
          <w:lang w:eastAsia="es-ES"/>
        </w:rPr>
        <w:tab/>
        <w:t xml:space="preserve">           </w:t>
      </w:r>
      <w:r>
        <w:rPr>
          <w:rFonts w:ascii="Arial" w:eastAsia="Times New Roman" w:hAnsi="Arial" w:cs="Arial"/>
          <w:color w:val="000000"/>
          <w:sz w:val="18"/>
          <w:szCs w:val="18"/>
          <w:shd w:val="clear" w:color="auto" w:fill="D9E2F3"/>
          <w:lang w:eastAsia="es-ES"/>
        </w:rPr>
        <w:t>Taller formación 6</w:t>
      </w:r>
      <w:r>
        <w:rPr>
          <w:rFonts w:ascii="Arial" w:eastAsia="Times New Roman" w:hAnsi="Arial" w:cs="Arial"/>
          <w:color w:val="000000"/>
          <w:sz w:val="18"/>
          <w:szCs w:val="18"/>
          <w:lang w:eastAsia="es-ES"/>
        </w:rPr>
        <w:t>. Empoderamiento. Día 20</w:t>
      </w: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tbl>
      <w:tblPr>
        <w:tblStyle w:val="Tablaconcuadrcula213"/>
        <w:tblpPr w:leftFromText="141" w:rightFromText="141" w:vertAnchor="text" w:tblpX="137" w:tblpY="1"/>
        <w:tblOverlap w:val="never"/>
        <w:tblW w:w="0" w:type="auto"/>
        <w:tblLook w:val="04A0" w:firstRow="1" w:lastRow="0" w:firstColumn="1" w:lastColumn="0" w:noHBand="0" w:noVBand="1"/>
      </w:tblPr>
      <w:tblGrid>
        <w:gridCol w:w="418"/>
        <w:gridCol w:w="443"/>
        <w:gridCol w:w="488"/>
        <w:gridCol w:w="443"/>
        <w:gridCol w:w="443"/>
        <w:gridCol w:w="443"/>
        <w:gridCol w:w="417"/>
      </w:tblGrid>
      <w:tr>
        <w:trPr>
          <w:trHeight w:val="391"/>
        </w:trPr>
        <w:tc>
          <w:tcPr>
            <w:tcW w:w="3095" w:type="dxa"/>
            <w:gridSpan w:val="7"/>
            <w:shd w:val="clear" w:color="auto" w:fill="ACB9CA"/>
          </w:tcPr>
          <w:p>
            <w:pPr>
              <w:spacing w:after="0" w:line="240" w:lineRule="auto"/>
              <w:rPr>
                <w:rFonts w:ascii="Arial" w:eastAsia="Calibri" w:hAnsi="Arial" w:cs="Arial"/>
                <w:b/>
                <w:sz w:val="18"/>
                <w:szCs w:val="18"/>
              </w:rPr>
            </w:pPr>
            <w:r>
              <w:rPr>
                <w:rFonts w:ascii="Arial" w:eastAsia="Calibri" w:hAnsi="Arial" w:cs="Arial"/>
                <w:b/>
                <w:sz w:val="18"/>
                <w:szCs w:val="18"/>
              </w:rPr>
              <w:t xml:space="preserve">                 MARZO  2025</w:t>
            </w:r>
          </w:p>
          <w:p>
            <w:pPr>
              <w:spacing w:after="0" w:line="240" w:lineRule="auto"/>
              <w:rPr>
                <w:rFonts w:ascii="Arial" w:eastAsia="Calibri" w:hAnsi="Arial" w:cs="Arial"/>
                <w:sz w:val="18"/>
                <w:szCs w:val="18"/>
              </w:rPr>
            </w:pPr>
          </w:p>
        </w:tc>
      </w:tr>
      <w:tr>
        <w:trPr>
          <w:trHeight w:val="244"/>
        </w:trPr>
        <w:tc>
          <w:tcPr>
            <w:tcW w:w="418" w:type="dxa"/>
          </w:tcPr>
          <w:p>
            <w:pPr>
              <w:spacing w:after="0" w:line="240" w:lineRule="auto"/>
              <w:jc w:val="center"/>
              <w:rPr>
                <w:rFonts w:ascii="Arial" w:eastAsia="Calibri" w:hAnsi="Arial" w:cs="Arial"/>
                <w:sz w:val="18"/>
                <w:szCs w:val="18"/>
              </w:rPr>
            </w:pPr>
            <w:r>
              <w:rPr>
                <w:rFonts w:ascii="Arial" w:eastAsia="Calibri" w:hAnsi="Arial" w:cs="Arial"/>
                <w:sz w:val="18"/>
                <w:szCs w:val="18"/>
              </w:rPr>
              <w:t>L</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M</w:t>
            </w:r>
          </w:p>
        </w:tc>
        <w:tc>
          <w:tcPr>
            <w:tcW w:w="488" w:type="dxa"/>
          </w:tcPr>
          <w:p>
            <w:pPr>
              <w:spacing w:after="0" w:line="240" w:lineRule="auto"/>
              <w:jc w:val="center"/>
              <w:rPr>
                <w:rFonts w:ascii="Arial" w:eastAsia="Calibri" w:hAnsi="Arial" w:cs="Arial"/>
                <w:sz w:val="18"/>
                <w:szCs w:val="18"/>
              </w:rPr>
            </w:pPr>
            <w:r>
              <w:rPr>
                <w:rFonts w:ascii="Arial" w:eastAsia="Calibri" w:hAnsi="Arial" w:cs="Arial"/>
                <w:sz w:val="18"/>
                <w:szCs w:val="18"/>
              </w:rPr>
              <w:t>MX</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J</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V</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S</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D</w:t>
            </w:r>
          </w:p>
        </w:tc>
      </w:tr>
      <w:tr>
        <w:trPr>
          <w:trHeight w:val="233"/>
        </w:trPr>
        <w:tc>
          <w:tcPr>
            <w:tcW w:w="418" w:type="dxa"/>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p>
        </w:tc>
        <w:tc>
          <w:tcPr>
            <w:tcW w:w="488" w:type="dxa"/>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p>
        </w:tc>
        <w:tc>
          <w:tcPr>
            <w:tcW w:w="443" w:type="dxa"/>
            <w:shd w:val="clear" w:color="auto" w:fill="auto"/>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3</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4</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5</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7</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8</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9</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10</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11</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13</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15</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16</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17</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18</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19</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20</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21</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22</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23</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24</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25</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26</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27</w:t>
            </w:r>
          </w:p>
        </w:tc>
        <w:tc>
          <w:tcPr>
            <w:tcW w:w="443"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28</w:t>
            </w:r>
          </w:p>
        </w:tc>
        <w:tc>
          <w:tcPr>
            <w:tcW w:w="443" w:type="dxa"/>
          </w:tcPr>
          <w:p>
            <w:pPr>
              <w:spacing w:after="0" w:line="240" w:lineRule="auto"/>
              <w:jc w:val="center"/>
              <w:rPr>
                <w:rFonts w:ascii="Arial" w:eastAsia="Calibri" w:hAnsi="Arial" w:cs="Arial"/>
                <w:sz w:val="18"/>
                <w:szCs w:val="18"/>
              </w:rPr>
            </w:pPr>
          </w:p>
        </w:tc>
        <w:tc>
          <w:tcPr>
            <w:tcW w:w="417" w:type="dxa"/>
          </w:tcPr>
          <w:p>
            <w:pPr>
              <w:spacing w:after="0" w:line="240" w:lineRule="auto"/>
              <w:jc w:val="center"/>
              <w:rPr>
                <w:rFonts w:ascii="Arial" w:eastAsia="Calibri" w:hAnsi="Arial" w:cs="Arial"/>
                <w:sz w:val="18"/>
                <w:szCs w:val="18"/>
              </w:rPr>
            </w:pPr>
          </w:p>
        </w:tc>
      </w:tr>
    </w:tbl>
    <w:p>
      <w:pPr>
        <w:spacing w:after="0" w:line="240" w:lineRule="auto"/>
        <w:jc w:val="both"/>
        <w:rPr>
          <w:rFonts w:ascii="Arial" w:eastAsia="Times New Roman" w:hAnsi="Arial" w:cs="Arial"/>
          <w:color w:val="000000"/>
          <w:sz w:val="18"/>
          <w:szCs w:val="18"/>
          <w:shd w:val="clear" w:color="auto" w:fill="D9E2F3"/>
          <w:lang w:eastAsia="es-ES"/>
        </w:rPr>
      </w:pPr>
    </w:p>
    <w:p>
      <w:pPr>
        <w:spacing w:after="0" w:line="240" w:lineRule="auto"/>
        <w:jc w:val="both"/>
        <w:rPr>
          <w:rFonts w:ascii="Arial" w:hAnsi="Arial" w:cs="Arial"/>
          <w:sz w:val="18"/>
          <w:szCs w:val="18"/>
        </w:rPr>
      </w:pPr>
      <w:r>
        <w:rPr>
          <w:rFonts w:ascii="Arial" w:eastAsia="Times New Roman" w:hAnsi="Arial" w:cs="Arial"/>
          <w:color w:val="000000"/>
          <w:sz w:val="18"/>
          <w:szCs w:val="18"/>
          <w:shd w:val="clear" w:color="auto" w:fill="D9E2F3"/>
          <w:lang w:eastAsia="es-ES"/>
        </w:rPr>
        <w:t>Taller orientación.</w:t>
      </w:r>
      <w:r>
        <w:rPr>
          <w:rFonts w:ascii="Arial" w:eastAsia="Times New Roman" w:hAnsi="Arial" w:cs="Arial"/>
          <w:color w:val="000000"/>
          <w:sz w:val="18"/>
          <w:szCs w:val="18"/>
          <w:lang w:eastAsia="es-ES"/>
        </w:rPr>
        <w:t xml:space="preserve"> Conociendo la Cadena Princess. Día 18</w:t>
      </w: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tbl>
      <w:tblPr>
        <w:tblStyle w:val="Tablaconcuadrcula213"/>
        <w:tblpPr w:leftFromText="141" w:rightFromText="141" w:vertAnchor="text" w:tblpX="137" w:tblpY="1"/>
        <w:tblOverlap w:val="never"/>
        <w:tblW w:w="0" w:type="auto"/>
        <w:tblLook w:val="04A0" w:firstRow="1" w:lastRow="0" w:firstColumn="1" w:lastColumn="0" w:noHBand="0" w:noVBand="1"/>
      </w:tblPr>
      <w:tblGrid>
        <w:gridCol w:w="418"/>
        <w:gridCol w:w="443"/>
        <w:gridCol w:w="488"/>
        <w:gridCol w:w="443"/>
        <w:gridCol w:w="443"/>
        <w:gridCol w:w="443"/>
        <w:gridCol w:w="417"/>
      </w:tblGrid>
      <w:tr>
        <w:trPr>
          <w:trHeight w:val="391"/>
        </w:trPr>
        <w:tc>
          <w:tcPr>
            <w:tcW w:w="3095" w:type="dxa"/>
            <w:gridSpan w:val="7"/>
            <w:shd w:val="clear" w:color="auto" w:fill="ACB9CA"/>
          </w:tcPr>
          <w:p>
            <w:pPr>
              <w:spacing w:after="0" w:line="240" w:lineRule="auto"/>
              <w:jc w:val="center"/>
              <w:rPr>
                <w:rFonts w:ascii="Arial" w:eastAsia="Calibri" w:hAnsi="Arial" w:cs="Arial"/>
                <w:b/>
                <w:sz w:val="18"/>
                <w:szCs w:val="18"/>
              </w:rPr>
            </w:pPr>
            <w:r>
              <w:rPr>
                <w:rFonts w:ascii="Arial" w:eastAsia="Calibri" w:hAnsi="Arial" w:cs="Arial"/>
                <w:b/>
                <w:sz w:val="18"/>
                <w:szCs w:val="18"/>
              </w:rPr>
              <w:t>ABRIL  2025</w:t>
            </w:r>
          </w:p>
          <w:p>
            <w:pPr>
              <w:spacing w:after="0" w:line="240" w:lineRule="auto"/>
              <w:rPr>
                <w:rFonts w:ascii="Arial" w:eastAsia="Calibri" w:hAnsi="Arial" w:cs="Arial"/>
                <w:sz w:val="18"/>
                <w:szCs w:val="18"/>
              </w:rPr>
            </w:pPr>
          </w:p>
        </w:tc>
      </w:tr>
      <w:tr>
        <w:trPr>
          <w:trHeight w:val="244"/>
        </w:trPr>
        <w:tc>
          <w:tcPr>
            <w:tcW w:w="418" w:type="dxa"/>
          </w:tcPr>
          <w:p>
            <w:pPr>
              <w:spacing w:after="0" w:line="240" w:lineRule="auto"/>
              <w:jc w:val="center"/>
              <w:rPr>
                <w:rFonts w:ascii="Arial" w:eastAsia="Calibri" w:hAnsi="Arial" w:cs="Arial"/>
                <w:sz w:val="18"/>
                <w:szCs w:val="18"/>
              </w:rPr>
            </w:pPr>
            <w:r>
              <w:rPr>
                <w:rFonts w:ascii="Arial" w:eastAsia="Calibri" w:hAnsi="Arial" w:cs="Arial"/>
                <w:sz w:val="18"/>
                <w:szCs w:val="18"/>
              </w:rPr>
              <w:t>L</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M</w:t>
            </w:r>
          </w:p>
        </w:tc>
        <w:tc>
          <w:tcPr>
            <w:tcW w:w="488" w:type="dxa"/>
          </w:tcPr>
          <w:p>
            <w:pPr>
              <w:spacing w:after="0" w:line="240" w:lineRule="auto"/>
              <w:jc w:val="center"/>
              <w:rPr>
                <w:rFonts w:ascii="Arial" w:eastAsia="Calibri" w:hAnsi="Arial" w:cs="Arial"/>
                <w:sz w:val="18"/>
                <w:szCs w:val="18"/>
              </w:rPr>
            </w:pPr>
            <w:r>
              <w:rPr>
                <w:rFonts w:ascii="Arial" w:eastAsia="Calibri" w:hAnsi="Arial" w:cs="Arial"/>
                <w:sz w:val="18"/>
                <w:szCs w:val="18"/>
              </w:rPr>
              <w:t>MX</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J</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V</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S</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D</w:t>
            </w:r>
          </w:p>
        </w:tc>
      </w:tr>
      <w:tr>
        <w:trPr>
          <w:trHeight w:val="233"/>
        </w:trPr>
        <w:tc>
          <w:tcPr>
            <w:tcW w:w="418" w:type="dxa"/>
          </w:tcPr>
          <w:p>
            <w:pPr>
              <w:spacing w:after="0" w:line="240" w:lineRule="auto"/>
              <w:jc w:val="center"/>
              <w:rPr>
                <w:rFonts w:ascii="Arial" w:eastAsia="Calibri" w:hAnsi="Arial" w:cs="Arial"/>
                <w:sz w:val="18"/>
                <w:szCs w:val="18"/>
              </w:rPr>
            </w:pP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w:t>
            </w:r>
          </w:p>
        </w:tc>
        <w:tc>
          <w:tcPr>
            <w:tcW w:w="488" w:type="dxa"/>
          </w:tcPr>
          <w:p>
            <w:pPr>
              <w:spacing w:after="0" w:line="240" w:lineRule="auto"/>
              <w:jc w:val="center"/>
              <w:rPr>
                <w:rFonts w:ascii="Arial" w:eastAsia="Calibri" w:hAnsi="Arial" w:cs="Arial"/>
                <w:sz w:val="18"/>
                <w:szCs w:val="18"/>
              </w:rPr>
            </w:pPr>
            <w:r>
              <w:rPr>
                <w:rFonts w:ascii="Arial" w:eastAsia="Calibri" w:hAnsi="Arial" w:cs="Arial"/>
                <w:sz w:val="18"/>
                <w:szCs w:val="18"/>
              </w:rPr>
              <w:t>2</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3</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4</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5</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6</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7</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8</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9</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10</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11</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13</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15</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16</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17</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18</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19</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20</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21</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22</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23</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24</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25</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26</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27</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28</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29</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30</w:t>
            </w:r>
          </w:p>
        </w:tc>
        <w:tc>
          <w:tcPr>
            <w:tcW w:w="443" w:type="dxa"/>
            <w:shd w:val="clear" w:color="auto" w:fill="auto"/>
          </w:tcPr>
          <w:p>
            <w:pPr>
              <w:spacing w:after="0" w:line="240" w:lineRule="auto"/>
              <w:jc w:val="center"/>
              <w:rPr>
                <w:rFonts w:ascii="Arial" w:eastAsia="Calibri" w:hAnsi="Arial" w:cs="Arial"/>
                <w:sz w:val="18"/>
                <w:szCs w:val="18"/>
              </w:rPr>
            </w:pPr>
          </w:p>
        </w:tc>
        <w:tc>
          <w:tcPr>
            <w:tcW w:w="443" w:type="dxa"/>
            <w:shd w:val="clear" w:color="auto" w:fill="FFFFFF"/>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p>
        </w:tc>
        <w:tc>
          <w:tcPr>
            <w:tcW w:w="417" w:type="dxa"/>
          </w:tcPr>
          <w:p>
            <w:pPr>
              <w:spacing w:after="0" w:line="240" w:lineRule="auto"/>
              <w:jc w:val="center"/>
              <w:rPr>
                <w:rFonts w:ascii="Arial" w:eastAsia="Calibri" w:hAnsi="Arial" w:cs="Arial"/>
                <w:sz w:val="18"/>
                <w:szCs w:val="18"/>
              </w:rPr>
            </w:pPr>
          </w:p>
        </w:tc>
      </w:tr>
    </w:tbl>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r>
        <w:rPr>
          <w:rFonts w:ascii="Arial" w:eastAsia="Times New Roman" w:hAnsi="Arial" w:cs="Arial"/>
          <w:color w:val="000000"/>
          <w:sz w:val="18"/>
          <w:szCs w:val="18"/>
          <w:shd w:val="clear" w:color="auto" w:fill="D9E2F3"/>
          <w:lang w:eastAsia="es-ES"/>
        </w:rPr>
        <w:t>Taller formación 8</w:t>
      </w:r>
      <w:r>
        <w:rPr>
          <w:rFonts w:ascii="Arial" w:eastAsia="Times New Roman" w:hAnsi="Arial" w:cs="Arial"/>
          <w:color w:val="000000"/>
          <w:sz w:val="18"/>
          <w:szCs w:val="18"/>
          <w:lang w:eastAsia="es-ES"/>
        </w:rPr>
        <w:t>. Motivación ante el empleo. Día 1</w:t>
      </w: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tbl>
      <w:tblPr>
        <w:tblStyle w:val="Tablaconcuadrcula213"/>
        <w:tblpPr w:leftFromText="141" w:rightFromText="141" w:vertAnchor="text" w:tblpX="137" w:tblpY="1"/>
        <w:tblOverlap w:val="never"/>
        <w:tblW w:w="0" w:type="auto"/>
        <w:tblLook w:val="04A0" w:firstRow="1" w:lastRow="0" w:firstColumn="1" w:lastColumn="0" w:noHBand="0" w:noVBand="1"/>
      </w:tblPr>
      <w:tblGrid>
        <w:gridCol w:w="418"/>
        <w:gridCol w:w="443"/>
        <w:gridCol w:w="488"/>
        <w:gridCol w:w="443"/>
        <w:gridCol w:w="443"/>
        <w:gridCol w:w="443"/>
        <w:gridCol w:w="417"/>
      </w:tblGrid>
      <w:tr>
        <w:trPr>
          <w:trHeight w:val="391"/>
        </w:trPr>
        <w:tc>
          <w:tcPr>
            <w:tcW w:w="3095" w:type="dxa"/>
            <w:gridSpan w:val="7"/>
            <w:shd w:val="clear" w:color="auto" w:fill="ACB9CA"/>
          </w:tcPr>
          <w:p>
            <w:pPr>
              <w:spacing w:after="0" w:line="240" w:lineRule="auto"/>
              <w:jc w:val="center"/>
              <w:rPr>
                <w:rFonts w:ascii="Arial" w:eastAsia="Calibri" w:hAnsi="Arial" w:cs="Arial"/>
                <w:b/>
                <w:sz w:val="18"/>
                <w:szCs w:val="18"/>
              </w:rPr>
            </w:pPr>
            <w:r>
              <w:rPr>
                <w:rFonts w:ascii="Arial" w:eastAsia="Calibri" w:hAnsi="Arial" w:cs="Arial"/>
                <w:b/>
                <w:sz w:val="18"/>
                <w:szCs w:val="18"/>
              </w:rPr>
              <w:t>MAYO  2025</w:t>
            </w:r>
          </w:p>
          <w:p>
            <w:pPr>
              <w:spacing w:after="0" w:line="240" w:lineRule="auto"/>
              <w:rPr>
                <w:rFonts w:ascii="Arial" w:eastAsia="Calibri" w:hAnsi="Arial" w:cs="Arial"/>
                <w:sz w:val="18"/>
                <w:szCs w:val="18"/>
              </w:rPr>
            </w:pPr>
          </w:p>
        </w:tc>
      </w:tr>
      <w:tr>
        <w:trPr>
          <w:trHeight w:val="244"/>
        </w:trPr>
        <w:tc>
          <w:tcPr>
            <w:tcW w:w="418" w:type="dxa"/>
          </w:tcPr>
          <w:p>
            <w:pPr>
              <w:spacing w:after="0" w:line="240" w:lineRule="auto"/>
              <w:jc w:val="center"/>
              <w:rPr>
                <w:rFonts w:ascii="Arial" w:eastAsia="Calibri" w:hAnsi="Arial" w:cs="Arial"/>
                <w:sz w:val="18"/>
                <w:szCs w:val="18"/>
              </w:rPr>
            </w:pPr>
            <w:r>
              <w:rPr>
                <w:rFonts w:ascii="Arial" w:eastAsia="Calibri" w:hAnsi="Arial" w:cs="Arial"/>
                <w:sz w:val="18"/>
                <w:szCs w:val="18"/>
              </w:rPr>
              <w:t>L</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M</w:t>
            </w:r>
          </w:p>
        </w:tc>
        <w:tc>
          <w:tcPr>
            <w:tcW w:w="488" w:type="dxa"/>
          </w:tcPr>
          <w:p>
            <w:pPr>
              <w:spacing w:after="0" w:line="240" w:lineRule="auto"/>
              <w:jc w:val="center"/>
              <w:rPr>
                <w:rFonts w:ascii="Arial" w:eastAsia="Calibri" w:hAnsi="Arial" w:cs="Arial"/>
                <w:sz w:val="18"/>
                <w:szCs w:val="18"/>
              </w:rPr>
            </w:pPr>
            <w:r>
              <w:rPr>
                <w:rFonts w:ascii="Arial" w:eastAsia="Calibri" w:hAnsi="Arial" w:cs="Arial"/>
                <w:sz w:val="18"/>
                <w:szCs w:val="18"/>
              </w:rPr>
              <w:t>MX</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J</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V</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S</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D</w:t>
            </w:r>
          </w:p>
        </w:tc>
      </w:tr>
      <w:tr>
        <w:trPr>
          <w:trHeight w:val="233"/>
        </w:trPr>
        <w:tc>
          <w:tcPr>
            <w:tcW w:w="418" w:type="dxa"/>
          </w:tcPr>
          <w:p>
            <w:pPr>
              <w:spacing w:after="0" w:line="240" w:lineRule="auto"/>
              <w:jc w:val="center"/>
              <w:rPr>
                <w:rFonts w:ascii="Arial" w:eastAsia="Calibri" w:hAnsi="Arial" w:cs="Arial"/>
                <w:sz w:val="18"/>
                <w:szCs w:val="18"/>
              </w:rPr>
            </w:pPr>
          </w:p>
        </w:tc>
        <w:tc>
          <w:tcPr>
            <w:tcW w:w="443" w:type="dxa"/>
            <w:shd w:val="clear" w:color="auto" w:fill="auto"/>
          </w:tcPr>
          <w:p>
            <w:pPr>
              <w:spacing w:after="0" w:line="240" w:lineRule="auto"/>
              <w:jc w:val="center"/>
              <w:rPr>
                <w:rFonts w:ascii="Arial" w:eastAsia="Calibri" w:hAnsi="Arial" w:cs="Arial"/>
                <w:sz w:val="18"/>
                <w:szCs w:val="18"/>
              </w:rPr>
            </w:pPr>
          </w:p>
        </w:tc>
        <w:tc>
          <w:tcPr>
            <w:tcW w:w="488" w:type="dxa"/>
          </w:tcPr>
          <w:p>
            <w:pPr>
              <w:spacing w:after="0" w:line="240" w:lineRule="auto"/>
              <w:jc w:val="center"/>
              <w:rPr>
                <w:rFonts w:ascii="Arial" w:eastAsia="Calibri" w:hAnsi="Arial" w:cs="Arial"/>
                <w:sz w:val="18"/>
                <w:szCs w:val="18"/>
              </w:rPr>
            </w:pP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3</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4</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5</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7</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8</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9</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10</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11</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443"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13</w:t>
            </w:r>
          </w:p>
        </w:tc>
        <w:tc>
          <w:tcPr>
            <w:tcW w:w="488"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15</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16</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17</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18</w:t>
            </w:r>
          </w:p>
        </w:tc>
      </w:tr>
      <w:tr>
        <w:trPr>
          <w:trHeight w:val="244"/>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19</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20</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21</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22</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23</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24</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25</w:t>
            </w:r>
          </w:p>
        </w:tc>
      </w:tr>
      <w:tr>
        <w:trPr>
          <w:trHeight w:val="233"/>
        </w:trPr>
        <w:tc>
          <w:tcPr>
            <w:tcW w:w="41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26</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27</w:t>
            </w:r>
          </w:p>
        </w:tc>
        <w:tc>
          <w:tcPr>
            <w:tcW w:w="488"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28</w:t>
            </w:r>
          </w:p>
        </w:tc>
        <w:tc>
          <w:tcPr>
            <w:tcW w:w="443"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29</w:t>
            </w:r>
          </w:p>
        </w:tc>
        <w:tc>
          <w:tcPr>
            <w:tcW w:w="443"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30</w:t>
            </w:r>
          </w:p>
        </w:tc>
        <w:tc>
          <w:tcPr>
            <w:tcW w:w="443" w:type="dxa"/>
          </w:tcPr>
          <w:p>
            <w:pPr>
              <w:spacing w:after="0" w:line="240" w:lineRule="auto"/>
              <w:jc w:val="center"/>
              <w:rPr>
                <w:rFonts w:ascii="Arial" w:eastAsia="Calibri" w:hAnsi="Arial" w:cs="Arial"/>
                <w:sz w:val="18"/>
                <w:szCs w:val="18"/>
              </w:rPr>
            </w:pPr>
            <w:r>
              <w:rPr>
                <w:rFonts w:ascii="Arial" w:eastAsia="Calibri" w:hAnsi="Arial" w:cs="Arial"/>
                <w:sz w:val="18"/>
                <w:szCs w:val="18"/>
              </w:rPr>
              <w:t>31</w:t>
            </w:r>
          </w:p>
        </w:tc>
        <w:tc>
          <w:tcPr>
            <w:tcW w:w="417" w:type="dxa"/>
          </w:tcPr>
          <w:p>
            <w:pPr>
              <w:spacing w:after="0" w:line="240" w:lineRule="auto"/>
              <w:jc w:val="center"/>
              <w:rPr>
                <w:rFonts w:ascii="Arial" w:eastAsia="Calibri" w:hAnsi="Arial" w:cs="Arial"/>
                <w:sz w:val="18"/>
                <w:szCs w:val="18"/>
              </w:rPr>
            </w:pPr>
          </w:p>
        </w:tc>
      </w:tr>
    </w:tbl>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r>
        <w:rPr>
          <w:rFonts w:ascii="Arial" w:eastAsia="Times New Roman" w:hAnsi="Arial" w:cs="Arial"/>
          <w:color w:val="000000"/>
          <w:sz w:val="18"/>
          <w:szCs w:val="18"/>
          <w:shd w:val="clear" w:color="auto" w:fill="D9E2F3"/>
          <w:lang w:eastAsia="es-ES"/>
        </w:rPr>
        <w:t xml:space="preserve">Formación </w:t>
      </w:r>
      <w:r>
        <w:rPr>
          <w:rFonts w:ascii="Arial" w:eastAsia="Times New Roman" w:hAnsi="Arial" w:cs="Arial"/>
          <w:color w:val="000000"/>
          <w:sz w:val="18"/>
          <w:szCs w:val="18"/>
          <w:lang w:eastAsia="es-ES"/>
        </w:rPr>
        <w:t>BAE y SOFT SKILLS. Días 13 y 14</w:t>
      </w: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tbl>
      <w:tblPr>
        <w:tblStyle w:val="Tablaconcuadrcula213"/>
        <w:tblpPr w:leftFromText="141" w:rightFromText="141" w:vertAnchor="text" w:horzAnchor="margin" w:tblpX="137" w:tblpY="25"/>
        <w:tblOverlap w:val="never"/>
        <w:tblW w:w="0" w:type="auto"/>
        <w:tblLook w:val="04A0" w:firstRow="1" w:lastRow="0" w:firstColumn="1" w:lastColumn="0" w:noHBand="0" w:noVBand="1"/>
      </w:tblPr>
      <w:tblGrid>
        <w:gridCol w:w="417"/>
        <w:gridCol w:w="417"/>
        <w:gridCol w:w="486"/>
        <w:gridCol w:w="417"/>
        <w:gridCol w:w="417"/>
        <w:gridCol w:w="417"/>
        <w:gridCol w:w="543"/>
      </w:tblGrid>
      <w:tr>
        <w:trPr>
          <w:trHeight w:val="373"/>
        </w:trPr>
        <w:tc>
          <w:tcPr>
            <w:tcW w:w="3114" w:type="dxa"/>
            <w:gridSpan w:val="7"/>
            <w:shd w:val="clear" w:color="auto" w:fill="ACB9CA"/>
          </w:tcPr>
          <w:p>
            <w:pPr>
              <w:spacing w:after="0" w:line="240" w:lineRule="auto"/>
              <w:jc w:val="center"/>
              <w:rPr>
                <w:rFonts w:ascii="Arial" w:eastAsia="Calibri" w:hAnsi="Arial" w:cs="Arial"/>
                <w:b/>
                <w:sz w:val="18"/>
                <w:szCs w:val="18"/>
              </w:rPr>
            </w:pPr>
            <w:r>
              <w:rPr>
                <w:rFonts w:ascii="Arial" w:eastAsia="Calibri" w:hAnsi="Arial" w:cs="Arial"/>
                <w:b/>
                <w:sz w:val="18"/>
                <w:szCs w:val="18"/>
              </w:rPr>
              <w:t xml:space="preserve">   </w:t>
            </w:r>
          </w:p>
          <w:p>
            <w:pPr>
              <w:spacing w:after="0" w:line="240" w:lineRule="auto"/>
              <w:rPr>
                <w:rFonts w:ascii="Arial" w:eastAsia="Calibri" w:hAnsi="Arial" w:cs="Arial"/>
                <w:sz w:val="18"/>
                <w:szCs w:val="18"/>
              </w:rPr>
            </w:pPr>
          </w:p>
        </w:tc>
      </w:tr>
      <w:tr>
        <w:trPr>
          <w:trHeight w:val="232"/>
        </w:trPr>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 xml:space="preserve"> L</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M</w:t>
            </w:r>
          </w:p>
        </w:tc>
        <w:tc>
          <w:tcPr>
            <w:tcW w:w="486" w:type="dxa"/>
          </w:tcPr>
          <w:p>
            <w:pPr>
              <w:spacing w:after="0" w:line="240" w:lineRule="auto"/>
              <w:jc w:val="center"/>
              <w:rPr>
                <w:rFonts w:ascii="Arial" w:eastAsia="Calibri" w:hAnsi="Arial" w:cs="Arial"/>
                <w:sz w:val="18"/>
                <w:szCs w:val="18"/>
              </w:rPr>
            </w:pPr>
            <w:r>
              <w:rPr>
                <w:rFonts w:ascii="Arial" w:eastAsia="Calibri" w:hAnsi="Arial" w:cs="Arial"/>
                <w:sz w:val="18"/>
                <w:szCs w:val="18"/>
              </w:rPr>
              <w:t>MX</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J</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V</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S</w:t>
            </w:r>
          </w:p>
        </w:tc>
        <w:tc>
          <w:tcPr>
            <w:tcW w:w="543" w:type="dxa"/>
          </w:tcPr>
          <w:p>
            <w:pPr>
              <w:spacing w:after="0" w:line="240" w:lineRule="auto"/>
              <w:jc w:val="center"/>
              <w:rPr>
                <w:rFonts w:ascii="Arial" w:eastAsia="Calibri" w:hAnsi="Arial" w:cs="Arial"/>
                <w:sz w:val="18"/>
                <w:szCs w:val="18"/>
              </w:rPr>
            </w:pPr>
            <w:r>
              <w:rPr>
                <w:rFonts w:ascii="Arial" w:eastAsia="Calibri" w:hAnsi="Arial" w:cs="Arial"/>
                <w:sz w:val="18"/>
                <w:szCs w:val="18"/>
              </w:rPr>
              <w:t>D</w:t>
            </w:r>
          </w:p>
        </w:tc>
      </w:tr>
      <w:tr>
        <w:trPr>
          <w:trHeight w:val="222"/>
        </w:trPr>
        <w:tc>
          <w:tcPr>
            <w:tcW w:w="417" w:type="dxa"/>
          </w:tcPr>
          <w:p>
            <w:pPr>
              <w:spacing w:after="0" w:line="240" w:lineRule="auto"/>
              <w:jc w:val="center"/>
              <w:rPr>
                <w:rFonts w:ascii="Arial" w:eastAsia="Calibri" w:hAnsi="Arial" w:cs="Arial"/>
                <w:sz w:val="18"/>
                <w:szCs w:val="18"/>
              </w:rPr>
            </w:pPr>
          </w:p>
        </w:tc>
        <w:tc>
          <w:tcPr>
            <w:tcW w:w="417" w:type="dxa"/>
            <w:shd w:val="clear" w:color="auto" w:fill="auto"/>
          </w:tcPr>
          <w:p>
            <w:pPr>
              <w:spacing w:after="0" w:line="240" w:lineRule="auto"/>
              <w:jc w:val="center"/>
              <w:rPr>
                <w:rFonts w:ascii="Arial" w:eastAsia="Calibri" w:hAnsi="Arial" w:cs="Arial"/>
                <w:sz w:val="18"/>
                <w:szCs w:val="18"/>
              </w:rPr>
            </w:pPr>
          </w:p>
        </w:tc>
        <w:tc>
          <w:tcPr>
            <w:tcW w:w="486" w:type="dxa"/>
          </w:tcPr>
          <w:p>
            <w:pPr>
              <w:spacing w:after="0" w:line="240" w:lineRule="auto"/>
              <w:jc w:val="center"/>
              <w:rPr>
                <w:rFonts w:ascii="Arial" w:eastAsia="Calibri" w:hAnsi="Arial" w:cs="Arial"/>
                <w:sz w:val="18"/>
                <w:szCs w:val="18"/>
              </w:rPr>
            </w:pPr>
          </w:p>
        </w:tc>
        <w:tc>
          <w:tcPr>
            <w:tcW w:w="417" w:type="dxa"/>
          </w:tcPr>
          <w:p>
            <w:pPr>
              <w:spacing w:after="0" w:line="240" w:lineRule="auto"/>
              <w:jc w:val="center"/>
              <w:rPr>
                <w:rFonts w:ascii="Arial" w:eastAsia="Calibri" w:hAnsi="Arial" w:cs="Arial"/>
                <w:sz w:val="18"/>
                <w:szCs w:val="18"/>
              </w:rPr>
            </w:pP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w:t>
            </w:r>
          </w:p>
        </w:tc>
        <w:tc>
          <w:tcPr>
            <w:tcW w:w="543" w:type="dxa"/>
          </w:tcPr>
          <w:p>
            <w:pPr>
              <w:spacing w:after="0" w:line="240" w:lineRule="auto"/>
              <w:jc w:val="center"/>
              <w:rPr>
                <w:rFonts w:ascii="Arial" w:eastAsia="Calibri" w:hAnsi="Arial" w:cs="Arial"/>
                <w:sz w:val="18"/>
                <w:szCs w:val="18"/>
              </w:rPr>
            </w:pPr>
            <w:r>
              <w:rPr>
                <w:rFonts w:ascii="Arial" w:eastAsia="Calibri" w:hAnsi="Arial" w:cs="Arial"/>
                <w:sz w:val="18"/>
                <w:szCs w:val="18"/>
              </w:rPr>
              <w:t>3</w:t>
            </w:r>
          </w:p>
        </w:tc>
      </w:tr>
      <w:tr>
        <w:trPr>
          <w:trHeight w:val="232"/>
        </w:trPr>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lastRenderedPageBreak/>
              <w:t>4</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5</w:t>
            </w:r>
          </w:p>
        </w:tc>
        <w:tc>
          <w:tcPr>
            <w:tcW w:w="486"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6</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7</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8</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9</w:t>
            </w:r>
          </w:p>
        </w:tc>
        <w:tc>
          <w:tcPr>
            <w:tcW w:w="543" w:type="dxa"/>
          </w:tcPr>
          <w:p>
            <w:pPr>
              <w:spacing w:after="0" w:line="240" w:lineRule="auto"/>
              <w:jc w:val="center"/>
              <w:rPr>
                <w:rFonts w:ascii="Arial" w:eastAsia="Calibri" w:hAnsi="Arial" w:cs="Arial"/>
                <w:sz w:val="18"/>
                <w:szCs w:val="18"/>
              </w:rPr>
            </w:pPr>
            <w:r>
              <w:rPr>
                <w:rFonts w:ascii="Arial" w:eastAsia="Calibri" w:hAnsi="Arial" w:cs="Arial"/>
                <w:sz w:val="18"/>
                <w:szCs w:val="18"/>
              </w:rPr>
              <w:t>10</w:t>
            </w:r>
          </w:p>
        </w:tc>
      </w:tr>
      <w:tr>
        <w:trPr>
          <w:trHeight w:val="222"/>
        </w:trPr>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11</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12</w:t>
            </w:r>
          </w:p>
        </w:tc>
        <w:tc>
          <w:tcPr>
            <w:tcW w:w="486" w:type="dxa"/>
            <w:shd w:val="clear" w:color="auto" w:fill="D9E2F3"/>
          </w:tcPr>
          <w:p>
            <w:pPr>
              <w:spacing w:after="0" w:line="240" w:lineRule="auto"/>
              <w:jc w:val="center"/>
              <w:rPr>
                <w:rFonts w:ascii="Arial" w:eastAsia="Calibri" w:hAnsi="Arial" w:cs="Arial"/>
                <w:sz w:val="18"/>
                <w:szCs w:val="18"/>
              </w:rPr>
            </w:pPr>
            <w:r>
              <w:rPr>
                <w:rFonts w:ascii="Arial" w:eastAsia="Calibri" w:hAnsi="Arial" w:cs="Arial"/>
                <w:sz w:val="18"/>
                <w:szCs w:val="18"/>
              </w:rPr>
              <w:t>13</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14</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15</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16</w:t>
            </w:r>
          </w:p>
        </w:tc>
        <w:tc>
          <w:tcPr>
            <w:tcW w:w="543" w:type="dxa"/>
          </w:tcPr>
          <w:p>
            <w:pPr>
              <w:spacing w:after="0" w:line="240" w:lineRule="auto"/>
              <w:jc w:val="center"/>
              <w:rPr>
                <w:rFonts w:ascii="Arial" w:eastAsia="Calibri" w:hAnsi="Arial" w:cs="Arial"/>
                <w:sz w:val="18"/>
                <w:szCs w:val="18"/>
              </w:rPr>
            </w:pPr>
            <w:r>
              <w:rPr>
                <w:rFonts w:ascii="Arial" w:eastAsia="Calibri" w:hAnsi="Arial" w:cs="Arial"/>
                <w:sz w:val="18"/>
                <w:szCs w:val="18"/>
              </w:rPr>
              <w:t>17</w:t>
            </w:r>
          </w:p>
        </w:tc>
      </w:tr>
      <w:tr>
        <w:trPr>
          <w:trHeight w:val="232"/>
        </w:trPr>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18</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19</w:t>
            </w:r>
          </w:p>
        </w:tc>
        <w:tc>
          <w:tcPr>
            <w:tcW w:w="486"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20</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21</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22</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23</w:t>
            </w:r>
          </w:p>
        </w:tc>
        <w:tc>
          <w:tcPr>
            <w:tcW w:w="543" w:type="dxa"/>
          </w:tcPr>
          <w:p>
            <w:pPr>
              <w:spacing w:after="0" w:line="240" w:lineRule="auto"/>
              <w:jc w:val="center"/>
              <w:rPr>
                <w:rFonts w:ascii="Arial" w:eastAsia="Calibri" w:hAnsi="Arial" w:cs="Arial"/>
                <w:sz w:val="18"/>
                <w:szCs w:val="18"/>
              </w:rPr>
            </w:pPr>
            <w:r>
              <w:rPr>
                <w:rFonts w:ascii="Arial" w:eastAsia="Calibri" w:hAnsi="Arial" w:cs="Arial"/>
                <w:sz w:val="18"/>
                <w:szCs w:val="18"/>
              </w:rPr>
              <w:t>24</w:t>
            </w:r>
          </w:p>
        </w:tc>
      </w:tr>
      <w:tr>
        <w:trPr>
          <w:trHeight w:val="222"/>
        </w:trPr>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25</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26</w:t>
            </w:r>
          </w:p>
        </w:tc>
        <w:tc>
          <w:tcPr>
            <w:tcW w:w="486"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27</w:t>
            </w:r>
          </w:p>
        </w:tc>
        <w:tc>
          <w:tcPr>
            <w:tcW w:w="417" w:type="dxa"/>
            <w:shd w:val="clear" w:color="auto" w:fill="auto"/>
          </w:tcPr>
          <w:p>
            <w:pPr>
              <w:spacing w:after="0" w:line="240" w:lineRule="auto"/>
              <w:jc w:val="center"/>
              <w:rPr>
                <w:rFonts w:ascii="Arial" w:eastAsia="Calibri" w:hAnsi="Arial" w:cs="Arial"/>
                <w:sz w:val="18"/>
                <w:szCs w:val="18"/>
              </w:rPr>
            </w:pPr>
            <w:r>
              <w:rPr>
                <w:rFonts w:ascii="Arial" w:eastAsia="Calibri" w:hAnsi="Arial" w:cs="Arial"/>
                <w:sz w:val="18"/>
                <w:szCs w:val="18"/>
              </w:rPr>
              <w:t>29</w:t>
            </w:r>
          </w:p>
        </w:tc>
        <w:tc>
          <w:tcPr>
            <w:tcW w:w="417" w:type="dxa"/>
            <w:shd w:val="clear" w:color="auto" w:fill="FFFFFF"/>
          </w:tcPr>
          <w:p>
            <w:pPr>
              <w:spacing w:after="0" w:line="240" w:lineRule="auto"/>
              <w:jc w:val="center"/>
              <w:rPr>
                <w:rFonts w:ascii="Arial" w:eastAsia="Calibri" w:hAnsi="Arial" w:cs="Arial"/>
                <w:sz w:val="18"/>
                <w:szCs w:val="18"/>
              </w:rPr>
            </w:pPr>
            <w:r>
              <w:rPr>
                <w:rFonts w:ascii="Arial" w:eastAsia="Calibri" w:hAnsi="Arial" w:cs="Arial"/>
                <w:sz w:val="18"/>
                <w:szCs w:val="18"/>
              </w:rPr>
              <w:t>29</w:t>
            </w:r>
          </w:p>
        </w:tc>
        <w:tc>
          <w:tcPr>
            <w:tcW w:w="417" w:type="dxa"/>
          </w:tcPr>
          <w:p>
            <w:pPr>
              <w:spacing w:after="0" w:line="240" w:lineRule="auto"/>
              <w:jc w:val="center"/>
              <w:rPr>
                <w:rFonts w:ascii="Arial" w:eastAsia="Calibri" w:hAnsi="Arial" w:cs="Arial"/>
                <w:sz w:val="18"/>
                <w:szCs w:val="18"/>
              </w:rPr>
            </w:pPr>
            <w:r>
              <w:rPr>
                <w:rFonts w:ascii="Arial" w:eastAsia="Calibri" w:hAnsi="Arial" w:cs="Arial"/>
                <w:sz w:val="18"/>
                <w:szCs w:val="18"/>
              </w:rPr>
              <w:t>30</w:t>
            </w:r>
          </w:p>
        </w:tc>
        <w:tc>
          <w:tcPr>
            <w:tcW w:w="543" w:type="dxa"/>
          </w:tcPr>
          <w:p>
            <w:pPr>
              <w:spacing w:after="0" w:line="240" w:lineRule="auto"/>
              <w:jc w:val="center"/>
              <w:rPr>
                <w:rFonts w:ascii="Arial" w:eastAsia="Calibri" w:hAnsi="Arial" w:cs="Arial"/>
                <w:sz w:val="18"/>
                <w:szCs w:val="18"/>
              </w:rPr>
            </w:pPr>
            <w:r>
              <w:rPr>
                <w:rFonts w:ascii="Arial" w:eastAsia="Calibri" w:hAnsi="Arial" w:cs="Arial"/>
                <w:sz w:val="18"/>
                <w:szCs w:val="18"/>
              </w:rPr>
              <w:t>31</w:t>
            </w:r>
          </w:p>
        </w:tc>
      </w:tr>
    </w:tbl>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shd w:val="clear" w:color="auto" w:fill="C6D9F1" w:themeFill="text2" w:themeFillTint="33"/>
          <w:lang w:eastAsia="es-ES"/>
        </w:rPr>
        <w:t xml:space="preserve"> Taller orientación</w:t>
      </w:r>
      <w:r>
        <w:rPr>
          <w:rFonts w:ascii="Arial" w:eastAsia="Times New Roman" w:hAnsi="Arial" w:cs="Arial"/>
          <w:color w:val="000000"/>
          <w:sz w:val="18"/>
          <w:szCs w:val="18"/>
          <w:lang w:eastAsia="es-ES"/>
        </w:rPr>
        <w:t>. Entrevista de selección. Día 13</w:t>
      </w: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hAnsi="Arial" w:cs="Arial"/>
          <w:sz w:val="18"/>
          <w:szCs w:val="18"/>
        </w:rPr>
      </w:pPr>
    </w:p>
    <w:p>
      <w:pPr>
        <w:spacing w:after="0" w:line="240" w:lineRule="auto"/>
        <w:jc w:val="both"/>
        <w:rPr>
          <w:rFonts w:ascii="Arial" w:eastAsia="Times New Roman" w:hAnsi="Arial" w:cs="Arial"/>
          <w:b/>
          <w:sz w:val="24"/>
          <w:szCs w:val="24"/>
          <w:u w:val="single"/>
        </w:rPr>
      </w:pPr>
    </w:p>
    <w:p>
      <w:pPr>
        <w:spacing w:after="0" w:line="240" w:lineRule="auto"/>
        <w:jc w:val="both"/>
        <w:rPr>
          <w:rFonts w:ascii="Arial" w:eastAsia="Times New Roman" w:hAnsi="Arial" w:cs="Arial"/>
          <w:b/>
          <w:sz w:val="24"/>
          <w:szCs w:val="24"/>
          <w:u w:val="single"/>
        </w:rPr>
      </w:pPr>
    </w:p>
    <w:p>
      <w:pPr>
        <w:spacing w:after="0" w:line="360" w:lineRule="auto"/>
        <w:jc w:val="both"/>
        <w:rPr>
          <w:rFonts w:ascii="Arial" w:eastAsia="Times New Roman" w:hAnsi="Arial" w:cs="Arial"/>
          <w:b/>
          <w:sz w:val="24"/>
          <w:szCs w:val="24"/>
          <w:u w:val="single"/>
        </w:rPr>
      </w:pPr>
      <w:r>
        <w:rPr>
          <w:rFonts w:ascii="Arial" w:eastAsia="Times New Roman" w:hAnsi="Arial" w:cs="Arial"/>
          <w:b/>
          <w:sz w:val="24"/>
          <w:szCs w:val="24"/>
          <w:u w:val="single"/>
        </w:rPr>
        <w:t>FASE B:</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Se inicia el día </w:t>
      </w:r>
      <w:r>
        <w:rPr>
          <w:rFonts w:ascii="Arial" w:eastAsia="Times New Roman" w:hAnsi="Arial" w:cs="Arial"/>
          <w:color w:val="000000"/>
          <w:sz w:val="24"/>
          <w:szCs w:val="24"/>
        </w:rPr>
        <w:t>24 de febrero de 2025</w:t>
      </w:r>
      <w:r>
        <w:rPr>
          <w:rFonts w:ascii="Arial" w:eastAsia="Times New Roman" w:hAnsi="Arial" w:cs="Arial"/>
          <w:sz w:val="24"/>
          <w:szCs w:val="24"/>
        </w:rPr>
        <w:t xml:space="preserve">, fecha en la que se notifica y se lleva a afecto el registro electrónico.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Esta fase tiene por objeto realizar los itinerarios personales e integrados de acciones de orientación, asesoramiento y formación ajustada al perfil de empleabilidad de cada una de las mujeres participantes. La formación impartida se orienta a adquirir una cualificación profesional que aumente la empleabilidad de las mujeres participantes y sus posibilidades de acceso al empleo.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Durante esta fase se desarrolla las acciones formativas que permiten mejorar la capacitación de las mujeres, de forma que adquieran, actualicen, reciclen y completen el perfil de las competencias profesionales adecuadas para cubrir vacantes en puestos existentes en empresas con las que se hayan establecido los correspondientes compromisos de contratación y que cumplan con el interés profesional manifestado por las participantes del proyecto.</w:t>
      </w:r>
    </w:p>
    <w:p>
      <w:pPr>
        <w:keepNext/>
        <w:keepLines/>
        <w:spacing w:before="320" w:after="80" w:line="360" w:lineRule="auto"/>
        <w:outlineLvl w:val="0"/>
        <w:rPr>
          <w:rFonts w:ascii="Arial" w:eastAsia="Times New Roman" w:hAnsi="Arial" w:cs="Arial"/>
          <w:b/>
          <w:sz w:val="24"/>
          <w:szCs w:val="24"/>
        </w:rPr>
      </w:pPr>
      <w:bookmarkStart w:id="6" w:name="_Toc123488819"/>
      <w:r>
        <w:rPr>
          <w:rFonts w:ascii="Arial" w:eastAsia="Times New Roman" w:hAnsi="Arial" w:cs="Arial"/>
          <w:b/>
          <w:sz w:val="24"/>
          <w:szCs w:val="24"/>
        </w:rPr>
        <w:t>Objetivos fase B</w:t>
      </w:r>
      <w:bookmarkEnd w:id="6"/>
    </w:p>
    <w:p>
      <w:pPr>
        <w:numPr>
          <w:ilvl w:val="0"/>
          <w:numId w:val="130"/>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Desarrollar acciones formativas profesionalizantes.</w:t>
      </w:r>
    </w:p>
    <w:p>
      <w:pPr>
        <w:numPr>
          <w:ilvl w:val="0"/>
          <w:numId w:val="130"/>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Realizar formación complementaria y transversal de herramientas BAE y Soft Skills.</w:t>
      </w:r>
    </w:p>
    <w:p>
      <w:pPr>
        <w:numPr>
          <w:ilvl w:val="0"/>
          <w:numId w:val="130"/>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Mejorar la capacitación de la mujer.</w:t>
      </w:r>
    </w:p>
    <w:p>
      <w:pPr>
        <w:numPr>
          <w:ilvl w:val="0"/>
          <w:numId w:val="131"/>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t>Adquirir, actualizar y/o completar el perfil de sus competencias profesionales.</w:t>
      </w:r>
    </w:p>
    <w:p>
      <w:pPr>
        <w:spacing w:after="0" w:line="360" w:lineRule="auto"/>
        <w:jc w:val="both"/>
        <w:rPr>
          <w:rFonts w:ascii="Arial" w:eastAsia="Times New Roman" w:hAnsi="Arial" w:cs="Arial"/>
          <w:b/>
          <w:sz w:val="24"/>
          <w:szCs w:val="24"/>
        </w:rPr>
      </w:pPr>
      <w:bookmarkStart w:id="7" w:name="_Toc123488820"/>
    </w:p>
    <w:p>
      <w:pPr>
        <w:spacing w:after="0" w:line="360" w:lineRule="auto"/>
        <w:jc w:val="both"/>
        <w:rPr>
          <w:rFonts w:ascii="Arial" w:eastAsia="Times New Roman" w:hAnsi="Arial" w:cs="Arial"/>
          <w:b/>
          <w:sz w:val="24"/>
          <w:szCs w:val="24"/>
        </w:rPr>
      </w:pPr>
      <w:r>
        <w:rPr>
          <w:rFonts w:ascii="Arial" w:eastAsia="Times New Roman" w:hAnsi="Arial" w:cs="Arial"/>
          <w:b/>
          <w:sz w:val="24"/>
          <w:szCs w:val="24"/>
        </w:rPr>
        <w:t>Acciones</w:t>
      </w:r>
      <w:bookmarkEnd w:id="7"/>
      <w:r>
        <w:rPr>
          <w:rFonts w:ascii="Arial" w:eastAsia="Times New Roman" w:hAnsi="Arial" w:cs="Arial"/>
          <w:b/>
          <w:sz w:val="24"/>
          <w:szCs w:val="24"/>
        </w:rPr>
        <w:t xml:space="preserve"> </w:t>
      </w:r>
    </w:p>
    <w:p>
      <w:pPr>
        <w:spacing w:after="0" w:line="360" w:lineRule="auto"/>
        <w:jc w:val="both"/>
        <w:rPr>
          <w:rFonts w:ascii="Arial" w:eastAsia="Times New Roman" w:hAnsi="Arial" w:cs="Arial"/>
          <w:b/>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En base a los datos recopilados durante la Fase A, resultado de las distintas acciones desarrolladas y del análisis de los intereses profesionales manifestados por las participantes del proyecto, al mismo tiempo, se ha procedido a la solicitud de presupuestos a diversas entidades de formación acreditadas. Dichas entidades imparten Certificados de Profesionalidad conforme a las Especialidades incluidas en el Catálogo de Especialidades Formativas, regulado por la Orden TMS/283/2019, de 12 de marzo.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Tras el análisis de la oferta formativa, el certificado de profesionalidad que presenta un mayor grado de alineación con los intereses detectados es el de "Operaciones Básicas de Restaurante y Bar" (Nivel 1), perteneciente a la familia profesional de Hostelería y Turismo.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De forma complementaria, y con el objetivo de atender las demandas actuales del sector, se propone la implementación de dos módulos específicos correspondientes al certificado de nivel 2: Servicio en restaurante, con una duración de 130 horas e Inglés profesional para servicios de restauración, con una duración de 90 horas.</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Esta propuesta, busca reforzar las competencias técnicas y lingüísticas de las participantes, favoreciendo su empleabilidad y adaptación a los estándares de calidad requeridos por el mercado laboral en el ámbito de la restauración y hostelería.</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Durante el desarrollo del proceso formativo, se ha planificado la ejecución de las acciones seleccionadas garantizando el cumplimiento de los límites establecidos de 8 horas diarias y 40 horas semanales de formación, conforme a la normativa vigente.</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Asimismo, se ha prestado especial atención a las circunstancias personales de las participantes con responsabilidades familiares, especialmente madres con hijos o hijas menores a cargo, promoviendo la adopción de medidas de conciliación que faciliten su participación en las actividades programadas.</w:t>
      </w:r>
    </w:p>
    <w:p>
      <w:pPr>
        <w:spacing w:after="0" w:line="360" w:lineRule="auto"/>
        <w:jc w:val="both"/>
        <w:rPr>
          <w:rFonts w:ascii="Arial" w:eastAsia="Times New Roman" w:hAnsi="Arial" w:cs="Arial"/>
          <w:sz w:val="24"/>
          <w:szCs w:val="24"/>
        </w:rPr>
      </w:pPr>
      <w:r>
        <w:rPr>
          <w:rFonts w:ascii="Arial" w:eastAsia="Times New Roman" w:hAnsi="Arial" w:cs="Arial"/>
          <w:sz w:val="24"/>
          <w:szCs w:val="24"/>
        </w:rPr>
        <w:lastRenderedPageBreak/>
        <w:t>Como acción formativa complementaria y transversal, se implementa el curso de Herramientas BAE (Búsqueda Activa de Empleo) y Competencias Transversales (Soft Skills), orientado al fortalecimiento de las habilidades personales y profesionales necesarias para la inserción laboral efectiva.</w:t>
      </w:r>
    </w:p>
    <w:p>
      <w:pPr>
        <w:keepNext/>
        <w:keepLines/>
        <w:shd w:val="clear" w:color="auto" w:fill="D0CECE"/>
        <w:spacing w:before="160" w:after="40" w:line="360" w:lineRule="auto"/>
        <w:jc w:val="center"/>
        <w:outlineLvl w:val="1"/>
        <w:rPr>
          <w:rFonts w:ascii="Arial" w:eastAsia="Times New Roman" w:hAnsi="Arial" w:cs="Arial"/>
          <w:b/>
          <w:sz w:val="24"/>
          <w:szCs w:val="24"/>
        </w:rPr>
      </w:pPr>
      <w:bookmarkStart w:id="8" w:name="_Toc123488821"/>
      <w:r>
        <w:rPr>
          <w:rFonts w:ascii="Arial" w:eastAsia="Times New Roman" w:hAnsi="Arial" w:cs="Arial"/>
          <w:b/>
          <w:sz w:val="24"/>
          <w:szCs w:val="24"/>
        </w:rPr>
        <w:t>Acción formativa transversal. BAE y SOFT SKILLS</w:t>
      </w:r>
      <w:bookmarkEnd w:id="8"/>
    </w:p>
    <w:p>
      <w:pPr>
        <w:spacing w:before="240" w:after="160" w:line="360" w:lineRule="auto"/>
        <w:jc w:val="both"/>
        <w:rPr>
          <w:rFonts w:ascii="Arial" w:eastAsia="Times New Roman" w:hAnsi="Arial" w:cs="Arial"/>
          <w:sz w:val="24"/>
          <w:szCs w:val="24"/>
        </w:rPr>
      </w:pPr>
      <w:r>
        <w:rPr>
          <w:rFonts w:ascii="Arial" w:eastAsia="Times New Roman" w:hAnsi="Arial" w:cs="Arial"/>
          <w:sz w:val="24"/>
          <w:szCs w:val="24"/>
        </w:rPr>
        <w:t>Objetivo: adquirir un conjunto de competencias psicosociales básicas para el conjunto de ocupaciones y cuyos contenidos se recogen en la siguiente tabla:</w:t>
      </w:r>
    </w:p>
    <w:tbl>
      <w:tblPr>
        <w:tblStyle w:val="Tablaconcuadrcula39"/>
        <w:tblW w:w="0" w:type="auto"/>
        <w:tblInd w:w="-15" w:type="dxa"/>
        <w:tblLook w:val="04A0" w:firstRow="1" w:lastRow="0" w:firstColumn="1" w:lastColumn="0" w:noHBand="0" w:noVBand="1"/>
      </w:tblPr>
      <w:tblGrid>
        <w:gridCol w:w="8364"/>
      </w:tblGrid>
      <w:tr>
        <w:tc>
          <w:tcPr>
            <w:tcW w:w="8364" w:type="dxa"/>
            <w:tcBorders>
              <w:top w:val="single" w:sz="12" w:space="0" w:color="FFC000"/>
              <w:left w:val="single" w:sz="12" w:space="0" w:color="FFC000"/>
              <w:bottom w:val="single" w:sz="12" w:space="0" w:color="FFC000"/>
              <w:right w:val="single" w:sz="12" w:space="0" w:color="FFC000"/>
            </w:tcBorders>
            <w:shd w:val="clear" w:color="auto" w:fill="8EAADB"/>
          </w:tcPr>
          <w:p>
            <w:pPr>
              <w:spacing w:after="160" w:line="240" w:lineRule="auto"/>
              <w:contextualSpacing/>
              <w:jc w:val="center"/>
              <w:rPr>
                <w:rFonts w:ascii="Arial" w:hAnsi="Arial" w:cs="Arial"/>
                <w:b/>
                <w:sz w:val="20"/>
                <w:szCs w:val="20"/>
              </w:rPr>
            </w:pPr>
            <w:r>
              <w:rPr>
                <w:rFonts w:ascii="Arial" w:hAnsi="Arial" w:cs="Arial"/>
                <w:b/>
                <w:sz w:val="20"/>
                <w:szCs w:val="20"/>
              </w:rPr>
              <w:t>CONTENIDOS</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Mercado laboral: autoanálisis; perfil profesional.</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Identificar y conocer el sistema operativo. Usar explorador Windows.</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 xml:space="preserve">Gestionar archivos de Word. </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Redactar un currículum vitae de acuerdo a nuestro perfil profesional: ¿qué es una carta de presentación?.</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Enviar un CV y carta de presentación por correo electrónico.</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Canales para la búsqueda de empleo: búsquedas de ofertas por internet.</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Identificar las redes profesionales disponibles.</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Preparar una presentación profesional de acuerdo a nuestro perfil y objetivos: prepara la entrevista; momento de la entrevista.</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Realizar una búsqueda de formación online, semipresencial o a distancia.</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Registrar nuestra identificación digital y realizar un trámite administrativo online.</w:t>
            </w:r>
          </w:p>
        </w:tc>
      </w:tr>
      <w:tr>
        <w:tc>
          <w:tcPr>
            <w:tcW w:w="8364" w:type="dxa"/>
            <w:tcBorders>
              <w:top w:val="single" w:sz="12" w:space="0" w:color="FFC000"/>
              <w:left w:val="single" w:sz="12" w:space="0" w:color="FFC000"/>
              <w:bottom w:val="single" w:sz="12" w:space="0" w:color="FFC000"/>
              <w:right w:val="single" w:sz="12" w:space="0" w:color="FFC000"/>
            </w:tcBorders>
            <w:vAlign w:val="center"/>
          </w:tcPr>
          <w:p>
            <w:pPr>
              <w:numPr>
                <w:ilvl w:val="0"/>
                <w:numId w:val="134"/>
              </w:numPr>
              <w:spacing w:after="160" w:line="240" w:lineRule="auto"/>
              <w:contextualSpacing/>
              <w:rPr>
                <w:rFonts w:ascii="Arial" w:hAnsi="Arial" w:cs="Arial"/>
                <w:sz w:val="20"/>
                <w:szCs w:val="20"/>
              </w:rPr>
            </w:pPr>
            <w:r>
              <w:rPr>
                <w:rFonts w:ascii="Arial" w:hAnsi="Arial" w:cs="Arial"/>
                <w:sz w:val="20"/>
                <w:szCs w:val="20"/>
              </w:rPr>
              <w:t>La imagen personal en la entrevista de selección.</w:t>
            </w:r>
          </w:p>
        </w:tc>
      </w:tr>
    </w:tbl>
    <w:p>
      <w:pPr>
        <w:spacing w:after="160" w:line="360" w:lineRule="auto"/>
        <w:jc w:val="both"/>
        <w:rPr>
          <w:rFonts w:ascii="Arial" w:eastAsia="Times New Roman" w:hAnsi="Arial" w:cs="Arial"/>
          <w:sz w:val="24"/>
          <w:szCs w:val="24"/>
        </w:rPr>
      </w:pPr>
      <w:r>
        <w:rPr>
          <w:rFonts w:ascii="Arial" w:eastAsia="Times New Roman" w:hAnsi="Arial" w:cs="Arial"/>
          <w:sz w:val="24"/>
          <w:szCs w:val="24"/>
        </w:rPr>
        <w:t>Esta formación, con una duración de diez horas, se lleva a cabo en las instalaciones de Europea de Formación Y Consultoría, S.L.U., cita en la calle San Bernardo, 8, en Las Palmas de Gran Canaria.</w:t>
      </w:r>
    </w:p>
    <w:p>
      <w:pPr>
        <w:spacing w:after="0" w:line="240" w:lineRule="auto"/>
        <w:jc w:val="center"/>
        <w:rPr>
          <w:rFonts w:ascii="Arial" w:eastAsia="Times New Roman" w:hAnsi="Arial" w:cs="Arial"/>
          <w:b/>
          <w:sz w:val="24"/>
          <w:szCs w:val="24"/>
        </w:rPr>
      </w:pPr>
      <w:r>
        <w:rPr>
          <w:rFonts w:ascii="Arial" w:eastAsia="Times New Roman" w:hAnsi="Arial" w:cs="Arial"/>
          <w:b/>
          <w:sz w:val="24"/>
          <w:szCs w:val="24"/>
        </w:rPr>
        <w:t>Temporalización talleres Formación/Orientación</w:t>
      </w:r>
    </w:p>
    <w:p>
      <w:pPr>
        <w:spacing w:after="0" w:line="240" w:lineRule="auto"/>
        <w:jc w:val="center"/>
        <w:rPr>
          <w:rFonts w:ascii="Arial" w:eastAsia="Times New Roman" w:hAnsi="Arial" w:cs="Arial"/>
          <w:sz w:val="21"/>
          <w:szCs w:val="21"/>
        </w:rPr>
      </w:pPr>
    </w:p>
    <w:tbl>
      <w:tblPr>
        <w:tblStyle w:val="Tablaconcuadrcula39"/>
        <w:tblW w:w="8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3"/>
        <w:gridCol w:w="597"/>
        <w:gridCol w:w="597"/>
        <w:gridCol w:w="463"/>
        <w:gridCol w:w="463"/>
        <w:gridCol w:w="463"/>
        <w:gridCol w:w="464"/>
        <w:gridCol w:w="4926"/>
      </w:tblGrid>
      <w:tr>
        <w:trPr>
          <w:trHeight w:val="206"/>
        </w:trPr>
        <w:tc>
          <w:tcPr>
            <w:tcW w:w="3510" w:type="dxa"/>
            <w:gridSpan w:val="7"/>
            <w:tcBorders>
              <w:top w:val="double" w:sz="4" w:space="0" w:color="auto"/>
              <w:left w:val="double" w:sz="4" w:space="0" w:color="auto"/>
              <w:bottom w:val="double" w:sz="4" w:space="0" w:color="auto"/>
              <w:right w:val="double" w:sz="4" w:space="0" w:color="auto"/>
            </w:tcBorders>
            <w:shd w:val="clear" w:color="auto" w:fill="ACB9CA"/>
            <w:hideMark/>
          </w:tcPr>
          <w:p>
            <w:pPr>
              <w:spacing w:after="0" w:line="240" w:lineRule="auto"/>
              <w:jc w:val="center"/>
              <w:rPr>
                <w:rFonts w:ascii="Arial" w:hAnsi="Arial" w:cs="Arial"/>
                <w:sz w:val="20"/>
                <w:szCs w:val="20"/>
              </w:rPr>
            </w:pPr>
            <w:r>
              <w:rPr>
                <w:rFonts w:ascii="Arial" w:hAnsi="Arial" w:cs="Arial"/>
                <w:sz w:val="20"/>
                <w:szCs w:val="20"/>
              </w:rPr>
              <w:t>FORMACIÓN BAE SOFT SKILLS</w:t>
            </w:r>
          </w:p>
        </w:tc>
        <w:tc>
          <w:tcPr>
            <w:tcW w:w="4926" w:type="dxa"/>
            <w:vMerge w:val="restart"/>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rPr>
                <w:rFonts w:ascii="Arial" w:hAnsi="Arial" w:cs="Arial"/>
                <w:sz w:val="20"/>
                <w:szCs w:val="20"/>
              </w:rPr>
            </w:pPr>
          </w:p>
          <w:p>
            <w:pPr>
              <w:spacing w:after="0" w:line="240" w:lineRule="auto"/>
              <w:rPr>
                <w:rFonts w:ascii="Arial" w:hAnsi="Arial" w:cs="Arial"/>
                <w:sz w:val="20"/>
                <w:szCs w:val="20"/>
              </w:rPr>
            </w:pPr>
          </w:p>
          <w:p>
            <w:pPr>
              <w:spacing w:after="0" w:line="240" w:lineRule="auto"/>
              <w:jc w:val="center"/>
              <w:rPr>
                <w:rFonts w:ascii="Arial" w:hAnsi="Arial" w:cs="Arial"/>
                <w:sz w:val="20"/>
                <w:szCs w:val="20"/>
              </w:rPr>
            </w:pPr>
          </w:p>
          <w:p>
            <w:pPr>
              <w:spacing w:after="0" w:line="240" w:lineRule="auto"/>
              <w:jc w:val="center"/>
              <w:rPr>
                <w:rFonts w:ascii="Arial" w:hAnsi="Arial" w:cs="Arial"/>
                <w:b/>
                <w:sz w:val="20"/>
                <w:szCs w:val="20"/>
              </w:rPr>
            </w:pPr>
            <w:r>
              <w:rPr>
                <w:rFonts w:ascii="Arial" w:hAnsi="Arial" w:cs="Arial"/>
                <w:b/>
                <w:sz w:val="20"/>
                <w:szCs w:val="20"/>
              </w:rPr>
              <w:t>Acción formativa complementaria grupal</w:t>
            </w:r>
          </w:p>
          <w:p>
            <w:pPr>
              <w:spacing w:after="0" w:line="240" w:lineRule="auto"/>
              <w:jc w:val="center"/>
              <w:rPr>
                <w:rFonts w:ascii="Arial" w:hAnsi="Arial" w:cs="Arial"/>
                <w:sz w:val="20"/>
                <w:szCs w:val="20"/>
              </w:rPr>
            </w:pPr>
          </w:p>
          <w:p>
            <w:pPr>
              <w:spacing w:after="0" w:line="240" w:lineRule="auto"/>
              <w:jc w:val="center"/>
              <w:rPr>
                <w:rFonts w:ascii="Arial" w:hAnsi="Arial" w:cs="Arial"/>
                <w:sz w:val="20"/>
                <w:szCs w:val="20"/>
              </w:rPr>
            </w:pPr>
            <w:r>
              <w:rPr>
                <w:rFonts w:ascii="Arial" w:hAnsi="Arial" w:cs="Arial"/>
                <w:sz w:val="20"/>
                <w:szCs w:val="20"/>
              </w:rPr>
              <w:t>Búsqueda Activa de Empleo y Soft Skills</w:t>
            </w:r>
          </w:p>
        </w:tc>
      </w:tr>
      <w:tr>
        <w:trPr>
          <w:trHeight w:val="232"/>
        </w:trPr>
        <w:tc>
          <w:tcPr>
            <w:tcW w:w="3510" w:type="dxa"/>
            <w:gridSpan w:val="7"/>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Arial" w:hAnsi="Arial" w:cs="Arial"/>
                <w:sz w:val="20"/>
                <w:szCs w:val="20"/>
              </w:rPr>
            </w:pPr>
            <w:r>
              <w:rPr>
                <w:rFonts w:ascii="Arial" w:hAnsi="Arial" w:cs="Arial"/>
                <w:sz w:val="20"/>
                <w:szCs w:val="20"/>
              </w:rPr>
              <w:t>MAYO 2025</w:t>
            </w: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Times New Roman" w:hAnsi="Times New Roman"/>
                <w:sz w:val="20"/>
                <w:szCs w:val="20"/>
              </w:rPr>
            </w:pPr>
          </w:p>
        </w:tc>
      </w:tr>
      <w:tr>
        <w:trPr>
          <w:trHeight w:val="232"/>
        </w:trPr>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 xml:space="preserve"> L</w:t>
            </w:r>
          </w:p>
        </w:tc>
        <w:tc>
          <w:tcPr>
            <w:tcW w:w="597"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M</w:t>
            </w:r>
          </w:p>
        </w:tc>
        <w:tc>
          <w:tcPr>
            <w:tcW w:w="597"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M</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J</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V</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S</w:t>
            </w:r>
          </w:p>
        </w:tc>
        <w:tc>
          <w:tcPr>
            <w:tcW w:w="462"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b/>
                <w:sz w:val="20"/>
                <w:szCs w:val="20"/>
              </w:rPr>
            </w:pPr>
            <w:r>
              <w:rPr>
                <w:rFonts w:ascii="Arial" w:hAnsi="Arial" w:cs="Arial"/>
                <w:b/>
                <w:sz w:val="20"/>
                <w:szCs w:val="20"/>
              </w:rPr>
              <w:t>D</w:t>
            </w: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Arial" w:hAnsi="Arial" w:cs="Arial"/>
                <w:sz w:val="20"/>
                <w:szCs w:val="20"/>
              </w:rPr>
            </w:pPr>
          </w:p>
        </w:tc>
      </w:tr>
      <w:tr>
        <w:trPr>
          <w:trHeight w:val="249"/>
        </w:trPr>
        <w:tc>
          <w:tcPr>
            <w:tcW w:w="463"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Arial" w:hAnsi="Arial" w:cs="Arial"/>
                <w:sz w:val="20"/>
                <w:szCs w:val="20"/>
              </w:rPr>
            </w:pPr>
          </w:p>
        </w:tc>
        <w:tc>
          <w:tcPr>
            <w:tcW w:w="597"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Arial" w:hAnsi="Arial" w:cs="Arial"/>
                <w:sz w:val="20"/>
                <w:szCs w:val="20"/>
              </w:rPr>
            </w:pPr>
          </w:p>
        </w:tc>
        <w:tc>
          <w:tcPr>
            <w:tcW w:w="597"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Arial" w:hAnsi="Arial" w:cs="Arial"/>
                <w:sz w:val="20"/>
                <w:szCs w:val="20"/>
              </w:rPr>
            </w:pPr>
          </w:p>
        </w:tc>
        <w:tc>
          <w:tcPr>
            <w:tcW w:w="463"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Arial" w:hAnsi="Arial" w:cs="Arial"/>
                <w:sz w:val="20"/>
                <w:szCs w:val="20"/>
              </w:rPr>
            </w:pPr>
            <w:r>
              <w:rPr>
                <w:rFonts w:ascii="Arial" w:hAnsi="Arial" w:cs="Arial"/>
                <w:sz w:val="20"/>
                <w:szCs w:val="20"/>
              </w:rPr>
              <w:t>1</w:t>
            </w:r>
          </w:p>
        </w:tc>
        <w:tc>
          <w:tcPr>
            <w:tcW w:w="463"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Arial" w:hAnsi="Arial" w:cs="Arial"/>
                <w:sz w:val="20"/>
                <w:szCs w:val="20"/>
              </w:rPr>
            </w:pPr>
            <w:r>
              <w:rPr>
                <w:rFonts w:ascii="Arial" w:hAnsi="Arial" w:cs="Arial"/>
                <w:sz w:val="20"/>
                <w:szCs w:val="20"/>
              </w:rPr>
              <w:t>2</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3</w:t>
            </w:r>
          </w:p>
        </w:tc>
        <w:tc>
          <w:tcPr>
            <w:tcW w:w="462"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4</w:t>
            </w: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Arial" w:hAnsi="Arial" w:cs="Arial"/>
                <w:sz w:val="20"/>
                <w:szCs w:val="20"/>
              </w:rPr>
            </w:pPr>
          </w:p>
        </w:tc>
      </w:tr>
      <w:tr>
        <w:trPr>
          <w:trHeight w:val="232"/>
        </w:trPr>
        <w:tc>
          <w:tcPr>
            <w:tcW w:w="463"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Arial" w:hAnsi="Arial" w:cs="Arial"/>
                <w:sz w:val="20"/>
                <w:szCs w:val="20"/>
              </w:rPr>
            </w:pPr>
            <w:r>
              <w:rPr>
                <w:rFonts w:ascii="Arial" w:hAnsi="Arial" w:cs="Arial"/>
                <w:sz w:val="20"/>
                <w:szCs w:val="20"/>
              </w:rPr>
              <w:t>5</w:t>
            </w:r>
          </w:p>
        </w:tc>
        <w:tc>
          <w:tcPr>
            <w:tcW w:w="597"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6</w:t>
            </w:r>
          </w:p>
        </w:tc>
        <w:tc>
          <w:tcPr>
            <w:tcW w:w="597"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7</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8</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9</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10</w:t>
            </w:r>
          </w:p>
        </w:tc>
        <w:tc>
          <w:tcPr>
            <w:tcW w:w="462"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11</w:t>
            </w: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Arial" w:hAnsi="Arial" w:cs="Arial"/>
                <w:sz w:val="20"/>
                <w:szCs w:val="20"/>
              </w:rPr>
            </w:pPr>
          </w:p>
        </w:tc>
      </w:tr>
      <w:tr>
        <w:trPr>
          <w:trHeight w:val="232"/>
        </w:trPr>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12</w:t>
            </w:r>
          </w:p>
        </w:tc>
        <w:tc>
          <w:tcPr>
            <w:tcW w:w="597" w:type="dxa"/>
            <w:tcBorders>
              <w:top w:val="double" w:sz="4" w:space="0" w:color="auto"/>
              <w:left w:val="double" w:sz="4" w:space="0" w:color="auto"/>
              <w:bottom w:val="double" w:sz="4" w:space="0" w:color="auto"/>
              <w:right w:val="double" w:sz="4" w:space="0" w:color="auto"/>
            </w:tcBorders>
            <w:shd w:val="clear" w:color="auto" w:fill="D9E2F3"/>
            <w:hideMark/>
          </w:tcPr>
          <w:p>
            <w:pPr>
              <w:spacing w:after="0" w:line="240" w:lineRule="auto"/>
              <w:jc w:val="center"/>
              <w:rPr>
                <w:rFonts w:ascii="Arial" w:hAnsi="Arial" w:cs="Arial"/>
                <w:sz w:val="20"/>
                <w:szCs w:val="20"/>
              </w:rPr>
            </w:pPr>
            <w:r>
              <w:rPr>
                <w:rFonts w:ascii="Arial" w:hAnsi="Arial" w:cs="Arial"/>
                <w:sz w:val="20"/>
                <w:szCs w:val="20"/>
              </w:rPr>
              <w:t>13</w:t>
            </w:r>
          </w:p>
        </w:tc>
        <w:tc>
          <w:tcPr>
            <w:tcW w:w="597" w:type="dxa"/>
            <w:tcBorders>
              <w:top w:val="double" w:sz="4" w:space="0" w:color="auto"/>
              <w:left w:val="double" w:sz="4" w:space="0" w:color="auto"/>
              <w:bottom w:val="double" w:sz="4" w:space="0" w:color="auto"/>
              <w:right w:val="double" w:sz="4" w:space="0" w:color="auto"/>
            </w:tcBorders>
            <w:shd w:val="clear" w:color="auto" w:fill="D9E2F3"/>
            <w:hideMark/>
          </w:tcPr>
          <w:p>
            <w:pPr>
              <w:spacing w:after="0" w:line="240" w:lineRule="auto"/>
              <w:jc w:val="center"/>
              <w:rPr>
                <w:rFonts w:ascii="Arial" w:hAnsi="Arial" w:cs="Arial"/>
                <w:sz w:val="20"/>
                <w:szCs w:val="20"/>
              </w:rPr>
            </w:pPr>
            <w:r>
              <w:rPr>
                <w:rFonts w:ascii="Arial" w:hAnsi="Arial" w:cs="Arial"/>
                <w:sz w:val="20"/>
                <w:szCs w:val="20"/>
              </w:rPr>
              <w:t>14</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15</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16</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17</w:t>
            </w:r>
          </w:p>
        </w:tc>
        <w:tc>
          <w:tcPr>
            <w:tcW w:w="462"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18</w:t>
            </w: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Arial" w:hAnsi="Arial" w:cs="Arial"/>
                <w:sz w:val="20"/>
                <w:szCs w:val="20"/>
              </w:rPr>
            </w:pPr>
          </w:p>
        </w:tc>
      </w:tr>
      <w:tr>
        <w:trPr>
          <w:trHeight w:val="232"/>
        </w:trPr>
        <w:tc>
          <w:tcPr>
            <w:tcW w:w="463"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Arial" w:hAnsi="Arial" w:cs="Arial"/>
                <w:sz w:val="20"/>
                <w:szCs w:val="20"/>
              </w:rPr>
            </w:pPr>
            <w:r>
              <w:rPr>
                <w:rFonts w:ascii="Arial" w:hAnsi="Arial" w:cs="Arial"/>
                <w:sz w:val="20"/>
                <w:szCs w:val="20"/>
              </w:rPr>
              <w:t>19</w:t>
            </w:r>
          </w:p>
        </w:tc>
        <w:tc>
          <w:tcPr>
            <w:tcW w:w="597" w:type="dxa"/>
            <w:tcBorders>
              <w:top w:val="double" w:sz="4" w:space="0" w:color="auto"/>
              <w:left w:val="double" w:sz="4" w:space="0" w:color="auto"/>
              <w:bottom w:val="double" w:sz="4" w:space="0" w:color="auto"/>
              <w:right w:val="double" w:sz="4" w:space="0" w:color="auto"/>
            </w:tcBorders>
            <w:shd w:val="clear" w:color="auto" w:fill="auto"/>
            <w:hideMark/>
          </w:tcPr>
          <w:p>
            <w:pPr>
              <w:spacing w:after="0" w:line="240" w:lineRule="auto"/>
              <w:jc w:val="center"/>
              <w:rPr>
                <w:rFonts w:ascii="Arial" w:hAnsi="Arial" w:cs="Arial"/>
                <w:sz w:val="20"/>
                <w:szCs w:val="20"/>
              </w:rPr>
            </w:pPr>
            <w:r>
              <w:rPr>
                <w:rFonts w:ascii="Arial" w:hAnsi="Arial" w:cs="Arial"/>
                <w:sz w:val="20"/>
                <w:szCs w:val="20"/>
              </w:rPr>
              <w:t>20</w:t>
            </w:r>
          </w:p>
        </w:tc>
        <w:tc>
          <w:tcPr>
            <w:tcW w:w="597" w:type="dxa"/>
            <w:tcBorders>
              <w:top w:val="double" w:sz="4" w:space="0" w:color="auto"/>
              <w:left w:val="double" w:sz="4" w:space="0" w:color="auto"/>
              <w:bottom w:val="double" w:sz="4" w:space="0" w:color="auto"/>
              <w:right w:val="double" w:sz="4" w:space="0" w:color="auto"/>
            </w:tcBorders>
            <w:shd w:val="clear" w:color="auto" w:fill="auto"/>
            <w:hideMark/>
          </w:tcPr>
          <w:p>
            <w:pPr>
              <w:spacing w:after="0" w:line="240" w:lineRule="auto"/>
              <w:jc w:val="center"/>
              <w:rPr>
                <w:rFonts w:ascii="Arial" w:hAnsi="Arial" w:cs="Arial"/>
                <w:sz w:val="20"/>
                <w:szCs w:val="20"/>
              </w:rPr>
            </w:pPr>
            <w:r>
              <w:rPr>
                <w:rFonts w:ascii="Arial" w:hAnsi="Arial" w:cs="Arial"/>
                <w:sz w:val="20"/>
                <w:szCs w:val="20"/>
              </w:rPr>
              <w:t>21</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22</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23</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24</w:t>
            </w:r>
          </w:p>
        </w:tc>
        <w:tc>
          <w:tcPr>
            <w:tcW w:w="462"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25</w:t>
            </w: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Arial" w:hAnsi="Arial" w:cs="Arial"/>
                <w:sz w:val="20"/>
                <w:szCs w:val="20"/>
              </w:rPr>
            </w:pPr>
          </w:p>
        </w:tc>
      </w:tr>
      <w:tr>
        <w:trPr>
          <w:trHeight w:val="232"/>
        </w:trPr>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26</w:t>
            </w:r>
          </w:p>
        </w:tc>
        <w:tc>
          <w:tcPr>
            <w:tcW w:w="597"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27</w:t>
            </w:r>
          </w:p>
        </w:tc>
        <w:tc>
          <w:tcPr>
            <w:tcW w:w="597"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Arial" w:hAnsi="Arial" w:cs="Arial"/>
                <w:sz w:val="20"/>
                <w:szCs w:val="20"/>
              </w:rPr>
            </w:pPr>
            <w:r>
              <w:rPr>
                <w:rFonts w:ascii="Arial" w:hAnsi="Arial" w:cs="Arial"/>
                <w:sz w:val="20"/>
                <w:szCs w:val="20"/>
              </w:rPr>
              <w:t>28</w:t>
            </w:r>
          </w:p>
        </w:tc>
        <w:tc>
          <w:tcPr>
            <w:tcW w:w="463"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Arial" w:hAnsi="Arial" w:cs="Arial"/>
                <w:sz w:val="20"/>
                <w:szCs w:val="20"/>
              </w:rPr>
            </w:pPr>
            <w:r>
              <w:rPr>
                <w:rFonts w:ascii="Arial" w:hAnsi="Arial" w:cs="Arial"/>
                <w:sz w:val="20"/>
                <w:szCs w:val="20"/>
              </w:rPr>
              <w:t>29</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30</w:t>
            </w:r>
          </w:p>
        </w:tc>
        <w:tc>
          <w:tcPr>
            <w:tcW w:w="463"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Arial" w:hAnsi="Arial" w:cs="Arial"/>
                <w:sz w:val="20"/>
                <w:szCs w:val="20"/>
              </w:rPr>
            </w:pPr>
            <w:r>
              <w:rPr>
                <w:rFonts w:ascii="Arial" w:hAnsi="Arial" w:cs="Arial"/>
                <w:sz w:val="20"/>
                <w:szCs w:val="20"/>
              </w:rPr>
              <w:t>31</w:t>
            </w:r>
          </w:p>
        </w:tc>
        <w:tc>
          <w:tcPr>
            <w:tcW w:w="462"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Arial" w:hAnsi="Arial" w:cs="Arial"/>
                <w:sz w:val="20"/>
                <w:szCs w:val="20"/>
              </w:rPr>
            </w:pP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hideMark/>
          </w:tcPr>
          <w:p>
            <w:pPr>
              <w:spacing w:after="0" w:line="240" w:lineRule="auto"/>
              <w:rPr>
                <w:rFonts w:ascii="Arial" w:hAnsi="Arial" w:cs="Arial"/>
                <w:sz w:val="20"/>
                <w:szCs w:val="20"/>
              </w:rPr>
            </w:pPr>
          </w:p>
        </w:tc>
      </w:tr>
    </w:tbl>
    <w:p>
      <w:pPr>
        <w:spacing w:after="160" w:line="240" w:lineRule="auto"/>
        <w:rPr>
          <w:rFonts w:ascii="Arial" w:eastAsia="Times New Roman" w:hAnsi="Arial" w:cs="Arial"/>
          <w:color w:val="FF0000"/>
          <w:sz w:val="24"/>
          <w:szCs w:val="24"/>
        </w:rPr>
      </w:pPr>
    </w:p>
    <w:p>
      <w:pPr>
        <w:keepNext/>
        <w:keepLines/>
        <w:shd w:val="clear" w:color="auto" w:fill="D9D9D9"/>
        <w:spacing w:before="160" w:after="40" w:line="360" w:lineRule="auto"/>
        <w:jc w:val="both"/>
        <w:outlineLvl w:val="1"/>
        <w:rPr>
          <w:rFonts w:ascii="Arial" w:eastAsia="Times New Roman" w:hAnsi="Arial" w:cs="Arial"/>
          <w:b/>
        </w:rPr>
      </w:pPr>
      <w:bookmarkStart w:id="9" w:name="_Toc123488823"/>
      <w:r>
        <w:rPr>
          <w:rFonts w:ascii="Arial" w:eastAsia="Times New Roman" w:hAnsi="Arial" w:cs="Arial"/>
          <w:b/>
        </w:rPr>
        <w:lastRenderedPageBreak/>
        <w:t xml:space="preserve">ACCIÓN FORMATIVA. CERTIFICADO PROFESIONAL </w:t>
      </w:r>
      <w:bookmarkEnd w:id="9"/>
      <w:r>
        <w:rPr>
          <w:rFonts w:ascii="Arial" w:eastAsia="Times New Roman" w:hAnsi="Arial" w:cs="Arial"/>
          <w:b/>
        </w:rPr>
        <w:t>HOTR0208.  OPERACIONES BÁSICAS DE RESTAURANTE Y BAR</w:t>
      </w:r>
    </w:p>
    <w:p>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Durante el mes de febrero de 2025, se comienza con la formación certificada profesionalmente y con las formaciones complementarias. </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Este certificado lo realizan las 8 mujeres participantes en el proyecto. Formación que acredita oficialmente la cualificación profesional y que se encuentra dentro del Catálogo de Especialidades Formativas reguladas en la Orden TMS/283/2019, de 12 de marzo, cuyos contenidos se especifican en el documento.</w:t>
      </w:r>
    </w:p>
    <w:p>
      <w:pPr>
        <w:spacing w:after="0" w:line="360" w:lineRule="auto"/>
        <w:jc w:val="both"/>
        <w:rPr>
          <w:rFonts w:ascii="Arial" w:eastAsia="Times New Roman" w:hAnsi="Arial" w:cs="Arial"/>
          <w:sz w:val="24"/>
          <w:szCs w:val="24"/>
        </w:rPr>
      </w:pPr>
    </w:p>
    <w:p>
      <w:pPr>
        <w:spacing w:after="160" w:line="360" w:lineRule="auto"/>
        <w:jc w:val="both"/>
        <w:rPr>
          <w:rFonts w:ascii="Arial" w:eastAsia="Times New Roman" w:hAnsi="Arial" w:cs="Arial"/>
          <w:sz w:val="24"/>
          <w:szCs w:val="24"/>
        </w:rPr>
      </w:pPr>
      <w:r>
        <w:rPr>
          <w:rFonts w:ascii="Arial" w:eastAsia="Times New Roman" w:hAnsi="Arial" w:cs="Arial"/>
          <w:sz w:val="24"/>
          <w:szCs w:val="24"/>
        </w:rPr>
        <w:t>La realización del certificado profesional grupal y de carácter presencial se lleva a cabo en las instalaciones habilitadas a tal fin en la academia de formación Europea de Formación Y Consultoría, S.L.U., en horario de mañana de 9 a 14 horas y de lunes a viernes, situado la calle San Bernardo, 8, en Las Palmas de Gran Canaria.</w:t>
      </w:r>
    </w:p>
    <w:tbl>
      <w:tblPr>
        <w:tblStyle w:val="Tablaconcuadrcula39"/>
        <w:tblW w:w="8374" w:type="dxa"/>
        <w:tblLook w:val="04A0" w:firstRow="1" w:lastRow="0" w:firstColumn="1" w:lastColumn="0" w:noHBand="0" w:noVBand="1"/>
      </w:tblPr>
      <w:tblGrid>
        <w:gridCol w:w="6294"/>
        <w:gridCol w:w="2080"/>
      </w:tblGrid>
      <w:tr>
        <w:trPr>
          <w:trHeight w:val="384"/>
        </w:trPr>
        <w:tc>
          <w:tcPr>
            <w:tcW w:w="6294" w:type="dxa"/>
            <w:tcBorders>
              <w:top w:val="single" w:sz="12" w:space="0" w:color="FFC000"/>
              <w:left w:val="single" w:sz="12" w:space="0" w:color="FFC000"/>
              <w:bottom w:val="single" w:sz="12" w:space="0" w:color="FFC000"/>
              <w:right w:val="single" w:sz="12" w:space="0" w:color="FFC000"/>
            </w:tcBorders>
            <w:shd w:val="clear" w:color="auto" w:fill="EDEDED"/>
            <w:hideMark/>
          </w:tcPr>
          <w:p>
            <w:pPr>
              <w:spacing w:after="160" w:line="240" w:lineRule="auto"/>
              <w:contextualSpacing/>
              <w:rPr>
                <w:rFonts w:ascii="Arial" w:hAnsi="Arial" w:cs="Arial"/>
                <w:b/>
                <w:sz w:val="20"/>
                <w:szCs w:val="20"/>
              </w:rPr>
            </w:pPr>
            <w:r>
              <w:rPr>
                <w:rFonts w:ascii="Arial" w:hAnsi="Arial" w:cs="Arial"/>
                <w:b/>
                <w:sz w:val="20"/>
                <w:szCs w:val="20"/>
              </w:rPr>
              <w:t xml:space="preserve">                                                   MÓDULOS</w:t>
            </w:r>
          </w:p>
        </w:tc>
        <w:tc>
          <w:tcPr>
            <w:tcW w:w="2080" w:type="dxa"/>
            <w:tcBorders>
              <w:top w:val="single" w:sz="12" w:space="0" w:color="FFC000"/>
              <w:left w:val="single" w:sz="12" w:space="0" w:color="FFC000"/>
              <w:bottom w:val="single" w:sz="12" w:space="0" w:color="FFC000"/>
              <w:right w:val="single" w:sz="12" w:space="0" w:color="FFC000"/>
            </w:tcBorders>
            <w:shd w:val="clear" w:color="auto" w:fill="EDEDED"/>
            <w:hideMark/>
          </w:tcPr>
          <w:p>
            <w:pPr>
              <w:spacing w:after="160" w:line="240" w:lineRule="auto"/>
              <w:contextualSpacing/>
              <w:jc w:val="center"/>
              <w:rPr>
                <w:rFonts w:ascii="Arial" w:hAnsi="Arial" w:cs="Arial"/>
                <w:b/>
                <w:sz w:val="20"/>
                <w:szCs w:val="20"/>
              </w:rPr>
            </w:pPr>
            <w:r>
              <w:rPr>
                <w:rFonts w:ascii="Arial" w:hAnsi="Arial" w:cs="Arial"/>
                <w:b/>
                <w:sz w:val="20"/>
                <w:szCs w:val="20"/>
              </w:rPr>
              <w:t>Horas</w:t>
            </w:r>
          </w:p>
        </w:tc>
      </w:tr>
      <w:tr>
        <w:trPr>
          <w:trHeight w:val="384"/>
        </w:trPr>
        <w:tc>
          <w:tcPr>
            <w:tcW w:w="6294" w:type="dxa"/>
            <w:tcBorders>
              <w:top w:val="single" w:sz="12" w:space="0" w:color="FFC000"/>
              <w:left w:val="single" w:sz="12" w:space="0" w:color="FFC000"/>
              <w:bottom w:val="single" w:sz="12" w:space="0" w:color="FFC000"/>
              <w:right w:val="single" w:sz="12" w:space="0" w:color="FFC000"/>
            </w:tcBorders>
            <w:hideMark/>
          </w:tcPr>
          <w:p>
            <w:pPr>
              <w:numPr>
                <w:ilvl w:val="0"/>
                <w:numId w:val="134"/>
              </w:numPr>
              <w:spacing w:after="160" w:line="240" w:lineRule="auto"/>
              <w:contextualSpacing/>
              <w:jc w:val="both"/>
              <w:rPr>
                <w:rFonts w:ascii="Arial" w:hAnsi="Arial" w:cs="Arial"/>
                <w:sz w:val="20"/>
                <w:szCs w:val="20"/>
              </w:rPr>
            </w:pPr>
            <w:r>
              <w:rPr>
                <w:rFonts w:ascii="Arial" w:hAnsi="Arial" w:cs="Arial"/>
                <w:sz w:val="20"/>
                <w:szCs w:val="20"/>
              </w:rPr>
              <w:t>MF0257_1: Servicio básico de restaurante-bar.</w:t>
            </w:r>
          </w:p>
        </w:tc>
        <w:tc>
          <w:tcPr>
            <w:tcW w:w="2080" w:type="dxa"/>
            <w:tcBorders>
              <w:top w:val="single" w:sz="12" w:space="0" w:color="FFC000"/>
              <w:left w:val="single" w:sz="12" w:space="0" w:color="FFC000"/>
              <w:bottom w:val="single" w:sz="12" w:space="0" w:color="FFC000"/>
              <w:right w:val="single" w:sz="12" w:space="0" w:color="FFC000"/>
            </w:tcBorders>
            <w:hideMark/>
          </w:tcPr>
          <w:p>
            <w:pPr>
              <w:spacing w:after="160" w:line="240" w:lineRule="auto"/>
              <w:ind w:left="720"/>
              <w:contextualSpacing/>
              <w:jc w:val="right"/>
              <w:rPr>
                <w:rFonts w:ascii="Arial" w:hAnsi="Arial" w:cs="Arial"/>
                <w:sz w:val="20"/>
                <w:szCs w:val="20"/>
              </w:rPr>
            </w:pPr>
            <w:r>
              <w:rPr>
                <w:rFonts w:ascii="Arial" w:hAnsi="Arial" w:cs="Arial"/>
                <w:sz w:val="20"/>
                <w:szCs w:val="20"/>
              </w:rPr>
              <w:t>120</w:t>
            </w:r>
          </w:p>
        </w:tc>
      </w:tr>
      <w:tr>
        <w:trPr>
          <w:trHeight w:val="401"/>
        </w:trPr>
        <w:tc>
          <w:tcPr>
            <w:tcW w:w="6294" w:type="dxa"/>
            <w:tcBorders>
              <w:top w:val="single" w:sz="12" w:space="0" w:color="FFC000"/>
              <w:left w:val="single" w:sz="12" w:space="0" w:color="FFC000"/>
              <w:bottom w:val="single" w:sz="12" w:space="0" w:color="FFC000"/>
              <w:right w:val="single" w:sz="12" w:space="0" w:color="FFC000"/>
            </w:tcBorders>
            <w:hideMark/>
          </w:tcPr>
          <w:p>
            <w:pPr>
              <w:numPr>
                <w:ilvl w:val="0"/>
                <w:numId w:val="134"/>
              </w:numPr>
              <w:spacing w:after="160" w:line="240" w:lineRule="auto"/>
              <w:contextualSpacing/>
              <w:jc w:val="both"/>
              <w:rPr>
                <w:rFonts w:ascii="Arial" w:hAnsi="Arial" w:cs="Arial"/>
                <w:sz w:val="20"/>
                <w:szCs w:val="20"/>
              </w:rPr>
            </w:pPr>
            <w:r>
              <w:rPr>
                <w:rFonts w:ascii="Arial" w:hAnsi="Arial" w:cs="Arial"/>
                <w:sz w:val="20"/>
                <w:szCs w:val="20"/>
              </w:rPr>
              <w:t>MF0258_1: Aprovisionamiento, bebidas y comidas rápidas.</w:t>
            </w:r>
          </w:p>
        </w:tc>
        <w:tc>
          <w:tcPr>
            <w:tcW w:w="2080" w:type="dxa"/>
            <w:tcBorders>
              <w:top w:val="single" w:sz="12" w:space="0" w:color="FFC000"/>
              <w:left w:val="single" w:sz="12" w:space="0" w:color="FFC000"/>
              <w:bottom w:val="single" w:sz="12" w:space="0" w:color="FFC000"/>
              <w:right w:val="single" w:sz="12" w:space="0" w:color="FFC000"/>
            </w:tcBorders>
            <w:hideMark/>
          </w:tcPr>
          <w:p>
            <w:pPr>
              <w:spacing w:after="160" w:line="240" w:lineRule="auto"/>
              <w:ind w:left="720"/>
              <w:contextualSpacing/>
              <w:jc w:val="right"/>
              <w:rPr>
                <w:rFonts w:ascii="Arial" w:hAnsi="Arial" w:cs="Arial"/>
                <w:sz w:val="20"/>
                <w:szCs w:val="20"/>
              </w:rPr>
            </w:pPr>
            <w:r>
              <w:rPr>
                <w:rFonts w:ascii="Arial" w:hAnsi="Arial" w:cs="Arial"/>
                <w:sz w:val="20"/>
                <w:szCs w:val="20"/>
              </w:rPr>
              <w:t>120</w:t>
            </w:r>
          </w:p>
        </w:tc>
      </w:tr>
      <w:tr>
        <w:trPr>
          <w:trHeight w:val="384"/>
        </w:trPr>
        <w:tc>
          <w:tcPr>
            <w:tcW w:w="6294" w:type="dxa"/>
            <w:tcBorders>
              <w:top w:val="single" w:sz="12" w:space="0" w:color="FFC000"/>
              <w:left w:val="single" w:sz="12" w:space="0" w:color="FFC000"/>
              <w:bottom w:val="single" w:sz="12" w:space="0" w:color="FFC000"/>
              <w:right w:val="single" w:sz="12" w:space="0" w:color="FFC000"/>
            </w:tcBorders>
            <w:hideMark/>
          </w:tcPr>
          <w:p>
            <w:pPr>
              <w:numPr>
                <w:ilvl w:val="0"/>
                <w:numId w:val="134"/>
              </w:numPr>
              <w:spacing w:after="160" w:line="240" w:lineRule="auto"/>
              <w:contextualSpacing/>
              <w:jc w:val="both"/>
              <w:rPr>
                <w:rFonts w:ascii="Arial" w:hAnsi="Arial" w:cs="Arial"/>
                <w:sz w:val="20"/>
                <w:szCs w:val="20"/>
              </w:rPr>
            </w:pPr>
            <w:r>
              <w:rPr>
                <w:rFonts w:ascii="Arial" w:hAnsi="Arial" w:cs="Arial"/>
                <w:sz w:val="20"/>
                <w:szCs w:val="20"/>
              </w:rPr>
              <w:t>MP0015: Módulo de prácticas profesionales no laborales.</w:t>
            </w:r>
          </w:p>
        </w:tc>
        <w:tc>
          <w:tcPr>
            <w:tcW w:w="2080" w:type="dxa"/>
            <w:tcBorders>
              <w:top w:val="single" w:sz="12" w:space="0" w:color="FFC000"/>
              <w:left w:val="single" w:sz="12" w:space="0" w:color="FFC000"/>
              <w:bottom w:val="single" w:sz="12" w:space="0" w:color="FFC000"/>
              <w:right w:val="single" w:sz="12" w:space="0" w:color="FFC000"/>
            </w:tcBorders>
            <w:hideMark/>
          </w:tcPr>
          <w:p>
            <w:pPr>
              <w:spacing w:after="160" w:line="240" w:lineRule="auto"/>
              <w:ind w:left="720"/>
              <w:contextualSpacing/>
              <w:jc w:val="right"/>
              <w:rPr>
                <w:rFonts w:ascii="Arial" w:hAnsi="Arial" w:cs="Arial"/>
                <w:sz w:val="20"/>
                <w:szCs w:val="20"/>
              </w:rPr>
            </w:pPr>
            <w:r>
              <w:rPr>
                <w:rFonts w:ascii="Arial" w:hAnsi="Arial" w:cs="Arial"/>
                <w:sz w:val="20"/>
                <w:szCs w:val="20"/>
              </w:rPr>
              <w:t>80</w:t>
            </w:r>
          </w:p>
        </w:tc>
      </w:tr>
      <w:tr>
        <w:trPr>
          <w:trHeight w:val="384"/>
        </w:trPr>
        <w:tc>
          <w:tcPr>
            <w:tcW w:w="6294" w:type="dxa"/>
            <w:tcBorders>
              <w:top w:val="single" w:sz="12" w:space="0" w:color="FFC000"/>
              <w:left w:val="single" w:sz="12" w:space="0" w:color="FFC000"/>
              <w:bottom w:val="single" w:sz="12" w:space="0" w:color="FFC000"/>
              <w:right w:val="single" w:sz="12" w:space="0" w:color="FFC000"/>
            </w:tcBorders>
          </w:tcPr>
          <w:p>
            <w:pPr>
              <w:numPr>
                <w:ilvl w:val="0"/>
                <w:numId w:val="134"/>
              </w:numPr>
              <w:spacing w:after="160" w:line="240" w:lineRule="auto"/>
              <w:contextualSpacing/>
              <w:jc w:val="both"/>
              <w:rPr>
                <w:rFonts w:ascii="Arial" w:hAnsi="Arial" w:cs="Arial"/>
                <w:sz w:val="20"/>
                <w:szCs w:val="20"/>
              </w:rPr>
            </w:pPr>
            <w:r>
              <w:rPr>
                <w:rFonts w:ascii="Arial" w:hAnsi="Arial" w:cs="Arial"/>
                <w:sz w:val="20"/>
                <w:szCs w:val="20"/>
              </w:rPr>
              <w:t>Total de horas</w:t>
            </w:r>
          </w:p>
        </w:tc>
        <w:tc>
          <w:tcPr>
            <w:tcW w:w="2080" w:type="dxa"/>
            <w:tcBorders>
              <w:top w:val="single" w:sz="12" w:space="0" w:color="FFC000"/>
              <w:left w:val="single" w:sz="12" w:space="0" w:color="FFC000"/>
              <w:bottom w:val="single" w:sz="12" w:space="0" w:color="FFC000"/>
              <w:right w:val="single" w:sz="12" w:space="0" w:color="FFC000"/>
            </w:tcBorders>
          </w:tcPr>
          <w:p>
            <w:pPr>
              <w:spacing w:after="160" w:line="240" w:lineRule="auto"/>
              <w:ind w:left="720"/>
              <w:contextualSpacing/>
              <w:jc w:val="right"/>
              <w:rPr>
                <w:rFonts w:ascii="Arial" w:hAnsi="Arial" w:cs="Arial"/>
                <w:sz w:val="20"/>
                <w:szCs w:val="20"/>
              </w:rPr>
            </w:pPr>
            <w:r>
              <w:rPr>
                <w:rFonts w:ascii="Arial" w:hAnsi="Arial" w:cs="Arial"/>
                <w:sz w:val="20"/>
                <w:szCs w:val="20"/>
              </w:rPr>
              <w:t>290</w:t>
            </w:r>
          </w:p>
        </w:tc>
      </w:tr>
    </w:tbl>
    <w:p>
      <w:pPr>
        <w:keepNext/>
        <w:keepLines/>
        <w:spacing w:before="240" w:after="0" w:line="240" w:lineRule="auto"/>
        <w:outlineLvl w:val="1"/>
        <w:rPr>
          <w:rFonts w:ascii="Arial" w:eastAsia="Times New Roman" w:hAnsi="Arial" w:cs="Arial"/>
          <w:color w:val="365F91"/>
          <w:sz w:val="24"/>
          <w:szCs w:val="24"/>
        </w:rPr>
      </w:pPr>
      <w:bookmarkStart w:id="10" w:name="_Toc155255760"/>
    </w:p>
    <w:p>
      <w:pPr>
        <w:keepNext/>
        <w:keepLines/>
        <w:spacing w:before="240" w:after="0" w:line="240" w:lineRule="auto"/>
        <w:outlineLvl w:val="1"/>
        <w:rPr>
          <w:rFonts w:ascii="Arial" w:eastAsia="Times New Roman" w:hAnsi="Arial" w:cs="Arial"/>
          <w:color w:val="365F91"/>
          <w:sz w:val="24"/>
          <w:szCs w:val="24"/>
        </w:rPr>
      </w:pPr>
      <w:r>
        <w:rPr>
          <w:rFonts w:ascii="Arial" w:eastAsia="Times New Roman" w:hAnsi="Arial" w:cs="Arial"/>
          <w:color w:val="365F91"/>
          <w:sz w:val="24"/>
          <w:szCs w:val="24"/>
        </w:rPr>
        <w:t xml:space="preserve">Temporalización realización de la Certificación </w:t>
      </w:r>
      <w:bookmarkEnd w:id="10"/>
      <w:r>
        <w:rPr>
          <w:rFonts w:ascii="Arial" w:eastAsia="Times New Roman" w:hAnsi="Arial" w:cs="Arial"/>
          <w:color w:val="365F91"/>
          <w:sz w:val="24"/>
          <w:szCs w:val="24"/>
        </w:rPr>
        <w:t>HOTR0208</w:t>
      </w:r>
    </w:p>
    <w:p>
      <w:pPr>
        <w:spacing w:after="0" w:line="240" w:lineRule="auto"/>
        <w:rPr>
          <w:sz w:val="21"/>
          <w:szCs w:val="21"/>
        </w:rPr>
      </w:pPr>
    </w:p>
    <w:tbl>
      <w:tblPr>
        <w:tblStyle w:val="Tablaconcuadrcula43"/>
        <w:tblW w:w="0" w:type="auto"/>
        <w:tblInd w:w="-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
        <w:gridCol w:w="430"/>
        <w:gridCol w:w="10"/>
        <w:gridCol w:w="557"/>
        <w:gridCol w:w="10"/>
        <w:gridCol w:w="557"/>
        <w:gridCol w:w="10"/>
        <w:gridCol w:w="430"/>
        <w:gridCol w:w="10"/>
        <w:gridCol w:w="430"/>
        <w:gridCol w:w="10"/>
        <w:gridCol w:w="430"/>
        <w:gridCol w:w="10"/>
        <w:gridCol w:w="462"/>
        <w:gridCol w:w="4667"/>
        <w:gridCol w:w="10"/>
      </w:tblGrid>
      <w:tr>
        <w:trPr>
          <w:gridBefore w:val="1"/>
          <w:wBefore w:w="10" w:type="dxa"/>
        </w:trPr>
        <w:tc>
          <w:tcPr>
            <w:tcW w:w="3356" w:type="dxa"/>
            <w:gridSpan w:val="13"/>
            <w:shd w:val="clear" w:color="auto" w:fill="B4C6E7"/>
          </w:tcPr>
          <w:p>
            <w:pPr>
              <w:spacing w:after="0" w:line="240" w:lineRule="auto"/>
              <w:jc w:val="center"/>
              <w:rPr>
                <w:rFonts w:eastAsia="Calibri" w:cs="Arial"/>
                <w:sz w:val="20"/>
                <w:szCs w:val="20"/>
              </w:rPr>
            </w:pPr>
            <w:r>
              <w:rPr>
                <w:rFonts w:eastAsia="Calibri" w:cs="Arial"/>
                <w:sz w:val="20"/>
                <w:szCs w:val="20"/>
              </w:rPr>
              <w:t>FEBRERO  2025</w:t>
            </w:r>
          </w:p>
        </w:tc>
        <w:tc>
          <w:tcPr>
            <w:tcW w:w="4677" w:type="dxa"/>
            <w:gridSpan w:val="2"/>
            <w:vMerge w:val="restart"/>
            <w:shd w:val="clear" w:color="auto" w:fill="auto"/>
          </w:tcPr>
          <w:p>
            <w:pPr>
              <w:spacing w:after="0" w:line="240" w:lineRule="auto"/>
              <w:rPr>
                <w:rFonts w:ascii="Times New Roman" w:eastAsia="Calibri" w:hAnsi="Times New Roman"/>
                <w:sz w:val="20"/>
                <w:szCs w:val="20"/>
              </w:rPr>
            </w:pPr>
          </w:p>
          <w:p>
            <w:pPr>
              <w:spacing w:after="0" w:line="240" w:lineRule="auto"/>
              <w:rPr>
                <w:rFonts w:ascii="Times New Roman" w:eastAsia="Calibri" w:hAnsi="Times New Roman"/>
                <w:sz w:val="20"/>
                <w:szCs w:val="20"/>
              </w:rPr>
            </w:pPr>
          </w:p>
          <w:p>
            <w:pPr>
              <w:spacing w:after="0" w:line="240" w:lineRule="auto"/>
              <w:jc w:val="center"/>
              <w:rPr>
                <w:rFonts w:eastAsia="Calibri" w:cs="Arial"/>
                <w:b/>
                <w:sz w:val="20"/>
                <w:szCs w:val="20"/>
              </w:rPr>
            </w:pPr>
            <w:r>
              <w:rPr>
                <w:rFonts w:eastAsia="Calibri" w:cs="Arial"/>
                <w:b/>
                <w:sz w:val="20"/>
                <w:szCs w:val="20"/>
              </w:rPr>
              <w:t>Acción formativa</w:t>
            </w:r>
          </w:p>
          <w:p>
            <w:pPr>
              <w:spacing w:after="0" w:line="240" w:lineRule="auto"/>
              <w:rPr>
                <w:rFonts w:eastAsia="Calibri" w:cs="Arial"/>
                <w:b/>
                <w:sz w:val="20"/>
                <w:szCs w:val="20"/>
              </w:rPr>
            </w:pPr>
          </w:p>
          <w:p>
            <w:pPr>
              <w:spacing w:after="0" w:line="240" w:lineRule="auto"/>
              <w:rPr>
                <w:rFonts w:eastAsia="Calibri" w:cs="Arial"/>
                <w:sz w:val="20"/>
                <w:szCs w:val="20"/>
              </w:rPr>
            </w:pPr>
            <w:r>
              <w:rPr>
                <w:rFonts w:eastAsia="Calibri" w:cs="Arial"/>
                <w:sz w:val="20"/>
                <w:szCs w:val="20"/>
              </w:rPr>
              <w:t>Certificado Profesional Operaciones Básicas de Restaurante y Bar.</w:t>
            </w:r>
          </w:p>
          <w:p>
            <w:pPr>
              <w:spacing w:after="0" w:line="240" w:lineRule="auto"/>
              <w:rPr>
                <w:rFonts w:eastAsia="Calibri" w:cs="Arial"/>
                <w:sz w:val="20"/>
                <w:szCs w:val="20"/>
              </w:rPr>
            </w:pPr>
          </w:p>
          <w:p>
            <w:pPr>
              <w:spacing w:after="0" w:line="240" w:lineRule="auto"/>
              <w:rPr>
                <w:rFonts w:ascii="Times New Roman" w:eastAsia="Calibri" w:hAnsi="Times New Roman"/>
                <w:color w:val="FF0000"/>
                <w:sz w:val="20"/>
                <w:szCs w:val="20"/>
              </w:rPr>
            </w:pPr>
          </w:p>
        </w:tc>
      </w:tr>
      <w:tr>
        <w:trPr>
          <w:gridBefore w:val="1"/>
          <w:wBefore w:w="10" w:type="dxa"/>
        </w:trPr>
        <w:tc>
          <w:tcPr>
            <w:tcW w:w="440" w:type="dxa"/>
            <w:gridSpan w:val="2"/>
          </w:tcPr>
          <w:p>
            <w:pPr>
              <w:spacing w:after="0" w:line="240" w:lineRule="auto"/>
              <w:jc w:val="center"/>
              <w:rPr>
                <w:rFonts w:eastAsia="Calibri" w:cs="Arial"/>
                <w:b/>
                <w:sz w:val="20"/>
                <w:szCs w:val="20"/>
              </w:rPr>
            </w:pPr>
            <w:r>
              <w:rPr>
                <w:rFonts w:eastAsia="Calibri" w:cs="Arial"/>
                <w:b/>
                <w:sz w:val="20"/>
                <w:szCs w:val="20"/>
              </w:rPr>
              <w:t xml:space="preserve"> L</w:t>
            </w:r>
          </w:p>
        </w:tc>
        <w:tc>
          <w:tcPr>
            <w:tcW w:w="567" w:type="dxa"/>
            <w:gridSpan w:val="2"/>
          </w:tcPr>
          <w:p>
            <w:pPr>
              <w:spacing w:after="0" w:line="240" w:lineRule="auto"/>
              <w:jc w:val="center"/>
              <w:rPr>
                <w:rFonts w:eastAsia="Calibri" w:cs="Arial"/>
                <w:b/>
                <w:sz w:val="20"/>
                <w:szCs w:val="20"/>
              </w:rPr>
            </w:pPr>
            <w:r>
              <w:rPr>
                <w:rFonts w:eastAsia="Calibri" w:cs="Arial"/>
                <w:b/>
                <w:sz w:val="20"/>
                <w:szCs w:val="20"/>
              </w:rPr>
              <w:t>M</w:t>
            </w:r>
          </w:p>
        </w:tc>
        <w:tc>
          <w:tcPr>
            <w:tcW w:w="567" w:type="dxa"/>
            <w:gridSpan w:val="2"/>
          </w:tcPr>
          <w:p>
            <w:pPr>
              <w:spacing w:after="0" w:line="240" w:lineRule="auto"/>
              <w:jc w:val="center"/>
              <w:rPr>
                <w:rFonts w:eastAsia="Calibri" w:cs="Arial"/>
                <w:b/>
                <w:sz w:val="20"/>
                <w:szCs w:val="20"/>
              </w:rPr>
            </w:pPr>
            <w:r>
              <w:rPr>
                <w:rFonts w:eastAsia="Calibri" w:cs="Arial"/>
                <w:b/>
                <w:sz w:val="20"/>
                <w:szCs w:val="20"/>
              </w:rPr>
              <w:t>M</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J</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V</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S</w:t>
            </w:r>
          </w:p>
        </w:tc>
        <w:tc>
          <w:tcPr>
            <w:tcW w:w="462" w:type="dxa"/>
          </w:tcPr>
          <w:p>
            <w:pPr>
              <w:spacing w:after="0" w:line="240" w:lineRule="auto"/>
              <w:jc w:val="center"/>
              <w:rPr>
                <w:rFonts w:eastAsia="Calibri" w:cs="Arial"/>
                <w:b/>
                <w:sz w:val="20"/>
                <w:szCs w:val="20"/>
              </w:rPr>
            </w:pPr>
            <w:r>
              <w:rPr>
                <w:rFonts w:eastAsia="Calibri" w:cs="Arial"/>
                <w:b/>
                <w:sz w:val="20"/>
                <w:szCs w:val="20"/>
              </w:rPr>
              <w:t>D</w:t>
            </w:r>
          </w:p>
        </w:tc>
        <w:tc>
          <w:tcPr>
            <w:tcW w:w="4677" w:type="dxa"/>
            <w:gridSpan w:val="2"/>
            <w:vMerge/>
            <w:shd w:val="clear" w:color="auto" w:fill="auto"/>
          </w:tcPr>
          <w:p>
            <w:pPr>
              <w:spacing w:after="0" w:line="240" w:lineRule="auto"/>
              <w:jc w:val="center"/>
              <w:rPr>
                <w:rFonts w:ascii="Times New Roman" w:eastAsia="Calibri" w:hAnsi="Times New Roman"/>
                <w:sz w:val="20"/>
                <w:szCs w:val="20"/>
              </w:rPr>
            </w:pPr>
          </w:p>
        </w:tc>
      </w:tr>
      <w:tr>
        <w:trPr>
          <w:gridBefore w:val="1"/>
          <w:wBefore w:w="10" w:type="dxa"/>
        </w:trPr>
        <w:tc>
          <w:tcPr>
            <w:tcW w:w="440" w:type="dxa"/>
            <w:gridSpan w:val="2"/>
          </w:tcPr>
          <w:p>
            <w:pPr>
              <w:spacing w:after="0" w:line="240" w:lineRule="auto"/>
              <w:jc w:val="center"/>
              <w:rPr>
                <w:rFonts w:eastAsia="Calibri" w:cs="Arial"/>
                <w:sz w:val="20"/>
                <w:szCs w:val="20"/>
              </w:rPr>
            </w:pPr>
          </w:p>
        </w:tc>
        <w:tc>
          <w:tcPr>
            <w:tcW w:w="567" w:type="dxa"/>
            <w:gridSpan w:val="2"/>
            <w:shd w:val="clear" w:color="auto" w:fill="FFFFFF"/>
          </w:tcPr>
          <w:p>
            <w:pPr>
              <w:spacing w:after="0" w:line="240" w:lineRule="auto"/>
              <w:jc w:val="center"/>
              <w:rPr>
                <w:rFonts w:eastAsia="Calibri" w:cs="Arial"/>
                <w:sz w:val="20"/>
                <w:szCs w:val="20"/>
              </w:rPr>
            </w:pPr>
          </w:p>
        </w:tc>
        <w:tc>
          <w:tcPr>
            <w:tcW w:w="567" w:type="dxa"/>
            <w:gridSpan w:val="2"/>
          </w:tcPr>
          <w:p>
            <w:pPr>
              <w:spacing w:after="0" w:line="240" w:lineRule="auto"/>
              <w:jc w:val="center"/>
              <w:rPr>
                <w:rFonts w:eastAsia="Calibri" w:cs="Arial"/>
                <w:sz w:val="20"/>
                <w:szCs w:val="20"/>
              </w:rPr>
            </w:pPr>
          </w:p>
        </w:tc>
        <w:tc>
          <w:tcPr>
            <w:tcW w:w="440" w:type="dxa"/>
            <w:gridSpan w:val="2"/>
          </w:tcPr>
          <w:p>
            <w:pPr>
              <w:spacing w:after="0" w:line="240" w:lineRule="auto"/>
              <w:jc w:val="center"/>
              <w:rPr>
                <w:rFonts w:eastAsia="Calibri" w:cs="Arial"/>
                <w:sz w:val="20"/>
                <w:szCs w:val="20"/>
              </w:rPr>
            </w:pPr>
          </w:p>
        </w:tc>
        <w:tc>
          <w:tcPr>
            <w:tcW w:w="440" w:type="dxa"/>
            <w:gridSpan w:val="2"/>
            <w:shd w:val="clear" w:color="auto" w:fill="FFFFFF"/>
          </w:tcPr>
          <w:p>
            <w:pPr>
              <w:spacing w:after="0" w:line="240" w:lineRule="auto"/>
              <w:jc w:val="center"/>
              <w:rPr>
                <w:rFonts w:eastAsia="Calibri" w:cs="Arial"/>
                <w:sz w:val="20"/>
                <w:szCs w:val="20"/>
              </w:rPr>
            </w:pPr>
          </w:p>
        </w:tc>
        <w:tc>
          <w:tcPr>
            <w:tcW w:w="440" w:type="dxa"/>
            <w:gridSpan w:val="2"/>
          </w:tcPr>
          <w:p>
            <w:pPr>
              <w:spacing w:after="0" w:line="240" w:lineRule="auto"/>
              <w:jc w:val="center"/>
              <w:rPr>
                <w:rFonts w:eastAsia="Calibri" w:cs="Arial"/>
                <w:sz w:val="20"/>
                <w:szCs w:val="20"/>
              </w:rPr>
            </w:pPr>
            <w:r>
              <w:rPr>
                <w:rFonts w:eastAsia="Calibri" w:cs="Arial"/>
                <w:sz w:val="20"/>
                <w:szCs w:val="20"/>
              </w:rPr>
              <w:t>1</w:t>
            </w:r>
          </w:p>
        </w:tc>
        <w:tc>
          <w:tcPr>
            <w:tcW w:w="462" w:type="dxa"/>
          </w:tcPr>
          <w:p>
            <w:pPr>
              <w:spacing w:after="0" w:line="240" w:lineRule="auto"/>
              <w:jc w:val="center"/>
              <w:rPr>
                <w:rFonts w:eastAsia="Calibri" w:cs="Arial"/>
                <w:sz w:val="20"/>
                <w:szCs w:val="20"/>
              </w:rPr>
            </w:pPr>
            <w:r>
              <w:rPr>
                <w:rFonts w:eastAsia="Calibri" w:cs="Arial"/>
                <w:sz w:val="20"/>
                <w:szCs w:val="20"/>
              </w:rPr>
              <w:t>2</w:t>
            </w:r>
          </w:p>
        </w:tc>
        <w:tc>
          <w:tcPr>
            <w:tcW w:w="4677" w:type="dxa"/>
            <w:gridSpan w:val="2"/>
            <w:vMerge/>
            <w:shd w:val="clear" w:color="auto" w:fill="auto"/>
          </w:tcPr>
          <w:p>
            <w:pPr>
              <w:spacing w:after="0" w:line="240" w:lineRule="auto"/>
              <w:jc w:val="center"/>
              <w:rPr>
                <w:rFonts w:ascii="Times New Roman" w:eastAsia="Calibri" w:hAnsi="Times New Roman"/>
                <w:sz w:val="20"/>
                <w:szCs w:val="20"/>
              </w:rPr>
            </w:pPr>
          </w:p>
        </w:tc>
      </w:tr>
      <w:tr>
        <w:trPr>
          <w:gridBefore w:val="1"/>
          <w:wBefore w:w="10" w:type="dxa"/>
        </w:trPr>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3</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4</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5</w:t>
            </w:r>
          </w:p>
        </w:tc>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6</w:t>
            </w:r>
          </w:p>
        </w:tc>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7</w:t>
            </w:r>
          </w:p>
        </w:tc>
        <w:tc>
          <w:tcPr>
            <w:tcW w:w="440" w:type="dxa"/>
            <w:gridSpan w:val="2"/>
          </w:tcPr>
          <w:p>
            <w:pPr>
              <w:spacing w:after="0" w:line="240" w:lineRule="auto"/>
              <w:jc w:val="center"/>
              <w:rPr>
                <w:rFonts w:eastAsia="Calibri" w:cs="Arial"/>
                <w:sz w:val="20"/>
                <w:szCs w:val="20"/>
              </w:rPr>
            </w:pPr>
            <w:r>
              <w:rPr>
                <w:rFonts w:eastAsia="Calibri" w:cs="Arial"/>
                <w:sz w:val="20"/>
                <w:szCs w:val="20"/>
              </w:rPr>
              <w:t>8</w:t>
            </w:r>
          </w:p>
        </w:tc>
        <w:tc>
          <w:tcPr>
            <w:tcW w:w="462" w:type="dxa"/>
          </w:tcPr>
          <w:p>
            <w:pPr>
              <w:spacing w:after="0" w:line="240" w:lineRule="auto"/>
              <w:jc w:val="center"/>
              <w:rPr>
                <w:rFonts w:eastAsia="Calibri" w:cs="Arial"/>
                <w:sz w:val="20"/>
                <w:szCs w:val="20"/>
              </w:rPr>
            </w:pPr>
            <w:r>
              <w:rPr>
                <w:rFonts w:eastAsia="Calibri" w:cs="Arial"/>
                <w:sz w:val="20"/>
                <w:szCs w:val="20"/>
              </w:rPr>
              <w:t>9</w:t>
            </w:r>
          </w:p>
        </w:tc>
        <w:tc>
          <w:tcPr>
            <w:tcW w:w="4677" w:type="dxa"/>
            <w:gridSpan w:val="2"/>
            <w:vMerge/>
            <w:shd w:val="clear" w:color="auto" w:fill="auto"/>
          </w:tcPr>
          <w:p>
            <w:pPr>
              <w:spacing w:after="0" w:line="240" w:lineRule="auto"/>
              <w:jc w:val="center"/>
              <w:rPr>
                <w:rFonts w:ascii="Times New Roman" w:eastAsia="Calibri" w:hAnsi="Times New Roman"/>
                <w:sz w:val="20"/>
                <w:szCs w:val="20"/>
              </w:rPr>
            </w:pPr>
          </w:p>
        </w:tc>
      </w:tr>
      <w:tr>
        <w:trPr>
          <w:gridBefore w:val="1"/>
          <w:wBefore w:w="10" w:type="dxa"/>
        </w:trPr>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10</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11</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12</w:t>
            </w:r>
          </w:p>
        </w:tc>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13</w:t>
            </w:r>
          </w:p>
        </w:tc>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14</w:t>
            </w:r>
          </w:p>
        </w:tc>
        <w:tc>
          <w:tcPr>
            <w:tcW w:w="440" w:type="dxa"/>
            <w:gridSpan w:val="2"/>
          </w:tcPr>
          <w:p>
            <w:pPr>
              <w:spacing w:after="0" w:line="240" w:lineRule="auto"/>
              <w:jc w:val="center"/>
              <w:rPr>
                <w:rFonts w:eastAsia="Calibri" w:cs="Arial"/>
                <w:sz w:val="20"/>
                <w:szCs w:val="20"/>
              </w:rPr>
            </w:pPr>
            <w:r>
              <w:rPr>
                <w:rFonts w:eastAsia="Calibri" w:cs="Arial"/>
                <w:sz w:val="20"/>
                <w:szCs w:val="20"/>
              </w:rPr>
              <w:t>15</w:t>
            </w:r>
          </w:p>
        </w:tc>
        <w:tc>
          <w:tcPr>
            <w:tcW w:w="462" w:type="dxa"/>
          </w:tcPr>
          <w:p>
            <w:pPr>
              <w:spacing w:after="0" w:line="240" w:lineRule="auto"/>
              <w:jc w:val="center"/>
              <w:rPr>
                <w:rFonts w:eastAsia="Calibri" w:cs="Arial"/>
                <w:sz w:val="20"/>
                <w:szCs w:val="20"/>
              </w:rPr>
            </w:pPr>
            <w:r>
              <w:rPr>
                <w:rFonts w:eastAsia="Calibri" w:cs="Arial"/>
                <w:sz w:val="20"/>
                <w:szCs w:val="20"/>
              </w:rPr>
              <w:t>16</w:t>
            </w:r>
          </w:p>
        </w:tc>
        <w:tc>
          <w:tcPr>
            <w:tcW w:w="4677" w:type="dxa"/>
            <w:gridSpan w:val="2"/>
            <w:vMerge/>
            <w:shd w:val="clear" w:color="auto" w:fill="auto"/>
          </w:tcPr>
          <w:p>
            <w:pPr>
              <w:spacing w:after="0" w:line="240" w:lineRule="auto"/>
              <w:jc w:val="center"/>
              <w:rPr>
                <w:rFonts w:ascii="Times New Roman" w:eastAsia="Calibri" w:hAnsi="Times New Roman"/>
                <w:sz w:val="20"/>
                <w:szCs w:val="20"/>
              </w:rPr>
            </w:pPr>
          </w:p>
        </w:tc>
      </w:tr>
      <w:tr>
        <w:trPr>
          <w:gridBefore w:val="1"/>
          <w:wBefore w:w="10" w:type="dxa"/>
        </w:trPr>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17</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18</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19</w:t>
            </w:r>
          </w:p>
        </w:tc>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20</w:t>
            </w:r>
          </w:p>
        </w:tc>
        <w:tc>
          <w:tcPr>
            <w:tcW w:w="440" w:type="dxa"/>
            <w:gridSpan w:val="2"/>
            <w:shd w:val="clear" w:color="auto" w:fill="auto"/>
          </w:tcPr>
          <w:p>
            <w:pPr>
              <w:spacing w:after="0" w:line="240" w:lineRule="auto"/>
              <w:jc w:val="center"/>
              <w:rPr>
                <w:rFonts w:eastAsia="Calibri" w:cs="Arial"/>
                <w:sz w:val="20"/>
                <w:szCs w:val="20"/>
              </w:rPr>
            </w:pPr>
            <w:r>
              <w:rPr>
                <w:rFonts w:eastAsia="Calibri" w:cs="Arial"/>
                <w:sz w:val="20"/>
                <w:szCs w:val="20"/>
              </w:rPr>
              <w:t>21</w:t>
            </w:r>
          </w:p>
        </w:tc>
        <w:tc>
          <w:tcPr>
            <w:tcW w:w="440" w:type="dxa"/>
            <w:gridSpan w:val="2"/>
          </w:tcPr>
          <w:p>
            <w:pPr>
              <w:spacing w:after="0" w:line="240" w:lineRule="auto"/>
              <w:jc w:val="center"/>
              <w:rPr>
                <w:rFonts w:eastAsia="Calibri" w:cs="Arial"/>
                <w:sz w:val="20"/>
                <w:szCs w:val="20"/>
              </w:rPr>
            </w:pPr>
            <w:r>
              <w:rPr>
                <w:rFonts w:eastAsia="Calibri" w:cs="Arial"/>
                <w:sz w:val="20"/>
                <w:szCs w:val="20"/>
              </w:rPr>
              <w:t>22</w:t>
            </w:r>
          </w:p>
        </w:tc>
        <w:tc>
          <w:tcPr>
            <w:tcW w:w="462" w:type="dxa"/>
          </w:tcPr>
          <w:p>
            <w:pPr>
              <w:spacing w:after="0" w:line="240" w:lineRule="auto"/>
              <w:jc w:val="center"/>
              <w:rPr>
                <w:rFonts w:eastAsia="Calibri" w:cs="Arial"/>
                <w:sz w:val="20"/>
                <w:szCs w:val="20"/>
              </w:rPr>
            </w:pPr>
            <w:r>
              <w:rPr>
                <w:rFonts w:eastAsia="Calibri" w:cs="Arial"/>
                <w:sz w:val="20"/>
                <w:szCs w:val="20"/>
              </w:rPr>
              <w:t>23</w:t>
            </w:r>
          </w:p>
        </w:tc>
        <w:tc>
          <w:tcPr>
            <w:tcW w:w="4677" w:type="dxa"/>
            <w:gridSpan w:val="2"/>
            <w:vMerge/>
            <w:shd w:val="clear" w:color="auto" w:fill="auto"/>
          </w:tcPr>
          <w:p>
            <w:pPr>
              <w:spacing w:after="0" w:line="240" w:lineRule="auto"/>
              <w:jc w:val="center"/>
              <w:rPr>
                <w:rFonts w:ascii="Times New Roman" w:eastAsia="Calibri" w:hAnsi="Times New Roman"/>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24</w:t>
            </w:r>
          </w:p>
        </w:tc>
        <w:tc>
          <w:tcPr>
            <w:tcW w:w="567" w:type="dxa"/>
            <w:gridSpan w:val="2"/>
            <w:shd w:val="clear" w:color="auto" w:fill="D9E2F3"/>
          </w:tcPr>
          <w:p>
            <w:pPr>
              <w:spacing w:after="0" w:line="240" w:lineRule="auto"/>
              <w:jc w:val="center"/>
              <w:rPr>
                <w:rFonts w:eastAsia="Calibri" w:cs="Arial"/>
                <w:color w:val="FF0000"/>
                <w:sz w:val="20"/>
                <w:szCs w:val="20"/>
              </w:rPr>
            </w:pPr>
            <w:r>
              <w:rPr>
                <w:rFonts w:eastAsia="Calibri" w:cs="Arial"/>
                <w:color w:val="000000"/>
                <w:sz w:val="20"/>
                <w:szCs w:val="20"/>
              </w:rPr>
              <w:t>25</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26</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27</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28</w:t>
            </w:r>
          </w:p>
        </w:tc>
        <w:tc>
          <w:tcPr>
            <w:tcW w:w="440" w:type="dxa"/>
            <w:gridSpan w:val="2"/>
          </w:tcPr>
          <w:p>
            <w:pPr>
              <w:spacing w:after="0" w:line="240" w:lineRule="auto"/>
              <w:jc w:val="center"/>
              <w:rPr>
                <w:rFonts w:eastAsia="Calibri" w:cs="Arial"/>
                <w:sz w:val="20"/>
                <w:szCs w:val="20"/>
              </w:rPr>
            </w:pPr>
          </w:p>
        </w:tc>
        <w:tc>
          <w:tcPr>
            <w:tcW w:w="462" w:type="dxa"/>
          </w:tcPr>
          <w:p>
            <w:pPr>
              <w:spacing w:after="0" w:line="240" w:lineRule="auto"/>
              <w:jc w:val="center"/>
              <w:rPr>
                <w:rFonts w:eastAsia="Calibri" w:cs="Arial"/>
                <w:sz w:val="20"/>
                <w:szCs w:val="20"/>
              </w:rPr>
            </w:pPr>
          </w:p>
        </w:tc>
        <w:tc>
          <w:tcPr>
            <w:tcW w:w="4677" w:type="dxa"/>
            <w:gridSpan w:val="2"/>
            <w:vMerge/>
            <w:shd w:val="clear" w:color="auto" w:fill="auto"/>
          </w:tcPr>
          <w:p>
            <w:pPr>
              <w:spacing w:after="0" w:line="240" w:lineRule="auto"/>
              <w:jc w:val="center"/>
              <w:rPr>
                <w:rFonts w:ascii="Times New Roman" w:eastAsia="Calibri" w:hAnsi="Times New Roman"/>
                <w:sz w:val="20"/>
                <w:szCs w:val="20"/>
              </w:rPr>
            </w:pPr>
          </w:p>
        </w:tc>
      </w:tr>
      <w:tr>
        <w:trPr>
          <w:gridBefore w:val="1"/>
          <w:wBefore w:w="10" w:type="dxa"/>
        </w:trPr>
        <w:tc>
          <w:tcPr>
            <w:tcW w:w="3356" w:type="dxa"/>
            <w:gridSpan w:val="13"/>
            <w:shd w:val="clear" w:color="auto" w:fill="B4C6E7"/>
          </w:tcPr>
          <w:p>
            <w:pPr>
              <w:spacing w:after="0" w:line="240" w:lineRule="auto"/>
              <w:jc w:val="center"/>
              <w:rPr>
                <w:rFonts w:eastAsia="Calibri" w:cs="Arial"/>
                <w:sz w:val="20"/>
                <w:szCs w:val="20"/>
              </w:rPr>
            </w:pPr>
            <w:r>
              <w:rPr>
                <w:rFonts w:eastAsia="Calibri" w:cs="Arial"/>
                <w:sz w:val="20"/>
                <w:szCs w:val="20"/>
              </w:rPr>
              <w:t>MARZO  2025</w:t>
            </w:r>
          </w:p>
        </w:tc>
        <w:tc>
          <w:tcPr>
            <w:tcW w:w="4677" w:type="dxa"/>
            <w:gridSpan w:val="2"/>
            <w:vMerge w:val="restart"/>
            <w:shd w:val="clear" w:color="auto" w:fill="auto"/>
          </w:tcPr>
          <w:p>
            <w:pPr>
              <w:spacing w:after="0" w:line="240" w:lineRule="auto"/>
              <w:rPr>
                <w:rFonts w:eastAsia="Calibri" w:cs="Arial"/>
                <w:sz w:val="20"/>
                <w:szCs w:val="20"/>
              </w:rPr>
            </w:pPr>
          </w:p>
          <w:p>
            <w:pPr>
              <w:spacing w:after="0" w:line="240" w:lineRule="auto"/>
              <w:rPr>
                <w:rFonts w:eastAsia="Calibri" w:cs="Arial"/>
                <w:sz w:val="20"/>
                <w:szCs w:val="20"/>
              </w:rPr>
            </w:pPr>
          </w:p>
          <w:p>
            <w:pPr>
              <w:spacing w:after="0" w:line="240" w:lineRule="auto"/>
              <w:jc w:val="center"/>
              <w:rPr>
                <w:rFonts w:eastAsia="Calibri" w:cs="Arial"/>
                <w:b/>
                <w:sz w:val="20"/>
                <w:szCs w:val="20"/>
              </w:rPr>
            </w:pPr>
            <w:r>
              <w:rPr>
                <w:rFonts w:eastAsia="Calibri" w:cs="Arial"/>
                <w:b/>
                <w:sz w:val="20"/>
                <w:szCs w:val="20"/>
              </w:rPr>
              <w:t>Acción formativa</w:t>
            </w:r>
          </w:p>
          <w:p>
            <w:pPr>
              <w:spacing w:after="0" w:line="240" w:lineRule="auto"/>
              <w:jc w:val="center"/>
              <w:rPr>
                <w:rFonts w:eastAsia="Calibri" w:cs="Arial"/>
                <w:b/>
                <w:sz w:val="20"/>
                <w:szCs w:val="20"/>
              </w:rPr>
            </w:pPr>
          </w:p>
          <w:p>
            <w:pPr>
              <w:spacing w:after="0" w:line="240" w:lineRule="auto"/>
              <w:rPr>
                <w:rFonts w:eastAsia="Calibri" w:cs="Arial"/>
                <w:sz w:val="20"/>
                <w:szCs w:val="20"/>
              </w:rPr>
            </w:pPr>
            <w:r>
              <w:rPr>
                <w:rFonts w:eastAsia="Calibri" w:cs="Arial"/>
                <w:sz w:val="20"/>
                <w:szCs w:val="20"/>
              </w:rPr>
              <w:t>Certificado Profesional Operaciones Básicas de Restaurante y Bar.</w:t>
            </w:r>
          </w:p>
          <w:p>
            <w:pPr>
              <w:spacing w:after="0" w:line="240" w:lineRule="auto"/>
              <w:jc w:val="center"/>
              <w:rPr>
                <w:rFonts w:eastAsia="Calibri" w:cs="Arial"/>
                <w:sz w:val="20"/>
                <w:szCs w:val="20"/>
              </w:rPr>
            </w:pPr>
          </w:p>
          <w:p>
            <w:pPr>
              <w:spacing w:after="0" w:line="240" w:lineRule="auto"/>
              <w:rPr>
                <w:rFonts w:eastAsia="Calibri" w:cs="Arial"/>
                <w:color w:val="FF0000"/>
                <w:sz w:val="20"/>
                <w:szCs w:val="20"/>
              </w:rPr>
            </w:pPr>
          </w:p>
        </w:tc>
      </w:tr>
      <w:tr>
        <w:trPr>
          <w:gridBefore w:val="1"/>
          <w:wBefore w:w="10" w:type="dxa"/>
        </w:trPr>
        <w:tc>
          <w:tcPr>
            <w:tcW w:w="440" w:type="dxa"/>
            <w:gridSpan w:val="2"/>
          </w:tcPr>
          <w:p>
            <w:pPr>
              <w:spacing w:after="0" w:line="240" w:lineRule="auto"/>
              <w:jc w:val="center"/>
              <w:rPr>
                <w:rFonts w:eastAsia="Calibri" w:cs="Arial"/>
                <w:b/>
                <w:sz w:val="20"/>
                <w:szCs w:val="20"/>
              </w:rPr>
            </w:pPr>
            <w:r>
              <w:rPr>
                <w:rFonts w:eastAsia="Calibri" w:cs="Arial"/>
                <w:b/>
                <w:sz w:val="20"/>
                <w:szCs w:val="20"/>
              </w:rPr>
              <w:t xml:space="preserve"> L</w:t>
            </w:r>
          </w:p>
        </w:tc>
        <w:tc>
          <w:tcPr>
            <w:tcW w:w="567" w:type="dxa"/>
            <w:gridSpan w:val="2"/>
          </w:tcPr>
          <w:p>
            <w:pPr>
              <w:spacing w:after="0" w:line="240" w:lineRule="auto"/>
              <w:jc w:val="center"/>
              <w:rPr>
                <w:rFonts w:eastAsia="Calibri" w:cs="Arial"/>
                <w:b/>
                <w:sz w:val="20"/>
                <w:szCs w:val="20"/>
              </w:rPr>
            </w:pPr>
            <w:r>
              <w:rPr>
                <w:rFonts w:eastAsia="Calibri" w:cs="Arial"/>
                <w:b/>
                <w:sz w:val="20"/>
                <w:szCs w:val="20"/>
              </w:rPr>
              <w:t>M</w:t>
            </w:r>
          </w:p>
        </w:tc>
        <w:tc>
          <w:tcPr>
            <w:tcW w:w="567" w:type="dxa"/>
            <w:gridSpan w:val="2"/>
          </w:tcPr>
          <w:p>
            <w:pPr>
              <w:spacing w:after="0" w:line="240" w:lineRule="auto"/>
              <w:jc w:val="center"/>
              <w:rPr>
                <w:rFonts w:eastAsia="Calibri" w:cs="Arial"/>
                <w:b/>
                <w:sz w:val="20"/>
                <w:szCs w:val="20"/>
              </w:rPr>
            </w:pPr>
            <w:r>
              <w:rPr>
                <w:rFonts w:eastAsia="Calibri" w:cs="Arial"/>
                <w:b/>
                <w:sz w:val="20"/>
                <w:szCs w:val="20"/>
              </w:rPr>
              <w:t>M</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J</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V</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S</w:t>
            </w:r>
          </w:p>
        </w:tc>
        <w:tc>
          <w:tcPr>
            <w:tcW w:w="462" w:type="dxa"/>
          </w:tcPr>
          <w:p>
            <w:pPr>
              <w:spacing w:after="0" w:line="240" w:lineRule="auto"/>
              <w:jc w:val="center"/>
              <w:rPr>
                <w:rFonts w:eastAsia="Calibri" w:cs="Arial"/>
                <w:b/>
                <w:sz w:val="20"/>
                <w:szCs w:val="20"/>
              </w:rPr>
            </w:pPr>
            <w:r>
              <w:rPr>
                <w:rFonts w:eastAsia="Calibri" w:cs="Arial"/>
                <w:b/>
                <w:sz w:val="20"/>
                <w:szCs w:val="20"/>
              </w:rPr>
              <w:t>D</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tcPr>
          <w:p>
            <w:pPr>
              <w:spacing w:after="0" w:line="240" w:lineRule="auto"/>
              <w:jc w:val="center"/>
              <w:rPr>
                <w:rFonts w:eastAsia="Calibri" w:cs="Arial"/>
                <w:sz w:val="20"/>
                <w:szCs w:val="20"/>
              </w:rPr>
            </w:pPr>
          </w:p>
        </w:tc>
        <w:tc>
          <w:tcPr>
            <w:tcW w:w="567" w:type="dxa"/>
            <w:gridSpan w:val="2"/>
            <w:shd w:val="clear" w:color="auto" w:fill="FFFFFF"/>
          </w:tcPr>
          <w:p>
            <w:pPr>
              <w:spacing w:after="0" w:line="240" w:lineRule="auto"/>
              <w:jc w:val="center"/>
              <w:rPr>
                <w:rFonts w:eastAsia="Calibri" w:cs="Arial"/>
                <w:color w:val="FFFFFF"/>
                <w:sz w:val="20"/>
                <w:szCs w:val="20"/>
              </w:rPr>
            </w:pPr>
          </w:p>
        </w:tc>
        <w:tc>
          <w:tcPr>
            <w:tcW w:w="567" w:type="dxa"/>
            <w:gridSpan w:val="2"/>
            <w:shd w:val="clear" w:color="auto" w:fill="FFFFFF"/>
          </w:tcPr>
          <w:p>
            <w:pPr>
              <w:spacing w:after="0" w:line="240" w:lineRule="auto"/>
              <w:jc w:val="center"/>
              <w:rPr>
                <w:rFonts w:eastAsia="Calibri" w:cs="Arial"/>
                <w:color w:val="FF0000"/>
                <w:sz w:val="20"/>
                <w:szCs w:val="20"/>
              </w:rPr>
            </w:pPr>
          </w:p>
        </w:tc>
        <w:tc>
          <w:tcPr>
            <w:tcW w:w="440" w:type="dxa"/>
            <w:gridSpan w:val="2"/>
            <w:shd w:val="clear" w:color="auto" w:fill="auto"/>
          </w:tcPr>
          <w:p>
            <w:pPr>
              <w:spacing w:after="0" w:line="240" w:lineRule="auto"/>
              <w:jc w:val="center"/>
              <w:rPr>
                <w:rFonts w:eastAsia="Calibri" w:cs="Arial"/>
                <w:sz w:val="20"/>
                <w:szCs w:val="20"/>
              </w:rPr>
            </w:pPr>
          </w:p>
        </w:tc>
        <w:tc>
          <w:tcPr>
            <w:tcW w:w="440" w:type="dxa"/>
            <w:gridSpan w:val="2"/>
            <w:shd w:val="clear" w:color="auto" w:fill="auto"/>
          </w:tcPr>
          <w:p>
            <w:pPr>
              <w:spacing w:after="0" w:line="240" w:lineRule="auto"/>
              <w:jc w:val="center"/>
              <w:rPr>
                <w:rFonts w:eastAsia="Calibri" w:cs="Arial"/>
                <w:sz w:val="20"/>
                <w:szCs w:val="20"/>
              </w:rPr>
            </w:pPr>
          </w:p>
        </w:tc>
        <w:tc>
          <w:tcPr>
            <w:tcW w:w="440" w:type="dxa"/>
            <w:gridSpan w:val="2"/>
          </w:tcPr>
          <w:p>
            <w:pPr>
              <w:spacing w:after="0" w:line="240" w:lineRule="auto"/>
              <w:jc w:val="center"/>
              <w:rPr>
                <w:rFonts w:eastAsia="Calibri" w:cs="Arial"/>
                <w:sz w:val="20"/>
                <w:szCs w:val="20"/>
              </w:rPr>
            </w:pPr>
            <w:r>
              <w:rPr>
                <w:rFonts w:eastAsia="Calibri" w:cs="Arial"/>
                <w:sz w:val="20"/>
                <w:szCs w:val="20"/>
              </w:rPr>
              <w:t>1</w:t>
            </w:r>
          </w:p>
        </w:tc>
        <w:tc>
          <w:tcPr>
            <w:tcW w:w="462" w:type="dxa"/>
          </w:tcPr>
          <w:p>
            <w:pPr>
              <w:spacing w:after="0" w:line="240" w:lineRule="auto"/>
              <w:jc w:val="center"/>
              <w:rPr>
                <w:rFonts w:eastAsia="Calibri" w:cs="Arial"/>
                <w:sz w:val="20"/>
                <w:szCs w:val="20"/>
              </w:rPr>
            </w:pPr>
            <w:r>
              <w:rPr>
                <w:rFonts w:eastAsia="Calibri" w:cs="Arial"/>
                <w:sz w:val="20"/>
                <w:szCs w:val="20"/>
              </w:rPr>
              <w:t>2</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3</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4</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5</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6</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7</w:t>
            </w:r>
          </w:p>
        </w:tc>
        <w:tc>
          <w:tcPr>
            <w:tcW w:w="440" w:type="dxa"/>
            <w:gridSpan w:val="2"/>
          </w:tcPr>
          <w:p>
            <w:pPr>
              <w:spacing w:after="0" w:line="240" w:lineRule="auto"/>
              <w:jc w:val="center"/>
              <w:rPr>
                <w:rFonts w:eastAsia="Calibri" w:cs="Arial"/>
                <w:sz w:val="20"/>
                <w:szCs w:val="20"/>
              </w:rPr>
            </w:pPr>
            <w:r>
              <w:rPr>
                <w:rFonts w:eastAsia="Calibri" w:cs="Arial"/>
                <w:sz w:val="20"/>
                <w:szCs w:val="20"/>
              </w:rPr>
              <w:t>8</w:t>
            </w:r>
          </w:p>
        </w:tc>
        <w:tc>
          <w:tcPr>
            <w:tcW w:w="462" w:type="dxa"/>
          </w:tcPr>
          <w:p>
            <w:pPr>
              <w:spacing w:after="0" w:line="240" w:lineRule="auto"/>
              <w:jc w:val="center"/>
              <w:rPr>
                <w:rFonts w:eastAsia="Calibri" w:cs="Arial"/>
                <w:sz w:val="20"/>
                <w:szCs w:val="20"/>
              </w:rPr>
            </w:pPr>
            <w:r>
              <w:rPr>
                <w:rFonts w:eastAsia="Calibri" w:cs="Arial"/>
                <w:sz w:val="20"/>
                <w:szCs w:val="20"/>
              </w:rPr>
              <w:t>9</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10</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11</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12</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13</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14</w:t>
            </w:r>
          </w:p>
        </w:tc>
        <w:tc>
          <w:tcPr>
            <w:tcW w:w="440" w:type="dxa"/>
            <w:gridSpan w:val="2"/>
          </w:tcPr>
          <w:p>
            <w:pPr>
              <w:spacing w:after="0" w:line="240" w:lineRule="auto"/>
              <w:jc w:val="center"/>
              <w:rPr>
                <w:rFonts w:eastAsia="Calibri" w:cs="Arial"/>
                <w:sz w:val="20"/>
                <w:szCs w:val="20"/>
              </w:rPr>
            </w:pPr>
            <w:r>
              <w:rPr>
                <w:rFonts w:eastAsia="Calibri" w:cs="Arial"/>
                <w:sz w:val="20"/>
                <w:szCs w:val="20"/>
              </w:rPr>
              <w:t>15</w:t>
            </w:r>
          </w:p>
        </w:tc>
        <w:tc>
          <w:tcPr>
            <w:tcW w:w="462" w:type="dxa"/>
          </w:tcPr>
          <w:p>
            <w:pPr>
              <w:spacing w:after="0" w:line="240" w:lineRule="auto"/>
              <w:jc w:val="center"/>
              <w:rPr>
                <w:rFonts w:eastAsia="Calibri" w:cs="Arial"/>
                <w:sz w:val="20"/>
                <w:szCs w:val="20"/>
              </w:rPr>
            </w:pPr>
            <w:r>
              <w:rPr>
                <w:rFonts w:eastAsia="Calibri" w:cs="Arial"/>
                <w:sz w:val="20"/>
                <w:szCs w:val="20"/>
              </w:rPr>
              <w:t>16</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17</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18</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19</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20</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21</w:t>
            </w:r>
          </w:p>
        </w:tc>
        <w:tc>
          <w:tcPr>
            <w:tcW w:w="440" w:type="dxa"/>
            <w:gridSpan w:val="2"/>
          </w:tcPr>
          <w:p>
            <w:pPr>
              <w:spacing w:after="0" w:line="240" w:lineRule="auto"/>
              <w:jc w:val="center"/>
              <w:rPr>
                <w:rFonts w:eastAsia="Calibri" w:cs="Arial"/>
                <w:sz w:val="20"/>
                <w:szCs w:val="20"/>
              </w:rPr>
            </w:pPr>
            <w:r>
              <w:rPr>
                <w:rFonts w:eastAsia="Calibri" w:cs="Arial"/>
                <w:sz w:val="20"/>
                <w:szCs w:val="20"/>
              </w:rPr>
              <w:t>22</w:t>
            </w:r>
          </w:p>
        </w:tc>
        <w:tc>
          <w:tcPr>
            <w:tcW w:w="462" w:type="dxa"/>
          </w:tcPr>
          <w:p>
            <w:pPr>
              <w:spacing w:after="0" w:line="240" w:lineRule="auto"/>
              <w:jc w:val="center"/>
              <w:rPr>
                <w:rFonts w:eastAsia="Calibri" w:cs="Arial"/>
                <w:sz w:val="20"/>
                <w:szCs w:val="20"/>
              </w:rPr>
            </w:pPr>
            <w:r>
              <w:rPr>
                <w:rFonts w:eastAsia="Calibri" w:cs="Arial"/>
                <w:sz w:val="20"/>
                <w:szCs w:val="20"/>
              </w:rPr>
              <w:t>23</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color w:val="000000"/>
                <w:sz w:val="20"/>
                <w:szCs w:val="20"/>
              </w:rPr>
            </w:pPr>
            <w:r>
              <w:rPr>
                <w:rFonts w:eastAsia="Calibri" w:cs="Arial"/>
                <w:color w:val="000000"/>
                <w:sz w:val="20"/>
                <w:szCs w:val="20"/>
              </w:rPr>
              <w:lastRenderedPageBreak/>
              <w:t>24</w:t>
            </w:r>
          </w:p>
        </w:tc>
        <w:tc>
          <w:tcPr>
            <w:tcW w:w="567" w:type="dxa"/>
            <w:gridSpan w:val="2"/>
            <w:shd w:val="clear" w:color="auto" w:fill="D9E2F3"/>
          </w:tcPr>
          <w:p>
            <w:pPr>
              <w:spacing w:after="0" w:line="240" w:lineRule="auto"/>
              <w:jc w:val="center"/>
              <w:rPr>
                <w:rFonts w:eastAsia="Calibri" w:cs="Arial"/>
                <w:color w:val="000000"/>
                <w:sz w:val="20"/>
                <w:szCs w:val="20"/>
              </w:rPr>
            </w:pPr>
            <w:r>
              <w:rPr>
                <w:rFonts w:eastAsia="Calibri" w:cs="Arial"/>
                <w:color w:val="000000"/>
                <w:sz w:val="20"/>
                <w:szCs w:val="20"/>
              </w:rPr>
              <w:t>25</w:t>
            </w:r>
          </w:p>
        </w:tc>
        <w:tc>
          <w:tcPr>
            <w:tcW w:w="567" w:type="dxa"/>
            <w:gridSpan w:val="2"/>
            <w:shd w:val="clear" w:color="auto" w:fill="D9E2F3"/>
          </w:tcPr>
          <w:p>
            <w:pPr>
              <w:spacing w:after="0" w:line="240" w:lineRule="auto"/>
              <w:jc w:val="center"/>
              <w:rPr>
                <w:rFonts w:eastAsia="Calibri" w:cs="Arial"/>
                <w:color w:val="FF0000"/>
                <w:sz w:val="20"/>
                <w:szCs w:val="20"/>
              </w:rPr>
            </w:pPr>
            <w:r>
              <w:rPr>
                <w:rFonts w:eastAsia="Calibri" w:cs="Arial"/>
                <w:color w:val="000000"/>
                <w:sz w:val="20"/>
                <w:szCs w:val="20"/>
              </w:rPr>
              <w:t>26</w:t>
            </w:r>
          </w:p>
        </w:tc>
        <w:tc>
          <w:tcPr>
            <w:tcW w:w="440" w:type="dxa"/>
            <w:gridSpan w:val="2"/>
            <w:shd w:val="clear" w:color="auto" w:fill="D9E2F3"/>
          </w:tcPr>
          <w:p>
            <w:pPr>
              <w:spacing w:after="0" w:line="240" w:lineRule="auto"/>
              <w:jc w:val="center"/>
              <w:rPr>
                <w:rFonts w:eastAsia="Calibri" w:cs="Arial"/>
                <w:color w:val="000000"/>
                <w:sz w:val="20"/>
                <w:szCs w:val="20"/>
              </w:rPr>
            </w:pPr>
            <w:r>
              <w:rPr>
                <w:rFonts w:eastAsia="Calibri" w:cs="Arial"/>
                <w:color w:val="000000"/>
                <w:sz w:val="20"/>
                <w:szCs w:val="20"/>
              </w:rPr>
              <w:t>27</w:t>
            </w:r>
          </w:p>
        </w:tc>
        <w:tc>
          <w:tcPr>
            <w:tcW w:w="440" w:type="dxa"/>
            <w:gridSpan w:val="2"/>
            <w:shd w:val="clear" w:color="auto" w:fill="D9E2F3"/>
          </w:tcPr>
          <w:p>
            <w:pPr>
              <w:spacing w:after="0" w:line="240" w:lineRule="auto"/>
              <w:jc w:val="center"/>
              <w:rPr>
                <w:rFonts w:eastAsia="Calibri" w:cs="Arial"/>
                <w:color w:val="000000"/>
                <w:sz w:val="20"/>
                <w:szCs w:val="20"/>
              </w:rPr>
            </w:pPr>
            <w:r>
              <w:rPr>
                <w:rFonts w:eastAsia="Calibri" w:cs="Arial"/>
                <w:color w:val="000000"/>
                <w:sz w:val="20"/>
                <w:szCs w:val="20"/>
              </w:rPr>
              <w:t>28</w:t>
            </w:r>
          </w:p>
        </w:tc>
        <w:tc>
          <w:tcPr>
            <w:tcW w:w="440" w:type="dxa"/>
            <w:gridSpan w:val="2"/>
          </w:tcPr>
          <w:p>
            <w:pPr>
              <w:spacing w:after="0" w:line="240" w:lineRule="auto"/>
              <w:jc w:val="center"/>
              <w:rPr>
                <w:rFonts w:eastAsia="Calibri" w:cs="Arial"/>
                <w:sz w:val="20"/>
                <w:szCs w:val="20"/>
              </w:rPr>
            </w:pPr>
            <w:r>
              <w:rPr>
                <w:rFonts w:eastAsia="Calibri" w:cs="Arial"/>
                <w:sz w:val="20"/>
                <w:szCs w:val="20"/>
              </w:rPr>
              <w:t>29</w:t>
            </w:r>
          </w:p>
        </w:tc>
        <w:tc>
          <w:tcPr>
            <w:tcW w:w="462" w:type="dxa"/>
          </w:tcPr>
          <w:p>
            <w:pPr>
              <w:spacing w:after="0" w:line="240" w:lineRule="auto"/>
              <w:jc w:val="center"/>
              <w:rPr>
                <w:rFonts w:eastAsia="Calibri" w:cs="Arial"/>
                <w:sz w:val="20"/>
                <w:szCs w:val="20"/>
              </w:rPr>
            </w:pPr>
            <w:r>
              <w:rPr>
                <w:rFonts w:eastAsia="Calibri" w:cs="Arial"/>
                <w:sz w:val="20"/>
                <w:szCs w:val="20"/>
              </w:rPr>
              <w:t>30</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color w:val="000000"/>
                <w:sz w:val="20"/>
                <w:szCs w:val="20"/>
              </w:rPr>
            </w:pPr>
            <w:r>
              <w:rPr>
                <w:rFonts w:eastAsia="Calibri" w:cs="Arial"/>
                <w:color w:val="000000"/>
                <w:sz w:val="20"/>
                <w:szCs w:val="20"/>
              </w:rPr>
              <w:t>31</w:t>
            </w:r>
          </w:p>
        </w:tc>
        <w:tc>
          <w:tcPr>
            <w:tcW w:w="567" w:type="dxa"/>
            <w:gridSpan w:val="2"/>
            <w:shd w:val="clear" w:color="auto" w:fill="auto"/>
          </w:tcPr>
          <w:p>
            <w:pPr>
              <w:spacing w:after="0" w:line="240" w:lineRule="auto"/>
              <w:jc w:val="center"/>
              <w:rPr>
                <w:rFonts w:eastAsia="Calibri" w:cs="Arial"/>
                <w:color w:val="000000"/>
                <w:sz w:val="20"/>
                <w:szCs w:val="20"/>
              </w:rPr>
            </w:pPr>
          </w:p>
        </w:tc>
        <w:tc>
          <w:tcPr>
            <w:tcW w:w="567" w:type="dxa"/>
            <w:gridSpan w:val="2"/>
            <w:shd w:val="clear" w:color="auto" w:fill="auto"/>
          </w:tcPr>
          <w:p>
            <w:pPr>
              <w:spacing w:after="0" w:line="240" w:lineRule="auto"/>
              <w:jc w:val="center"/>
              <w:rPr>
                <w:rFonts w:eastAsia="Calibri" w:cs="Arial"/>
                <w:color w:val="000000"/>
                <w:sz w:val="20"/>
                <w:szCs w:val="20"/>
              </w:rPr>
            </w:pPr>
          </w:p>
        </w:tc>
        <w:tc>
          <w:tcPr>
            <w:tcW w:w="440" w:type="dxa"/>
            <w:gridSpan w:val="2"/>
            <w:shd w:val="clear" w:color="auto" w:fill="auto"/>
          </w:tcPr>
          <w:p>
            <w:pPr>
              <w:spacing w:after="0" w:line="240" w:lineRule="auto"/>
              <w:jc w:val="center"/>
              <w:rPr>
                <w:rFonts w:eastAsia="Calibri" w:cs="Arial"/>
                <w:color w:val="FF0000"/>
                <w:sz w:val="20"/>
                <w:szCs w:val="20"/>
              </w:rPr>
            </w:pPr>
          </w:p>
        </w:tc>
        <w:tc>
          <w:tcPr>
            <w:tcW w:w="440" w:type="dxa"/>
            <w:gridSpan w:val="2"/>
            <w:shd w:val="clear" w:color="auto" w:fill="auto"/>
          </w:tcPr>
          <w:p>
            <w:pPr>
              <w:spacing w:after="0" w:line="240" w:lineRule="auto"/>
              <w:jc w:val="center"/>
              <w:rPr>
                <w:rFonts w:eastAsia="Calibri" w:cs="Arial"/>
                <w:color w:val="000000"/>
                <w:sz w:val="20"/>
                <w:szCs w:val="20"/>
              </w:rPr>
            </w:pPr>
          </w:p>
        </w:tc>
        <w:tc>
          <w:tcPr>
            <w:tcW w:w="440" w:type="dxa"/>
            <w:gridSpan w:val="2"/>
          </w:tcPr>
          <w:p>
            <w:pPr>
              <w:spacing w:after="0" w:line="240" w:lineRule="auto"/>
              <w:jc w:val="center"/>
              <w:rPr>
                <w:rFonts w:eastAsia="Calibri" w:cs="Arial"/>
                <w:sz w:val="20"/>
                <w:szCs w:val="20"/>
              </w:rPr>
            </w:pPr>
          </w:p>
        </w:tc>
        <w:tc>
          <w:tcPr>
            <w:tcW w:w="462" w:type="dxa"/>
          </w:tcPr>
          <w:p>
            <w:pPr>
              <w:spacing w:after="0" w:line="240" w:lineRule="auto"/>
              <w:jc w:val="center"/>
              <w:rPr>
                <w:rFonts w:eastAsia="Calibri" w:cs="Arial"/>
                <w:sz w:val="20"/>
                <w:szCs w:val="20"/>
              </w:rPr>
            </w:pPr>
          </w:p>
        </w:tc>
        <w:tc>
          <w:tcPr>
            <w:tcW w:w="4677" w:type="dxa"/>
            <w:gridSpan w:val="2"/>
            <w:shd w:val="clear" w:color="auto" w:fill="auto"/>
          </w:tcPr>
          <w:p>
            <w:pPr>
              <w:spacing w:after="0" w:line="240" w:lineRule="auto"/>
              <w:jc w:val="center"/>
              <w:rPr>
                <w:rFonts w:eastAsia="Calibri" w:cs="Arial"/>
                <w:sz w:val="20"/>
                <w:szCs w:val="20"/>
              </w:rPr>
            </w:pPr>
          </w:p>
        </w:tc>
      </w:tr>
      <w:tr>
        <w:trPr>
          <w:gridBefore w:val="1"/>
          <w:wBefore w:w="10" w:type="dxa"/>
        </w:trPr>
        <w:tc>
          <w:tcPr>
            <w:tcW w:w="3356" w:type="dxa"/>
            <w:gridSpan w:val="13"/>
            <w:shd w:val="clear" w:color="auto" w:fill="B4C6E7"/>
          </w:tcPr>
          <w:p>
            <w:pPr>
              <w:spacing w:after="0" w:line="240" w:lineRule="auto"/>
              <w:jc w:val="center"/>
              <w:rPr>
                <w:rFonts w:eastAsia="Calibri" w:cs="Arial"/>
                <w:sz w:val="20"/>
                <w:szCs w:val="20"/>
              </w:rPr>
            </w:pPr>
            <w:r>
              <w:rPr>
                <w:rFonts w:eastAsia="Calibri" w:cs="Arial"/>
                <w:sz w:val="20"/>
                <w:szCs w:val="20"/>
              </w:rPr>
              <w:t>ABRIL 2025</w:t>
            </w:r>
          </w:p>
        </w:tc>
        <w:tc>
          <w:tcPr>
            <w:tcW w:w="4677" w:type="dxa"/>
            <w:gridSpan w:val="2"/>
            <w:vMerge w:val="restart"/>
            <w:shd w:val="clear" w:color="auto" w:fill="auto"/>
          </w:tcPr>
          <w:p>
            <w:pPr>
              <w:spacing w:after="0" w:line="240" w:lineRule="auto"/>
              <w:rPr>
                <w:rFonts w:eastAsia="Calibri" w:cs="Arial"/>
                <w:b/>
                <w:sz w:val="20"/>
                <w:szCs w:val="20"/>
              </w:rPr>
            </w:pPr>
            <w:r>
              <w:rPr>
                <w:rFonts w:eastAsia="Calibri" w:cs="Arial"/>
                <w:b/>
                <w:sz w:val="20"/>
                <w:szCs w:val="20"/>
              </w:rPr>
              <w:t xml:space="preserve">                 </w:t>
            </w:r>
          </w:p>
          <w:p>
            <w:pPr>
              <w:spacing w:after="0" w:line="240" w:lineRule="auto"/>
              <w:rPr>
                <w:rFonts w:eastAsia="Calibri" w:cs="Arial"/>
                <w:b/>
                <w:sz w:val="20"/>
                <w:szCs w:val="20"/>
              </w:rPr>
            </w:pPr>
            <w:r>
              <w:rPr>
                <w:rFonts w:eastAsia="Calibri" w:cs="Arial"/>
                <w:b/>
                <w:sz w:val="20"/>
                <w:szCs w:val="20"/>
              </w:rPr>
              <w:t xml:space="preserve">                         Acción formativa</w:t>
            </w:r>
          </w:p>
          <w:p>
            <w:pPr>
              <w:spacing w:after="0" w:line="240" w:lineRule="auto"/>
              <w:rPr>
                <w:rFonts w:eastAsia="Calibri" w:cs="Arial"/>
                <w:b/>
                <w:sz w:val="20"/>
                <w:szCs w:val="20"/>
              </w:rPr>
            </w:pPr>
          </w:p>
          <w:p>
            <w:pPr>
              <w:spacing w:after="0" w:line="240" w:lineRule="auto"/>
              <w:rPr>
                <w:rFonts w:eastAsia="Calibri" w:cs="Arial"/>
                <w:sz w:val="20"/>
                <w:szCs w:val="20"/>
              </w:rPr>
            </w:pPr>
            <w:r>
              <w:rPr>
                <w:rFonts w:eastAsia="Calibri" w:cs="Arial"/>
                <w:sz w:val="20"/>
                <w:szCs w:val="20"/>
              </w:rPr>
              <w:t>Certificado Profesional Operaciones Básicas de Restaurante y Bar.</w:t>
            </w:r>
          </w:p>
          <w:p>
            <w:pPr>
              <w:spacing w:after="0" w:line="240" w:lineRule="auto"/>
              <w:rPr>
                <w:rFonts w:eastAsia="Calibri" w:cs="Arial"/>
                <w:color w:val="000000"/>
                <w:sz w:val="20"/>
                <w:szCs w:val="20"/>
              </w:rPr>
            </w:pPr>
          </w:p>
        </w:tc>
      </w:tr>
      <w:tr>
        <w:trPr>
          <w:gridBefore w:val="1"/>
          <w:wBefore w:w="10" w:type="dxa"/>
        </w:trPr>
        <w:tc>
          <w:tcPr>
            <w:tcW w:w="440" w:type="dxa"/>
            <w:gridSpan w:val="2"/>
          </w:tcPr>
          <w:p>
            <w:pPr>
              <w:spacing w:after="0" w:line="240" w:lineRule="auto"/>
              <w:jc w:val="center"/>
              <w:rPr>
                <w:rFonts w:eastAsia="Calibri" w:cs="Arial"/>
                <w:b/>
                <w:sz w:val="20"/>
                <w:szCs w:val="20"/>
              </w:rPr>
            </w:pPr>
            <w:r>
              <w:rPr>
                <w:rFonts w:eastAsia="Calibri" w:cs="Arial"/>
                <w:b/>
                <w:sz w:val="20"/>
                <w:szCs w:val="20"/>
              </w:rPr>
              <w:t xml:space="preserve"> L</w:t>
            </w:r>
          </w:p>
        </w:tc>
        <w:tc>
          <w:tcPr>
            <w:tcW w:w="567" w:type="dxa"/>
            <w:gridSpan w:val="2"/>
          </w:tcPr>
          <w:p>
            <w:pPr>
              <w:spacing w:after="0" w:line="240" w:lineRule="auto"/>
              <w:jc w:val="center"/>
              <w:rPr>
                <w:rFonts w:eastAsia="Calibri" w:cs="Arial"/>
                <w:b/>
                <w:sz w:val="20"/>
                <w:szCs w:val="20"/>
              </w:rPr>
            </w:pPr>
            <w:r>
              <w:rPr>
                <w:rFonts w:eastAsia="Calibri" w:cs="Arial"/>
                <w:b/>
                <w:sz w:val="20"/>
                <w:szCs w:val="20"/>
              </w:rPr>
              <w:t>M</w:t>
            </w:r>
          </w:p>
        </w:tc>
        <w:tc>
          <w:tcPr>
            <w:tcW w:w="567" w:type="dxa"/>
            <w:gridSpan w:val="2"/>
          </w:tcPr>
          <w:p>
            <w:pPr>
              <w:spacing w:after="0" w:line="240" w:lineRule="auto"/>
              <w:jc w:val="center"/>
              <w:rPr>
                <w:rFonts w:eastAsia="Calibri" w:cs="Arial"/>
                <w:b/>
                <w:sz w:val="20"/>
                <w:szCs w:val="20"/>
              </w:rPr>
            </w:pPr>
            <w:r>
              <w:rPr>
                <w:rFonts w:eastAsia="Calibri" w:cs="Arial"/>
                <w:b/>
                <w:sz w:val="20"/>
                <w:szCs w:val="20"/>
              </w:rPr>
              <w:t>M</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J</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V</w:t>
            </w:r>
          </w:p>
        </w:tc>
        <w:tc>
          <w:tcPr>
            <w:tcW w:w="440" w:type="dxa"/>
            <w:gridSpan w:val="2"/>
          </w:tcPr>
          <w:p>
            <w:pPr>
              <w:spacing w:after="0" w:line="240" w:lineRule="auto"/>
              <w:jc w:val="center"/>
              <w:rPr>
                <w:rFonts w:eastAsia="Calibri" w:cs="Arial"/>
                <w:b/>
                <w:sz w:val="20"/>
                <w:szCs w:val="20"/>
              </w:rPr>
            </w:pPr>
            <w:r>
              <w:rPr>
                <w:rFonts w:eastAsia="Calibri" w:cs="Arial"/>
                <w:b/>
                <w:sz w:val="20"/>
                <w:szCs w:val="20"/>
              </w:rPr>
              <w:t>S</w:t>
            </w:r>
          </w:p>
        </w:tc>
        <w:tc>
          <w:tcPr>
            <w:tcW w:w="462" w:type="dxa"/>
          </w:tcPr>
          <w:p>
            <w:pPr>
              <w:spacing w:after="0" w:line="240" w:lineRule="auto"/>
              <w:jc w:val="center"/>
              <w:rPr>
                <w:rFonts w:eastAsia="Calibri" w:cs="Arial"/>
                <w:b/>
                <w:sz w:val="20"/>
                <w:szCs w:val="20"/>
              </w:rPr>
            </w:pPr>
            <w:r>
              <w:rPr>
                <w:rFonts w:eastAsia="Calibri" w:cs="Arial"/>
                <w:b/>
                <w:sz w:val="20"/>
                <w:szCs w:val="20"/>
              </w:rPr>
              <w:t>D</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tcPr>
          <w:p>
            <w:pPr>
              <w:spacing w:after="0" w:line="240" w:lineRule="auto"/>
              <w:jc w:val="center"/>
              <w:rPr>
                <w:rFonts w:eastAsia="Calibri" w:cs="Arial"/>
                <w:sz w:val="20"/>
                <w:szCs w:val="20"/>
              </w:rPr>
            </w:pP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3</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4</w:t>
            </w:r>
          </w:p>
        </w:tc>
        <w:tc>
          <w:tcPr>
            <w:tcW w:w="440" w:type="dxa"/>
            <w:gridSpan w:val="2"/>
          </w:tcPr>
          <w:p>
            <w:pPr>
              <w:spacing w:after="0" w:line="240" w:lineRule="auto"/>
              <w:jc w:val="center"/>
              <w:rPr>
                <w:rFonts w:eastAsia="Calibri" w:cs="Arial"/>
                <w:sz w:val="20"/>
                <w:szCs w:val="20"/>
              </w:rPr>
            </w:pPr>
            <w:r>
              <w:rPr>
                <w:rFonts w:eastAsia="Calibri" w:cs="Arial"/>
                <w:sz w:val="20"/>
                <w:szCs w:val="20"/>
              </w:rPr>
              <w:t>5</w:t>
            </w:r>
          </w:p>
        </w:tc>
        <w:tc>
          <w:tcPr>
            <w:tcW w:w="462" w:type="dxa"/>
          </w:tcPr>
          <w:p>
            <w:pPr>
              <w:spacing w:after="0" w:line="240" w:lineRule="auto"/>
              <w:jc w:val="center"/>
              <w:rPr>
                <w:rFonts w:eastAsia="Calibri" w:cs="Arial"/>
                <w:sz w:val="20"/>
                <w:szCs w:val="20"/>
              </w:rPr>
            </w:pPr>
            <w:r>
              <w:rPr>
                <w:rFonts w:eastAsia="Calibri" w:cs="Arial"/>
                <w:sz w:val="20"/>
                <w:szCs w:val="20"/>
              </w:rPr>
              <w:t>6</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7</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8</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9</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10</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11</w:t>
            </w:r>
          </w:p>
        </w:tc>
        <w:tc>
          <w:tcPr>
            <w:tcW w:w="440" w:type="dxa"/>
            <w:gridSpan w:val="2"/>
          </w:tcPr>
          <w:p>
            <w:pPr>
              <w:spacing w:after="0" w:line="240" w:lineRule="auto"/>
              <w:jc w:val="center"/>
              <w:rPr>
                <w:rFonts w:eastAsia="Calibri" w:cs="Arial"/>
                <w:sz w:val="20"/>
                <w:szCs w:val="20"/>
              </w:rPr>
            </w:pPr>
            <w:r>
              <w:rPr>
                <w:rFonts w:eastAsia="Calibri" w:cs="Arial"/>
                <w:sz w:val="20"/>
                <w:szCs w:val="20"/>
              </w:rPr>
              <w:t>12</w:t>
            </w:r>
          </w:p>
        </w:tc>
        <w:tc>
          <w:tcPr>
            <w:tcW w:w="462" w:type="dxa"/>
          </w:tcPr>
          <w:p>
            <w:pPr>
              <w:spacing w:after="0" w:line="240" w:lineRule="auto"/>
              <w:jc w:val="center"/>
              <w:rPr>
                <w:rFonts w:eastAsia="Calibri" w:cs="Arial"/>
                <w:sz w:val="20"/>
                <w:szCs w:val="20"/>
              </w:rPr>
            </w:pPr>
            <w:r>
              <w:rPr>
                <w:rFonts w:eastAsia="Calibri" w:cs="Arial"/>
                <w:sz w:val="20"/>
                <w:szCs w:val="20"/>
              </w:rPr>
              <w:t>13</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14</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15</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16</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17</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18</w:t>
            </w:r>
          </w:p>
        </w:tc>
        <w:tc>
          <w:tcPr>
            <w:tcW w:w="440" w:type="dxa"/>
            <w:gridSpan w:val="2"/>
          </w:tcPr>
          <w:p>
            <w:pPr>
              <w:spacing w:after="0" w:line="240" w:lineRule="auto"/>
              <w:jc w:val="center"/>
              <w:rPr>
                <w:rFonts w:eastAsia="Calibri" w:cs="Arial"/>
                <w:sz w:val="20"/>
                <w:szCs w:val="20"/>
              </w:rPr>
            </w:pPr>
            <w:r>
              <w:rPr>
                <w:rFonts w:eastAsia="Calibri" w:cs="Arial"/>
                <w:sz w:val="20"/>
                <w:szCs w:val="20"/>
              </w:rPr>
              <w:t>19</w:t>
            </w:r>
          </w:p>
        </w:tc>
        <w:tc>
          <w:tcPr>
            <w:tcW w:w="462" w:type="dxa"/>
          </w:tcPr>
          <w:p>
            <w:pPr>
              <w:spacing w:after="0" w:line="240" w:lineRule="auto"/>
              <w:jc w:val="center"/>
              <w:rPr>
                <w:rFonts w:eastAsia="Calibri" w:cs="Arial"/>
                <w:sz w:val="20"/>
                <w:szCs w:val="20"/>
              </w:rPr>
            </w:pPr>
            <w:r>
              <w:rPr>
                <w:rFonts w:eastAsia="Calibri" w:cs="Arial"/>
                <w:sz w:val="20"/>
                <w:szCs w:val="20"/>
              </w:rPr>
              <w:t>20</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21</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22</w:t>
            </w:r>
          </w:p>
        </w:tc>
        <w:tc>
          <w:tcPr>
            <w:tcW w:w="567"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23</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24</w:t>
            </w:r>
          </w:p>
        </w:tc>
        <w:tc>
          <w:tcPr>
            <w:tcW w:w="440" w:type="dxa"/>
            <w:gridSpan w:val="2"/>
            <w:shd w:val="clear" w:color="auto" w:fill="D9E2F3"/>
          </w:tcPr>
          <w:p>
            <w:pPr>
              <w:spacing w:after="0" w:line="240" w:lineRule="auto"/>
              <w:jc w:val="center"/>
              <w:rPr>
                <w:rFonts w:eastAsia="Calibri" w:cs="Arial"/>
                <w:sz w:val="20"/>
                <w:szCs w:val="20"/>
              </w:rPr>
            </w:pPr>
            <w:r>
              <w:rPr>
                <w:rFonts w:eastAsia="Calibri" w:cs="Arial"/>
                <w:sz w:val="20"/>
                <w:szCs w:val="20"/>
              </w:rPr>
              <w:t>25</w:t>
            </w:r>
          </w:p>
        </w:tc>
        <w:tc>
          <w:tcPr>
            <w:tcW w:w="440" w:type="dxa"/>
            <w:gridSpan w:val="2"/>
          </w:tcPr>
          <w:p>
            <w:pPr>
              <w:spacing w:after="0" w:line="240" w:lineRule="auto"/>
              <w:jc w:val="center"/>
              <w:rPr>
                <w:rFonts w:eastAsia="Calibri" w:cs="Arial"/>
                <w:sz w:val="20"/>
                <w:szCs w:val="20"/>
              </w:rPr>
            </w:pPr>
            <w:r>
              <w:rPr>
                <w:rFonts w:eastAsia="Calibri" w:cs="Arial"/>
                <w:sz w:val="20"/>
                <w:szCs w:val="20"/>
              </w:rPr>
              <w:t>26</w:t>
            </w:r>
          </w:p>
        </w:tc>
        <w:tc>
          <w:tcPr>
            <w:tcW w:w="462" w:type="dxa"/>
          </w:tcPr>
          <w:p>
            <w:pPr>
              <w:spacing w:after="0" w:line="240" w:lineRule="auto"/>
              <w:jc w:val="center"/>
              <w:rPr>
                <w:rFonts w:eastAsia="Calibri" w:cs="Arial"/>
                <w:sz w:val="20"/>
                <w:szCs w:val="20"/>
              </w:rPr>
            </w:pPr>
            <w:r>
              <w:rPr>
                <w:rFonts w:eastAsia="Calibri" w:cs="Arial"/>
                <w:sz w:val="20"/>
                <w:szCs w:val="20"/>
              </w:rPr>
              <w:t>27</w:t>
            </w:r>
          </w:p>
        </w:tc>
        <w:tc>
          <w:tcPr>
            <w:tcW w:w="4677" w:type="dxa"/>
            <w:gridSpan w:val="2"/>
            <w:vMerge/>
            <w:shd w:val="clear" w:color="auto" w:fill="auto"/>
          </w:tcPr>
          <w:p>
            <w:pPr>
              <w:spacing w:after="0" w:line="240" w:lineRule="auto"/>
              <w:jc w:val="center"/>
              <w:rPr>
                <w:rFonts w:eastAsia="Calibri" w:cs="Arial"/>
                <w:sz w:val="20"/>
                <w:szCs w:val="20"/>
              </w:rPr>
            </w:pPr>
          </w:p>
        </w:tc>
      </w:tr>
      <w:tr>
        <w:trPr>
          <w:gridBefore w:val="1"/>
          <w:wBefore w:w="10" w:type="dxa"/>
        </w:trPr>
        <w:tc>
          <w:tcPr>
            <w:tcW w:w="440" w:type="dxa"/>
            <w:gridSpan w:val="2"/>
            <w:shd w:val="clear" w:color="auto" w:fill="auto"/>
          </w:tcPr>
          <w:p>
            <w:pPr>
              <w:spacing w:after="0" w:line="240" w:lineRule="auto"/>
              <w:jc w:val="center"/>
              <w:rPr>
                <w:rFonts w:eastAsia="Calibri" w:cs="Arial"/>
                <w:color w:val="000000"/>
                <w:sz w:val="20"/>
                <w:szCs w:val="20"/>
              </w:rPr>
            </w:pPr>
            <w:r>
              <w:rPr>
                <w:rFonts w:eastAsia="Calibri" w:cs="Arial"/>
                <w:color w:val="000000"/>
                <w:sz w:val="20"/>
                <w:szCs w:val="20"/>
              </w:rPr>
              <w:t>28</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29</w:t>
            </w:r>
          </w:p>
        </w:tc>
        <w:tc>
          <w:tcPr>
            <w:tcW w:w="567" w:type="dxa"/>
            <w:gridSpan w:val="2"/>
            <w:shd w:val="clear" w:color="auto" w:fill="auto"/>
          </w:tcPr>
          <w:p>
            <w:pPr>
              <w:spacing w:after="0" w:line="240" w:lineRule="auto"/>
              <w:jc w:val="center"/>
              <w:rPr>
                <w:rFonts w:eastAsia="Calibri" w:cs="Arial"/>
                <w:sz w:val="20"/>
                <w:szCs w:val="20"/>
              </w:rPr>
            </w:pPr>
            <w:r>
              <w:rPr>
                <w:rFonts w:eastAsia="Calibri" w:cs="Arial"/>
                <w:sz w:val="20"/>
                <w:szCs w:val="20"/>
              </w:rPr>
              <w:t>30</w:t>
            </w:r>
          </w:p>
        </w:tc>
        <w:tc>
          <w:tcPr>
            <w:tcW w:w="440" w:type="dxa"/>
            <w:gridSpan w:val="2"/>
            <w:shd w:val="clear" w:color="auto" w:fill="FFFFFF"/>
          </w:tcPr>
          <w:p>
            <w:pPr>
              <w:spacing w:after="0" w:line="240" w:lineRule="auto"/>
              <w:jc w:val="center"/>
              <w:rPr>
                <w:rFonts w:eastAsia="Calibri" w:cs="Arial"/>
                <w:sz w:val="20"/>
                <w:szCs w:val="20"/>
              </w:rPr>
            </w:pPr>
          </w:p>
        </w:tc>
        <w:tc>
          <w:tcPr>
            <w:tcW w:w="440" w:type="dxa"/>
            <w:gridSpan w:val="2"/>
            <w:shd w:val="clear" w:color="auto" w:fill="FFFFFF"/>
          </w:tcPr>
          <w:p>
            <w:pPr>
              <w:spacing w:after="0" w:line="240" w:lineRule="auto"/>
              <w:jc w:val="center"/>
              <w:rPr>
                <w:rFonts w:eastAsia="Calibri" w:cs="Arial"/>
                <w:sz w:val="20"/>
                <w:szCs w:val="20"/>
              </w:rPr>
            </w:pPr>
          </w:p>
        </w:tc>
        <w:tc>
          <w:tcPr>
            <w:tcW w:w="440" w:type="dxa"/>
            <w:gridSpan w:val="2"/>
          </w:tcPr>
          <w:p>
            <w:pPr>
              <w:spacing w:after="0" w:line="240" w:lineRule="auto"/>
              <w:jc w:val="center"/>
              <w:rPr>
                <w:rFonts w:eastAsia="Calibri" w:cs="Arial"/>
                <w:sz w:val="20"/>
                <w:szCs w:val="20"/>
              </w:rPr>
            </w:pPr>
          </w:p>
        </w:tc>
        <w:tc>
          <w:tcPr>
            <w:tcW w:w="462" w:type="dxa"/>
          </w:tcPr>
          <w:p>
            <w:pPr>
              <w:spacing w:after="0" w:line="240" w:lineRule="auto"/>
              <w:jc w:val="center"/>
              <w:rPr>
                <w:rFonts w:eastAsia="Calibri" w:cs="Arial"/>
                <w:sz w:val="20"/>
                <w:szCs w:val="20"/>
              </w:rPr>
            </w:pPr>
          </w:p>
        </w:tc>
        <w:tc>
          <w:tcPr>
            <w:tcW w:w="4677" w:type="dxa"/>
            <w:gridSpan w:val="2"/>
            <w:vMerge/>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3366" w:type="dxa"/>
            <w:gridSpan w:val="14"/>
            <w:tcBorders>
              <w:top w:val="double" w:sz="4" w:space="0" w:color="auto"/>
              <w:left w:val="double" w:sz="4" w:space="0" w:color="auto"/>
              <w:bottom w:val="double" w:sz="4" w:space="0" w:color="auto"/>
              <w:right w:val="double" w:sz="4" w:space="0" w:color="auto"/>
            </w:tcBorders>
            <w:shd w:val="clear" w:color="auto" w:fill="B4C6E7"/>
          </w:tcPr>
          <w:p>
            <w:pPr>
              <w:spacing w:after="0" w:line="240" w:lineRule="auto"/>
              <w:jc w:val="center"/>
              <w:rPr>
                <w:rFonts w:eastAsia="Calibri" w:cs="Arial"/>
                <w:sz w:val="20"/>
                <w:szCs w:val="20"/>
              </w:rPr>
            </w:pPr>
            <w:r>
              <w:rPr>
                <w:rFonts w:eastAsia="Calibri" w:cs="Arial"/>
                <w:sz w:val="20"/>
                <w:szCs w:val="20"/>
              </w:rPr>
              <w:t>ABRIL 2025</w:t>
            </w:r>
          </w:p>
        </w:tc>
        <w:tc>
          <w:tcPr>
            <w:tcW w:w="4667" w:type="dxa"/>
            <w:vMerge w:val="restart"/>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rPr>
                <w:rFonts w:eastAsia="Calibri" w:cs="Arial"/>
                <w:sz w:val="20"/>
                <w:szCs w:val="20"/>
              </w:rPr>
            </w:pPr>
          </w:p>
          <w:p>
            <w:pPr>
              <w:spacing w:after="0" w:line="240" w:lineRule="auto"/>
              <w:jc w:val="center"/>
              <w:rPr>
                <w:rFonts w:eastAsia="Calibri" w:cs="Arial"/>
                <w:b/>
                <w:sz w:val="20"/>
                <w:szCs w:val="20"/>
              </w:rPr>
            </w:pPr>
            <w:r>
              <w:rPr>
                <w:rFonts w:eastAsia="Calibri" w:cs="Arial"/>
                <w:b/>
                <w:sz w:val="20"/>
                <w:szCs w:val="20"/>
              </w:rPr>
              <w:t>Prácticas no laborales</w:t>
            </w:r>
          </w:p>
          <w:p>
            <w:pPr>
              <w:spacing w:after="0" w:line="240" w:lineRule="auto"/>
              <w:jc w:val="center"/>
              <w:rPr>
                <w:rFonts w:eastAsia="Calibri" w:cs="Arial"/>
                <w:sz w:val="20"/>
                <w:szCs w:val="20"/>
              </w:rPr>
            </w:pPr>
            <w:r>
              <w:rPr>
                <w:rFonts w:eastAsia="Calibri" w:cs="Arial"/>
                <w:sz w:val="20"/>
                <w:szCs w:val="20"/>
              </w:rPr>
              <w:t xml:space="preserve">Empresas: </w:t>
            </w:r>
          </w:p>
          <w:p>
            <w:pPr>
              <w:numPr>
                <w:ilvl w:val="0"/>
                <w:numId w:val="131"/>
              </w:numPr>
              <w:spacing w:after="0" w:line="240" w:lineRule="auto"/>
              <w:contextualSpacing/>
              <w:rPr>
                <w:rFonts w:eastAsia="Calibri" w:cs="Arial"/>
                <w:color w:val="000000"/>
                <w:sz w:val="20"/>
                <w:szCs w:val="20"/>
                <w:lang w:val="pt-PT"/>
              </w:rPr>
            </w:pPr>
            <w:r>
              <w:rPr>
                <w:rFonts w:eastAsia="Calibri" w:cs="Arial"/>
                <w:color w:val="000000"/>
                <w:sz w:val="20"/>
                <w:szCs w:val="20"/>
                <w:lang w:val="pt-PT"/>
              </w:rPr>
              <w:t>Promotora Fergy. Hotel G.C, Princess.</w:t>
            </w:r>
          </w:p>
          <w:p>
            <w:pPr>
              <w:numPr>
                <w:ilvl w:val="0"/>
                <w:numId w:val="131"/>
              </w:numPr>
              <w:spacing w:after="0" w:line="240" w:lineRule="auto"/>
              <w:contextualSpacing/>
              <w:rPr>
                <w:rFonts w:eastAsia="Calibri" w:cs="Arial"/>
                <w:color w:val="000000"/>
                <w:sz w:val="20"/>
                <w:szCs w:val="20"/>
              </w:rPr>
            </w:pPr>
            <w:r>
              <w:rPr>
                <w:rFonts w:eastAsia="Calibri" w:cs="Arial"/>
                <w:color w:val="000000"/>
                <w:sz w:val="20"/>
                <w:szCs w:val="20"/>
              </w:rPr>
              <w:t>Kron Socorro. Bar restaurante La Plazuela.</w:t>
            </w:r>
          </w:p>
          <w:p>
            <w:pPr>
              <w:numPr>
                <w:ilvl w:val="0"/>
                <w:numId w:val="131"/>
              </w:numPr>
              <w:spacing w:after="0" w:line="240" w:lineRule="auto"/>
              <w:contextualSpacing/>
              <w:rPr>
                <w:rFonts w:eastAsia="Calibri" w:cs="Arial"/>
                <w:color w:val="000000"/>
                <w:sz w:val="20"/>
                <w:szCs w:val="20"/>
              </w:rPr>
            </w:pPr>
            <w:r>
              <w:rPr>
                <w:rFonts w:eastAsia="Calibri" w:cs="Arial"/>
                <w:color w:val="000000"/>
                <w:sz w:val="20"/>
                <w:szCs w:val="20"/>
              </w:rPr>
              <w:t>Hoteles Escuela de G.C (HECANSA).</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 xml:space="preserve"> L</w:t>
            </w:r>
          </w:p>
        </w:tc>
        <w:tc>
          <w:tcPr>
            <w:tcW w:w="567"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M</w:t>
            </w:r>
          </w:p>
        </w:tc>
        <w:tc>
          <w:tcPr>
            <w:tcW w:w="567"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M</w:t>
            </w:r>
          </w:p>
        </w:tc>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J</w:t>
            </w:r>
          </w:p>
        </w:tc>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V</w:t>
            </w:r>
          </w:p>
        </w:tc>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S</w:t>
            </w:r>
          </w:p>
        </w:tc>
        <w:tc>
          <w:tcPr>
            <w:tcW w:w="472"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D</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sz w:val="20"/>
                <w:szCs w:val="20"/>
              </w:rPr>
            </w:pPr>
          </w:p>
        </w:tc>
        <w:tc>
          <w:tcPr>
            <w:tcW w:w="567"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w:t>
            </w:r>
          </w:p>
        </w:tc>
        <w:tc>
          <w:tcPr>
            <w:tcW w:w="567"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2</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3</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4</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5</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6</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7</w:t>
            </w:r>
          </w:p>
        </w:tc>
        <w:tc>
          <w:tcPr>
            <w:tcW w:w="567"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8</w:t>
            </w:r>
          </w:p>
        </w:tc>
        <w:tc>
          <w:tcPr>
            <w:tcW w:w="567"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9</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10</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11</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12</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rPr>
                <w:rFonts w:eastAsia="Calibri" w:cs="Arial"/>
                <w:sz w:val="20"/>
                <w:szCs w:val="20"/>
              </w:rPr>
            </w:pPr>
            <w:r>
              <w:rPr>
                <w:rFonts w:eastAsia="Calibri" w:cs="Arial"/>
                <w:sz w:val="20"/>
                <w:szCs w:val="20"/>
              </w:rPr>
              <w:t>13</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14</w:t>
            </w:r>
          </w:p>
        </w:tc>
        <w:tc>
          <w:tcPr>
            <w:tcW w:w="567"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color w:val="000000"/>
                <w:sz w:val="20"/>
                <w:szCs w:val="20"/>
              </w:rPr>
              <w:t>15</w:t>
            </w:r>
          </w:p>
        </w:tc>
        <w:tc>
          <w:tcPr>
            <w:tcW w:w="567"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16</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17</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18</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19</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20</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21</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22</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23</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24</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25</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26</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27</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28</w:t>
            </w:r>
          </w:p>
        </w:tc>
        <w:tc>
          <w:tcPr>
            <w:tcW w:w="567"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29</w:t>
            </w:r>
          </w:p>
        </w:tc>
        <w:tc>
          <w:tcPr>
            <w:tcW w:w="567"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30</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rPr>
                <w:rFonts w:eastAsia="Calibri" w:cs="Arial"/>
                <w:sz w:val="20"/>
                <w:szCs w:val="20"/>
              </w:rPr>
            </w:pP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3366" w:type="dxa"/>
            <w:gridSpan w:val="14"/>
            <w:tcBorders>
              <w:top w:val="double" w:sz="4" w:space="0" w:color="auto"/>
              <w:left w:val="double" w:sz="4" w:space="0" w:color="auto"/>
              <w:bottom w:val="double" w:sz="4" w:space="0" w:color="auto"/>
              <w:right w:val="double" w:sz="4" w:space="0" w:color="auto"/>
            </w:tcBorders>
            <w:shd w:val="clear" w:color="auto" w:fill="B4C6E7"/>
          </w:tcPr>
          <w:p>
            <w:pPr>
              <w:spacing w:after="0" w:line="240" w:lineRule="auto"/>
              <w:jc w:val="center"/>
              <w:rPr>
                <w:rFonts w:eastAsia="Calibri" w:cs="Arial"/>
                <w:sz w:val="20"/>
                <w:szCs w:val="20"/>
              </w:rPr>
            </w:pPr>
            <w:r>
              <w:rPr>
                <w:rFonts w:eastAsia="Calibri" w:cs="Arial"/>
                <w:sz w:val="20"/>
                <w:szCs w:val="20"/>
              </w:rPr>
              <w:t>MAYO 2025</w:t>
            </w:r>
          </w:p>
        </w:tc>
        <w:tc>
          <w:tcPr>
            <w:tcW w:w="4667" w:type="dxa"/>
            <w:vMerge w:val="restart"/>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rPr>
                <w:rFonts w:eastAsia="Calibri" w:cs="Arial"/>
                <w:sz w:val="20"/>
                <w:szCs w:val="20"/>
              </w:rPr>
            </w:pPr>
          </w:p>
          <w:p>
            <w:pPr>
              <w:spacing w:after="0" w:line="240" w:lineRule="auto"/>
              <w:jc w:val="center"/>
              <w:rPr>
                <w:rFonts w:eastAsia="Calibri" w:cs="Arial"/>
                <w:b/>
                <w:sz w:val="20"/>
                <w:szCs w:val="20"/>
              </w:rPr>
            </w:pPr>
            <w:r>
              <w:rPr>
                <w:rFonts w:eastAsia="Calibri" w:cs="Arial"/>
                <w:b/>
                <w:sz w:val="20"/>
                <w:szCs w:val="20"/>
              </w:rPr>
              <w:t>Prácticas no laborales</w:t>
            </w:r>
          </w:p>
          <w:p>
            <w:pPr>
              <w:spacing w:after="0" w:line="240" w:lineRule="auto"/>
              <w:jc w:val="center"/>
              <w:rPr>
                <w:rFonts w:eastAsia="Calibri" w:cs="Arial"/>
                <w:sz w:val="20"/>
                <w:szCs w:val="20"/>
              </w:rPr>
            </w:pPr>
            <w:r>
              <w:rPr>
                <w:rFonts w:eastAsia="Calibri" w:cs="Arial"/>
                <w:sz w:val="20"/>
                <w:szCs w:val="20"/>
              </w:rPr>
              <w:t xml:space="preserve">Empresas: </w:t>
            </w:r>
          </w:p>
          <w:p>
            <w:pPr>
              <w:numPr>
                <w:ilvl w:val="0"/>
                <w:numId w:val="131"/>
              </w:numPr>
              <w:spacing w:after="0" w:line="240" w:lineRule="auto"/>
              <w:contextualSpacing/>
              <w:rPr>
                <w:rFonts w:eastAsia="Calibri" w:cs="Arial"/>
                <w:color w:val="000000"/>
                <w:sz w:val="20"/>
                <w:szCs w:val="20"/>
                <w:lang w:val="pt-PT"/>
              </w:rPr>
            </w:pPr>
            <w:r>
              <w:rPr>
                <w:rFonts w:eastAsia="Calibri" w:cs="Arial"/>
                <w:color w:val="000000"/>
                <w:sz w:val="20"/>
                <w:szCs w:val="20"/>
                <w:lang w:val="pt-PT"/>
              </w:rPr>
              <w:t>Promotora Fergy. Hotel G.C, Princess.</w:t>
            </w:r>
          </w:p>
          <w:p>
            <w:pPr>
              <w:numPr>
                <w:ilvl w:val="0"/>
                <w:numId w:val="131"/>
              </w:numPr>
              <w:spacing w:after="0" w:line="240" w:lineRule="auto"/>
              <w:contextualSpacing/>
              <w:rPr>
                <w:rFonts w:eastAsia="Calibri" w:cs="Arial"/>
                <w:color w:val="000000"/>
                <w:sz w:val="20"/>
                <w:szCs w:val="20"/>
              </w:rPr>
            </w:pPr>
            <w:r>
              <w:rPr>
                <w:rFonts w:eastAsia="Calibri" w:cs="Arial"/>
                <w:color w:val="000000"/>
                <w:sz w:val="20"/>
                <w:szCs w:val="20"/>
              </w:rPr>
              <w:t>Kron Socorro. Bar restaurante La Plazuela.</w:t>
            </w:r>
          </w:p>
          <w:p>
            <w:pPr>
              <w:numPr>
                <w:ilvl w:val="0"/>
                <w:numId w:val="131"/>
              </w:numPr>
              <w:spacing w:after="0" w:line="240" w:lineRule="auto"/>
              <w:contextualSpacing/>
              <w:rPr>
                <w:rFonts w:eastAsia="Calibri" w:cs="Arial"/>
                <w:b/>
                <w:sz w:val="20"/>
                <w:szCs w:val="20"/>
              </w:rPr>
            </w:pPr>
            <w:r>
              <w:rPr>
                <w:rFonts w:eastAsia="Calibri" w:cs="Arial"/>
                <w:color w:val="000000"/>
                <w:sz w:val="20"/>
                <w:szCs w:val="20"/>
              </w:rPr>
              <w:t>Hoteles Escuela de G.C (HECANSA).</w:t>
            </w:r>
          </w:p>
          <w:p>
            <w:pPr>
              <w:spacing w:after="0" w:line="240" w:lineRule="auto"/>
              <w:rPr>
                <w:rFonts w:eastAsia="Calibri" w:cs="Arial"/>
                <w:color w:val="000000"/>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 xml:space="preserve"> L</w:t>
            </w:r>
          </w:p>
        </w:tc>
        <w:tc>
          <w:tcPr>
            <w:tcW w:w="567"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M</w:t>
            </w:r>
          </w:p>
        </w:tc>
        <w:tc>
          <w:tcPr>
            <w:tcW w:w="567"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M</w:t>
            </w:r>
          </w:p>
        </w:tc>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J</w:t>
            </w:r>
          </w:p>
        </w:tc>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V</w:t>
            </w:r>
          </w:p>
        </w:tc>
        <w:tc>
          <w:tcPr>
            <w:tcW w:w="440"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S</w:t>
            </w:r>
          </w:p>
        </w:tc>
        <w:tc>
          <w:tcPr>
            <w:tcW w:w="472" w:type="dxa"/>
            <w:gridSpan w:val="2"/>
            <w:tcBorders>
              <w:top w:val="double" w:sz="4" w:space="0" w:color="auto"/>
              <w:left w:val="double" w:sz="4" w:space="0" w:color="auto"/>
              <w:bottom w:val="double" w:sz="4" w:space="0" w:color="auto"/>
              <w:right w:val="double" w:sz="4" w:space="0" w:color="auto"/>
            </w:tcBorders>
          </w:tcPr>
          <w:p>
            <w:pPr>
              <w:spacing w:after="0" w:line="240" w:lineRule="auto"/>
              <w:jc w:val="center"/>
              <w:rPr>
                <w:rFonts w:eastAsia="Calibri" w:cs="Arial"/>
                <w:b/>
                <w:sz w:val="20"/>
                <w:szCs w:val="20"/>
              </w:rPr>
            </w:pPr>
            <w:r>
              <w:rPr>
                <w:rFonts w:eastAsia="Calibri" w:cs="Arial"/>
                <w:b/>
                <w:sz w:val="20"/>
                <w:szCs w:val="20"/>
              </w:rPr>
              <w:t>D</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1</w:t>
            </w:r>
          </w:p>
        </w:tc>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2</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3</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4</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5</w:t>
            </w:r>
          </w:p>
        </w:tc>
        <w:tc>
          <w:tcPr>
            <w:tcW w:w="567"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6</w:t>
            </w:r>
          </w:p>
        </w:tc>
        <w:tc>
          <w:tcPr>
            <w:tcW w:w="567"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7</w:t>
            </w:r>
          </w:p>
        </w:tc>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8</w:t>
            </w:r>
          </w:p>
        </w:tc>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9</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10</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rPr>
                <w:rFonts w:eastAsia="Calibri" w:cs="Arial"/>
                <w:sz w:val="20"/>
                <w:szCs w:val="20"/>
              </w:rPr>
            </w:pPr>
            <w:r>
              <w:rPr>
                <w:rFonts w:eastAsia="Calibri" w:cs="Arial"/>
                <w:sz w:val="20"/>
                <w:szCs w:val="20"/>
              </w:rPr>
              <w:t>11</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eastAsia="Calibri" w:cs="Arial"/>
                <w:sz w:val="20"/>
                <w:szCs w:val="20"/>
              </w:rPr>
            </w:pPr>
            <w:r>
              <w:rPr>
                <w:rFonts w:eastAsia="Calibri" w:cs="Arial"/>
                <w:sz w:val="20"/>
                <w:szCs w:val="20"/>
              </w:rPr>
              <w:t>12</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color w:val="000000"/>
                <w:sz w:val="20"/>
                <w:szCs w:val="20"/>
              </w:rPr>
              <w:t>13</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14</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15</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16</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17</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18</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19</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20</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21</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22</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23</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24</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r>
              <w:rPr>
                <w:rFonts w:eastAsia="Calibri" w:cs="Arial"/>
                <w:sz w:val="20"/>
                <w:szCs w:val="20"/>
              </w:rPr>
              <w:t>25</w:t>
            </w: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26</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27</w:t>
            </w:r>
          </w:p>
        </w:tc>
        <w:tc>
          <w:tcPr>
            <w:tcW w:w="567"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28</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29</w:t>
            </w:r>
          </w:p>
        </w:tc>
        <w:tc>
          <w:tcPr>
            <w:tcW w:w="440" w:type="dxa"/>
            <w:gridSpan w:val="2"/>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r>
              <w:rPr>
                <w:rFonts w:eastAsia="Calibri" w:cs="Arial"/>
                <w:sz w:val="20"/>
                <w:szCs w:val="20"/>
              </w:rPr>
              <w:t>30</w:t>
            </w:r>
          </w:p>
        </w:tc>
        <w:tc>
          <w:tcPr>
            <w:tcW w:w="440"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rPr>
                <w:rFonts w:eastAsia="Calibri" w:cs="Arial"/>
                <w:sz w:val="20"/>
                <w:szCs w:val="20"/>
              </w:rPr>
            </w:pPr>
            <w:r>
              <w:rPr>
                <w:rFonts w:eastAsia="Calibri" w:cs="Arial"/>
                <w:sz w:val="20"/>
                <w:szCs w:val="20"/>
              </w:rPr>
              <w:t>31</w:t>
            </w:r>
          </w:p>
        </w:tc>
        <w:tc>
          <w:tcPr>
            <w:tcW w:w="472" w:type="dxa"/>
            <w:gridSpan w:val="2"/>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eastAsia="Calibri" w:cs="Arial"/>
                <w:sz w:val="20"/>
                <w:szCs w:val="20"/>
              </w:rPr>
            </w:pPr>
          </w:p>
        </w:tc>
        <w:tc>
          <w:tcPr>
            <w:tcW w:w="4667" w:type="dxa"/>
            <w:vMerge/>
            <w:tcBorders>
              <w:top w:val="double" w:sz="4" w:space="0" w:color="auto"/>
              <w:left w:val="double" w:sz="4" w:space="0" w:color="auto"/>
              <w:bottom w:val="double" w:sz="4" w:space="0" w:color="auto"/>
              <w:right w:val="double" w:sz="4" w:space="0" w:color="auto"/>
            </w:tcBorders>
            <w:shd w:val="clear" w:color="auto" w:fill="auto"/>
          </w:tcPr>
          <w:p>
            <w:pPr>
              <w:spacing w:after="0" w:line="240" w:lineRule="auto"/>
              <w:jc w:val="center"/>
              <w:rPr>
                <w:rFonts w:eastAsia="Calibri" w:cs="Arial"/>
                <w:sz w:val="20"/>
                <w:szCs w:val="20"/>
              </w:rPr>
            </w:pPr>
          </w:p>
        </w:tc>
      </w:tr>
    </w:tbl>
    <w:p>
      <w:pPr>
        <w:spacing w:after="160" w:line="240" w:lineRule="auto"/>
        <w:jc w:val="both"/>
        <w:rPr>
          <w:rFonts w:ascii="Arial" w:eastAsia="Times New Roman" w:hAnsi="Arial" w:cs="Arial"/>
          <w:sz w:val="20"/>
          <w:szCs w:val="20"/>
        </w:rPr>
      </w:pPr>
    </w:p>
    <w:p>
      <w:pPr>
        <w:spacing w:after="160" w:line="240" w:lineRule="auto"/>
        <w:jc w:val="both"/>
        <w:rPr>
          <w:rFonts w:ascii="Arial" w:eastAsia="Times New Roman" w:hAnsi="Arial" w:cs="Arial"/>
          <w:sz w:val="20"/>
          <w:szCs w:val="20"/>
        </w:rPr>
      </w:pPr>
    </w:p>
    <w:p>
      <w:pPr>
        <w:spacing w:after="160" w:line="240" w:lineRule="auto"/>
        <w:jc w:val="both"/>
        <w:rPr>
          <w:rFonts w:ascii="Arial" w:eastAsia="Times New Roman" w:hAnsi="Arial" w:cs="Arial"/>
          <w:sz w:val="20"/>
          <w:szCs w:val="20"/>
        </w:rPr>
      </w:pPr>
      <w:r>
        <w:rPr>
          <w:rFonts w:eastAsia="Times New Roman"/>
          <w:noProof/>
          <w:sz w:val="21"/>
          <w:szCs w:val="21"/>
          <w:lang w:eastAsia="es-ES"/>
        </w:rPr>
        <w:lastRenderedPageBreak/>
        <w:drawing>
          <wp:anchor distT="0" distB="0" distL="114300" distR="114300" simplePos="0" relativeHeight="251678720" behindDoc="0" locked="0" layoutInCell="1" allowOverlap="1">
            <wp:simplePos x="0" y="0"/>
            <wp:positionH relativeFrom="column">
              <wp:posOffset>-264160</wp:posOffset>
            </wp:positionH>
            <wp:positionV relativeFrom="paragraph">
              <wp:posOffset>165735</wp:posOffset>
            </wp:positionV>
            <wp:extent cx="5949315" cy="4517390"/>
            <wp:effectExtent l="0" t="0" r="0" b="0"/>
            <wp:wrapSquare wrapText="bothSides"/>
            <wp:docPr id="16"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rcRect l="23254" t="16808" r="4813" b="5509"/>
                    <a:stretch>
                      <a:fillRect/>
                    </a:stretch>
                  </pic:blipFill>
                  <pic:spPr>
                    <a:xfrm>
                      <a:off x="0" y="0"/>
                      <a:ext cx="5949315" cy="4517390"/>
                    </a:xfrm>
                    <a:prstGeom prst="rect">
                      <a:avLst/>
                    </a:prstGeom>
                    <a:noFill/>
                    <a:ln>
                      <a:noFill/>
                      <a:prstDash/>
                    </a:ln>
                  </pic:spPr>
                </pic:pic>
              </a:graphicData>
            </a:graphic>
            <wp14:sizeRelV relativeFrom="margin">
              <wp14:pctHeight>0</wp14:pctHeight>
            </wp14:sizeRelV>
          </wp:anchor>
        </w:drawing>
      </w:r>
    </w:p>
    <w:p>
      <w:pPr>
        <w:keepNext/>
        <w:keepLines/>
        <w:shd w:val="clear" w:color="auto" w:fill="D9D9D9"/>
        <w:spacing w:before="160" w:after="40" w:line="360" w:lineRule="auto"/>
        <w:jc w:val="both"/>
        <w:outlineLvl w:val="1"/>
        <w:rPr>
          <w:rFonts w:ascii="Arial" w:eastAsia="Times New Roman" w:hAnsi="Arial" w:cs="Arial"/>
          <w:b/>
        </w:rPr>
      </w:pPr>
      <w:r>
        <w:rPr>
          <w:rFonts w:ascii="Arial" w:eastAsia="Times New Roman" w:hAnsi="Arial" w:cs="Arial"/>
          <w:b/>
        </w:rPr>
        <w:t>ACCIÓN FORMATIVA. MÓDULO MF1052_2.  SERVICIO EN RESTAURANTE</w:t>
      </w:r>
    </w:p>
    <w:p>
      <w:pPr>
        <w:spacing w:before="240" w:after="160" w:line="360" w:lineRule="auto"/>
        <w:jc w:val="both"/>
        <w:rPr>
          <w:rFonts w:ascii="Tahoma" w:eastAsia="Times New Roman" w:hAnsi="Tahoma" w:cs="Tahoma"/>
          <w:sz w:val="24"/>
          <w:szCs w:val="24"/>
        </w:rPr>
      </w:pPr>
      <w:r>
        <w:rPr>
          <w:rFonts w:ascii="Arial" w:eastAsia="Times New Roman" w:hAnsi="Arial" w:cs="Arial"/>
          <w:sz w:val="24"/>
          <w:szCs w:val="24"/>
        </w:rPr>
        <w:t>De forma complementaria, se incorpora el módulo de Servicio en Restaurante, de nivel 2 con una duración total de 130 horas, orientado a la adquisición de competencias específicas en la atención al cliente y en la prestación de servicios de restauración. Este módulo contribuye a la especialización profesional de las mujeres, incrementando el valor formativo obtenido y facilitando su inserción laboral en puestos del sector, donde podrán desempeñarse con la máxima eficiencia y calidad.</w:t>
      </w:r>
      <w:r>
        <w:rPr>
          <w:rFonts w:ascii="Tahoma" w:eastAsia="Times New Roman" w:hAnsi="Tahoma" w:cs="Tahoma"/>
          <w:sz w:val="24"/>
          <w:szCs w:val="24"/>
        </w:rPr>
        <w:t xml:space="preserve"> ﻿ El contenido de esta acción es el siguiente:</w:t>
      </w:r>
    </w:p>
    <w:p>
      <w:pPr>
        <w:numPr>
          <w:ilvl w:val="0"/>
          <w:numId w:val="131"/>
        </w:numPr>
        <w:spacing w:before="240" w:after="160" w:line="360" w:lineRule="auto"/>
        <w:contextualSpacing/>
        <w:jc w:val="both"/>
        <w:rPr>
          <w:rFonts w:ascii="Arial" w:eastAsia="Times New Roman" w:hAnsi="Arial" w:cs="Arial"/>
          <w:sz w:val="24"/>
          <w:szCs w:val="24"/>
        </w:rPr>
      </w:pPr>
      <w:r>
        <w:rPr>
          <w:rFonts w:ascii="Arial" w:eastAsia="Times New Roman" w:hAnsi="Arial" w:cs="Arial"/>
          <w:sz w:val="24"/>
          <w:szCs w:val="24"/>
        </w:rPr>
        <w:t>UF0258: sistemas de aprovisionamiento y mise en place en el restaurante.</w:t>
      </w:r>
    </w:p>
    <w:p>
      <w:pPr>
        <w:numPr>
          <w:ilvl w:val="0"/>
          <w:numId w:val="131"/>
        </w:numPr>
        <w:spacing w:before="240" w:after="160" w:line="360" w:lineRule="auto"/>
        <w:contextualSpacing/>
        <w:jc w:val="both"/>
        <w:rPr>
          <w:rFonts w:ascii="Arial" w:eastAsia="Times New Roman" w:hAnsi="Arial" w:cs="Arial"/>
          <w:sz w:val="24"/>
          <w:szCs w:val="24"/>
        </w:rPr>
      </w:pPr>
      <w:r>
        <w:rPr>
          <w:rFonts w:ascii="Arial" w:eastAsia="Times New Roman" w:hAnsi="Arial" w:cs="Arial"/>
          <w:sz w:val="24"/>
          <w:szCs w:val="24"/>
        </w:rPr>
        <w:t>UF0259: servicio y atención al cliente en Restaurante.</w:t>
      </w:r>
    </w:p>
    <w:p>
      <w:pPr>
        <w:numPr>
          <w:ilvl w:val="0"/>
          <w:numId w:val="131"/>
        </w:numPr>
        <w:spacing w:before="240" w:after="160" w:line="360" w:lineRule="auto"/>
        <w:contextualSpacing/>
        <w:jc w:val="both"/>
        <w:rPr>
          <w:rFonts w:ascii="Arial" w:eastAsia="Times New Roman" w:hAnsi="Arial" w:cs="Arial"/>
          <w:sz w:val="24"/>
          <w:szCs w:val="24"/>
        </w:rPr>
      </w:pPr>
      <w:r>
        <w:rPr>
          <w:rFonts w:ascii="Arial" w:eastAsia="Times New Roman" w:hAnsi="Arial" w:cs="Arial"/>
          <w:sz w:val="24"/>
          <w:szCs w:val="24"/>
        </w:rPr>
        <w:t>UF0260: facturación y cierre de actividad en Restaurante.</w:t>
      </w:r>
    </w:p>
    <w:p>
      <w:pPr>
        <w:keepNext/>
        <w:keepLines/>
        <w:shd w:val="clear" w:color="auto" w:fill="D9D9D9"/>
        <w:spacing w:before="160" w:after="40" w:line="360" w:lineRule="auto"/>
        <w:jc w:val="both"/>
        <w:outlineLvl w:val="1"/>
        <w:rPr>
          <w:rFonts w:ascii="Arial" w:eastAsia="Times New Roman" w:hAnsi="Arial" w:cs="Arial"/>
          <w:b/>
        </w:rPr>
      </w:pPr>
      <w:r>
        <w:rPr>
          <w:rFonts w:ascii="Arial" w:eastAsia="Times New Roman" w:hAnsi="Arial" w:cs="Arial"/>
          <w:b/>
        </w:rPr>
        <w:lastRenderedPageBreak/>
        <w:t>ACCIÓN FORMATIVA MÓDULO MF1051_2.  INGLÉS PROFESIONAL PARA SERVICIOS DE RESTAURACIÓN</w:t>
      </w:r>
    </w:p>
    <w:p>
      <w:pPr>
        <w:spacing w:before="240" w:after="160" w:line="360" w:lineRule="auto"/>
        <w:jc w:val="both"/>
        <w:rPr>
          <w:rFonts w:ascii="Arial" w:eastAsia="Times New Roman" w:hAnsi="Arial" w:cs="Arial"/>
          <w:sz w:val="24"/>
          <w:szCs w:val="24"/>
        </w:rPr>
      </w:pPr>
      <w:r>
        <w:rPr>
          <w:rFonts w:ascii="Arial" w:eastAsia="Times New Roman" w:hAnsi="Arial" w:cs="Arial"/>
          <w:spacing w:val="1"/>
          <w:sz w:val="24"/>
          <w:szCs w:val="24"/>
        </w:rPr>
        <w:t>Se incluye un módulo de nivel 2 orientado al desarrollo de competencias lingüísticas aplicadas al ámbito profesional. Este curso tiene como objetivo fortalecer las habilidades comunicativas orales y escritas, con especial énfasis en la terminología propia del sector de la restauración y los servicios. La formación permite a las participantes interactuar eficazmente, comprendiendo y utilizando estructuras lingüísticas específicas en contextos laborales reales. De este modo, se amplían las posibilidades de inserción laboral en entornos multilingües y turísticos.</w:t>
      </w:r>
    </w:p>
    <w:p>
      <w:pPr>
        <w:shd w:val="clear" w:color="auto" w:fill="DBDBDB"/>
        <w:spacing w:before="240" w:after="160" w:line="360" w:lineRule="auto"/>
        <w:rPr>
          <w:rFonts w:ascii="Arial" w:eastAsia="Times New Roman" w:hAnsi="Arial" w:cs="Arial"/>
          <w:b/>
          <w:sz w:val="24"/>
          <w:szCs w:val="24"/>
        </w:rPr>
      </w:pPr>
      <w:r>
        <w:rPr>
          <w:rFonts w:ascii="Arial" w:eastAsia="Times New Roman" w:hAnsi="Arial" w:cs="Arial"/>
          <w:b/>
          <w:sz w:val="24"/>
          <w:szCs w:val="24"/>
        </w:rPr>
        <w:t xml:space="preserve"> Formación complementaria. Talleres </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De forma complementaria y transversal, se incorporan talleres de formación y orientación grupal, con el objetivo de continuar de forma paralela con la adquisición de conocimientos ampliando de forma progresiva las capacidades y habilidades personales, todo ello enmarcado en un espacio de confianza. Con las acciones propuestas se pretende conseguir los objetivos marcados de una forma progresiva, motivadora e integral, de manera que se mantengan en el tiempo.</w:t>
      </w:r>
    </w:p>
    <w:p>
      <w:pPr>
        <w:spacing w:after="0" w:line="360" w:lineRule="auto"/>
        <w:jc w:val="both"/>
        <w:rPr>
          <w:rFonts w:ascii="Arial" w:eastAsia="Times New Roman" w:hAnsi="Arial" w:cs="Arial"/>
          <w:sz w:val="24"/>
          <w:szCs w:val="24"/>
        </w:rPr>
      </w:pPr>
      <w:r>
        <w:rPr>
          <w:rFonts w:ascii="Arial" w:hAnsi="Arial" w:cs="Arial"/>
          <w:sz w:val="24"/>
          <w:szCs w:val="24"/>
          <w:u w:val="single"/>
        </w:rPr>
        <w:t>Contenido Talleres Orientación</w:t>
      </w:r>
      <w:r>
        <w:rPr>
          <w:rFonts w:ascii="Arial" w:hAnsi="Arial" w:cs="Arial"/>
          <w:sz w:val="24"/>
          <w:szCs w:val="24"/>
        </w:rPr>
        <w:t xml:space="preserve">: </w:t>
      </w:r>
    </w:p>
    <w:tbl>
      <w:tblPr>
        <w:tblStyle w:val="Listaclara-nfasis1112"/>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4840"/>
        <w:gridCol w:w="867"/>
      </w:tblGrid>
      <w:tr>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652" w:type="dxa"/>
            <w:shd w:val="clear" w:color="auto" w:fill="B2A1C7"/>
          </w:tcPr>
          <w:p>
            <w:pPr>
              <w:spacing w:after="0" w:line="240" w:lineRule="auto"/>
              <w:contextualSpacing/>
              <w:rPr>
                <w:rFonts w:ascii="Arial" w:eastAsia="Calibri" w:hAnsi="Arial" w:cs="Arial"/>
                <w:sz w:val="18"/>
                <w:szCs w:val="18"/>
              </w:rPr>
            </w:pPr>
            <w:r>
              <w:rPr>
                <w:rFonts w:ascii="Arial" w:eastAsia="Calibri" w:hAnsi="Arial" w:cs="Arial"/>
                <w:sz w:val="18"/>
                <w:szCs w:val="18"/>
              </w:rPr>
              <w:t>TALLER</w:t>
            </w:r>
          </w:p>
        </w:tc>
        <w:tc>
          <w:tcPr>
            <w:tcW w:w="4840" w:type="dxa"/>
            <w:shd w:val="clear" w:color="auto" w:fill="B2A1C7"/>
          </w:tcPr>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CONTENIDOS</w:t>
            </w:r>
          </w:p>
        </w:tc>
        <w:tc>
          <w:tcPr>
            <w:tcW w:w="867" w:type="dxa"/>
            <w:shd w:val="clear" w:color="auto" w:fill="B2A1C7"/>
          </w:tcPr>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HORAS</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652" w:type="dxa"/>
            <w:shd w:val="clear" w:color="auto" w:fill="F2F2F2"/>
          </w:tcPr>
          <w:p>
            <w:pPr>
              <w:spacing w:after="0" w:line="240" w:lineRule="auto"/>
              <w:contextualSpacing/>
              <w:rPr>
                <w:rFonts w:ascii="Arial" w:eastAsia="Calibri" w:hAnsi="Arial" w:cs="Arial"/>
                <w:sz w:val="18"/>
                <w:szCs w:val="18"/>
              </w:rPr>
            </w:pPr>
            <w:r>
              <w:rPr>
                <w:rFonts w:ascii="Arial" w:eastAsia="Calibri" w:hAnsi="Arial" w:cs="Arial"/>
                <w:sz w:val="18"/>
                <w:szCs w:val="18"/>
              </w:rPr>
              <w:t xml:space="preserve"> Taller 12K. Entrevista de selección.</w:t>
            </w:r>
          </w:p>
        </w:tc>
        <w:tc>
          <w:tcPr>
            <w:tcW w:w="4840" w:type="dxa"/>
          </w:tcPr>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Objetivos de la entrevista.</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Consideraciones antes de una entrevista. Preparación.</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Que se debe tener en cuenta durante una entrevista de selección.</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000000"/>
                <w:sz w:val="18"/>
                <w:szCs w:val="18"/>
              </w:rPr>
              <w:t>Aspectos a tener en cuenta después de la entrevista.</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FF0000"/>
                <w:sz w:val="18"/>
                <w:szCs w:val="18"/>
              </w:rPr>
            </w:pPr>
            <w:r>
              <w:rPr>
                <w:rFonts w:ascii="Arial" w:hAnsi="Arial" w:cs="Arial"/>
                <w:color w:val="000000"/>
                <w:sz w:val="18"/>
                <w:szCs w:val="18"/>
              </w:rPr>
              <w:t>Simulacro de entrevista.</w:t>
            </w:r>
          </w:p>
        </w:tc>
        <w:tc>
          <w:tcPr>
            <w:tcW w:w="867" w:type="dxa"/>
            <w:shd w:val="clear" w:color="auto" w:fill="F2F2F2"/>
          </w:tcPr>
          <w:p>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highlight w:val="lightGray"/>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5h</w:t>
            </w: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highlight w:val="lightGray"/>
              </w:rPr>
            </w:pPr>
          </w:p>
        </w:tc>
      </w:tr>
    </w:tbl>
    <w:p>
      <w:pPr>
        <w:spacing w:after="160" w:line="240" w:lineRule="auto"/>
        <w:rPr>
          <w:rFonts w:eastAsia="Times New Roman"/>
          <w:sz w:val="21"/>
          <w:szCs w:val="21"/>
        </w:rPr>
      </w:pPr>
      <w:bookmarkStart w:id="11" w:name="_Toc155256196"/>
    </w:p>
    <w:tbl>
      <w:tblPr>
        <w:tblStyle w:val="Listaclara-nfasis1112"/>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4840"/>
        <w:gridCol w:w="867"/>
      </w:tblGrid>
      <w:tr>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652" w:type="dxa"/>
            <w:shd w:val="clear" w:color="auto" w:fill="B2A1C7"/>
          </w:tcPr>
          <w:p>
            <w:pPr>
              <w:spacing w:after="0" w:line="240" w:lineRule="auto"/>
              <w:contextualSpacing/>
              <w:rPr>
                <w:rFonts w:ascii="Arial" w:eastAsia="Calibri" w:hAnsi="Arial" w:cs="Arial"/>
                <w:sz w:val="18"/>
                <w:szCs w:val="18"/>
              </w:rPr>
            </w:pPr>
            <w:r>
              <w:rPr>
                <w:rFonts w:ascii="Arial" w:eastAsia="Calibri" w:hAnsi="Arial" w:cs="Arial"/>
                <w:sz w:val="18"/>
                <w:szCs w:val="18"/>
              </w:rPr>
              <w:t>TALLER</w:t>
            </w:r>
          </w:p>
        </w:tc>
        <w:tc>
          <w:tcPr>
            <w:tcW w:w="4840" w:type="dxa"/>
            <w:shd w:val="clear" w:color="auto" w:fill="B2A1C7"/>
          </w:tcPr>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CONTENIDOS</w:t>
            </w:r>
          </w:p>
        </w:tc>
        <w:tc>
          <w:tcPr>
            <w:tcW w:w="867" w:type="dxa"/>
            <w:shd w:val="clear" w:color="auto" w:fill="B2A1C7"/>
          </w:tcPr>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HORAS</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652" w:type="dxa"/>
            <w:shd w:val="clear" w:color="auto" w:fill="F2F2F2"/>
          </w:tcPr>
          <w:p>
            <w:pPr>
              <w:spacing w:after="0" w:line="240" w:lineRule="auto"/>
              <w:contextualSpacing/>
              <w:rPr>
                <w:rFonts w:ascii="Arial" w:eastAsia="Calibri" w:hAnsi="Arial" w:cs="Arial"/>
                <w:sz w:val="18"/>
                <w:szCs w:val="18"/>
              </w:rPr>
            </w:pPr>
            <w:r>
              <w:rPr>
                <w:rFonts w:ascii="Arial" w:eastAsia="Calibri" w:hAnsi="Arial" w:cs="Arial"/>
                <w:sz w:val="18"/>
                <w:szCs w:val="18"/>
              </w:rPr>
              <w:t>Taller Conociendo a la Princess Hotels &amp;Resorts.</w:t>
            </w:r>
          </w:p>
          <w:p>
            <w:pPr>
              <w:spacing w:after="0" w:line="240" w:lineRule="auto"/>
              <w:contextualSpacing/>
              <w:rPr>
                <w:rFonts w:ascii="Arial" w:eastAsia="Calibri" w:hAnsi="Arial" w:cs="Arial"/>
                <w:sz w:val="18"/>
                <w:szCs w:val="18"/>
              </w:rPr>
            </w:pPr>
          </w:p>
        </w:tc>
        <w:tc>
          <w:tcPr>
            <w:tcW w:w="4840" w:type="dxa"/>
          </w:tcPr>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Datos.</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Responsabilidad Social Corporativa Princess Hotels &amp; Resorts</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Canal ético empleados.</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Tu futuro en Princess.</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Misión.</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Valores: compromiso, honestidad, eficacia y eficiencia.</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Perfiles profesionales:</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Ayudante de camarera.</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Camarera.</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lastRenderedPageBreak/>
              <w:t>Ayudante de cocina.</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Certificado de Igualdad y Puntos Violetas.</w:t>
            </w:r>
          </w:p>
        </w:tc>
        <w:tc>
          <w:tcPr>
            <w:tcW w:w="867" w:type="dxa"/>
            <w:shd w:val="clear" w:color="auto" w:fill="F2F2F2"/>
          </w:tcPr>
          <w:p>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highlight w:val="lightGray"/>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2h</w:t>
            </w: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highlight w:val="lightGray"/>
              </w:rPr>
            </w:pPr>
          </w:p>
        </w:tc>
      </w:tr>
    </w:tbl>
    <w:p>
      <w:pPr>
        <w:spacing w:after="0" w:line="240" w:lineRule="auto"/>
        <w:rPr>
          <w:rFonts w:eastAsia="Times New Roman"/>
          <w:sz w:val="21"/>
          <w:szCs w:val="21"/>
        </w:rPr>
      </w:pPr>
    </w:p>
    <w:tbl>
      <w:tblPr>
        <w:tblStyle w:val="Listaclara-nfasis1112"/>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4840"/>
        <w:gridCol w:w="867"/>
      </w:tblGrid>
      <w:tr>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652" w:type="dxa"/>
            <w:shd w:val="clear" w:color="auto" w:fill="B2A1C7"/>
          </w:tcPr>
          <w:p>
            <w:pPr>
              <w:spacing w:after="0" w:line="240" w:lineRule="auto"/>
              <w:contextualSpacing/>
              <w:rPr>
                <w:rFonts w:ascii="Arial" w:eastAsia="Calibri" w:hAnsi="Arial" w:cs="Arial"/>
                <w:sz w:val="18"/>
                <w:szCs w:val="18"/>
              </w:rPr>
            </w:pPr>
            <w:r>
              <w:rPr>
                <w:rFonts w:ascii="Arial" w:eastAsia="Calibri" w:hAnsi="Arial" w:cs="Arial"/>
                <w:sz w:val="18"/>
                <w:szCs w:val="18"/>
              </w:rPr>
              <w:t>TALLER</w:t>
            </w:r>
          </w:p>
        </w:tc>
        <w:tc>
          <w:tcPr>
            <w:tcW w:w="4840" w:type="dxa"/>
            <w:shd w:val="clear" w:color="auto" w:fill="B2A1C7"/>
          </w:tcPr>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CONTENIDOS</w:t>
            </w:r>
          </w:p>
        </w:tc>
        <w:tc>
          <w:tcPr>
            <w:tcW w:w="867" w:type="dxa"/>
            <w:shd w:val="clear" w:color="auto" w:fill="B2A1C7"/>
          </w:tcPr>
          <w:p>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Pr>
                <w:rFonts w:ascii="Arial" w:eastAsia="Calibri" w:hAnsi="Arial" w:cs="Arial"/>
                <w:sz w:val="18"/>
                <w:szCs w:val="18"/>
              </w:rPr>
              <w:t>HORAS</w:t>
            </w:r>
          </w:p>
        </w:tc>
      </w:tr>
      <w:tr>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652" w:type="dxa"/>
            <w:shd w:val="clear" w:color="auto" w:fill="F2F2F2"/>
          </w:tcPr>
          <w:p>
            <w:pPr>
              <w:spacing w:after="0" w:line="240" w:lineRule="auto"/>
              <w:contextualSpacing/>
              <w:rPr>
                <w:rFonts w:ascii="Arial" w:eastAsia="Calibri" w:hAnsi="Arial" w:cs="Arial"/>
                <w:sz w:val="18"/>
                <w:szCs w:val="18"/>
              </w:rPr>
            </w:pPr>
            <w:r>
              <w:rPr>
                <w:rFonts w:ascii="Arial" w:eastAsia="Calibri" w:hAnsi="Arial" w:cs="Arial"/>
                <w:sz w:val="18"/>
                <w:szCs w:val="18"/>
              </w:rPr>
              <w:t>Motivación ante el empleo y currículum oculto de empleo.</w:t>
            </w:r>
          </w:p>
          <w:p>
            <w:pPr>
              <w:spacing w:after="0" w:line="240" w:lineRule="auto"/>
              <w:contextualSpacing/>
              <w:rPr>
                <w:rFonts w:ascii="Arial" w:eastAsia="Calibri" w:hAnsi="Arial" w:cs="Arial"/>
                <w:sz w:val="18"/>
                <w:szCs w:val="18"/>
              </w:rPr>
            </w:pPr>
          </w:p>
        </w:tc>
        <w:tc>
          <w:tcPr>
            <w:tcW w:w="4840" w:type="dxa"/>
          </w:tcPr>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Técnicas para mantener la motivación.</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Pirámide de Maslow.</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Motivación como cohesión grupal.</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Currículum oculto de género.</w:t>
            </w:r>
          </w:p>
          <w:p>
            <w:pPr>
              <w:numPr>
                <w:ilvl w:val="0"/>
                <w:numId w:val="13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Influencias.</w:t>
            </w:r>
          </w:p>
        </w:tc>
        <w:tc>
          <w:tcPr>
            <w:tcW w:w="867" w:type="dxa"/>
            <w:shd w:val="clear" w:color="auto" w:fill="F2F2F2"/>
          </w:tcPr>
          <w:p>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highlight w:val="lightGray"/>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p>
          <w:p>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highlight w:val="lightGray"/>
              </w:rPr>
            </w:pPr>
            <w:r>
              <w:rPr>
                <w:rFonts w:ascii="Arial" w:eastAsia="Calibri" w:hAnsi="Arial" w:cs="Arial"/>
                <w:sz w:val="18"/>
                <w:szCs w:val="18"/>
              </w:rPr>
              <w:t>2h</w:t>
            </w:r>
          </w:p>
        </w:tc>
      </w:tr>
    </w:tbl>
    <w:p>
      <w:pPr>
        <w:spacing w:after="160" w:line="240" w:lineRule="auto"/>
        <w:rPr>
          <w:rFonts w:eastAsia="Times New Roman"/>
          <w:sz w:val="21"/>
          <w:szCs w:val="21"/>
        </w:rPr>
      </w:pPr>
    </w:p>
    <w:p>
      <w:pPr>
        <w:keepNext/>
        <w:keepLines/>
        <w:spacing w:before="160" w:after="40" w:line="240" w:lineRule="auto"/>
        <w:outlineLvl w:val="1"/>
        <w:rPr>
          <w:rFonts w:ascii="Arial" w:eastAsia="Times New Roman" w:hAnsi="Arial" w:cs="Arial"/>
          <w:sz w:val="24"/>
          <w:szCs w:val="24"/>
        </w:rPr>
      </w:pPr>
      <w:r>
        <w:rPr>
          <w:rFonts w:ascii="Arial" w:eastAsia="Times New Roman" w:hAnsi="Arial" w:cs="Arial"/>
          <w:sz w:val="24"/>
          <w:szCs w:val="24"/>
          <w:u w:val="single"/>
        </w:rPr>
        <w:t>Temporalización talleres de orientación</w:t>
      </w:r>
      <w:bookmarkEnd w:id="11"/>
      <w:r>
        <w:rPr>
          <w:rFonts w:ascii="Arial" w:eastAsia="Times New Roman" w:hAnsi="Arial" w:cs="Arial"/>
          <w:sz w:val="24"/>
          <w:szCs w:val="24"/>
        </w:rPr>
        <w:t>:</w:t>
      </w:r>
    </w:p>
    <w:p>
      <w:pPr>
        <w:spacing w:after="0" w:line="240" w:lineRule="auto"/>
        <w:rPr>
          <w:rFonts w:eastAsia="Times New Roman"/>
          <w:sz w:val="21"/>
          <w:szCs w:val="21"/>
        </w:rPr>
      </w:pPr>
    </w:p>
    <w:tbl>
      <w:tblPr>
        <w:tblStyle w:val="Tablaconcuadrcula39"/>
        <w:tblW w:w="837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1"/>
        <w:gridCol w:w="594"/>
        <w:gridCol w:w="594"/>
        <w:gridCol w:w="461"/>
        <w:gridCol w:w="461"/>
        <w:gridCol w:w="461"/>
        <w:gridCol w:w="440"/>
        <w:gridCol w:w="4906"/>
      </w:tblGrid>
      <w:tr>
        <w:trPr>
          <w:trHeight w:val="230"/>
        </w:trPr>
        <w:tc>
          <w:tcPr>
            <w:tcW w:w="3472" w:type="dxa"/>
            <w:gridSpan w:val="7"/>
            <w:tcBorders>
              <w:top w:val="double" w:sz="4" w:space="0" w:color="auto"/>
              <w:left w:val="double" w:sz="4" w:space="0" w:color="auto"/>
              <w:bottom w:val="double" w:sz="4" w:space="0" w:color="auto"/>
              <w:right w:val="single" w:sz="4" w:space="0" w:color="auto"/>
            </w:tcBorders>
            <w:shd w:val="clear" w:color="auto" w:fill="B4C6E7"/>
            <w:hideMark/>
          </w:tcPr>
          <w:p>
            <w:pPr>
              <w:spacing w:after="0" w:line="240" w:lineRule="auto"/>
              <w:jc w:val="center"/>
              <w:rPr>
                <w:rFonts w:ascii="Times New Roman" w:hAnsi="Times New Roman"/>
                <w:sz w:val="20"/>
                <w:szCs w:val="20"/>
              </w:rPr>
            </w:pPr>
            <w:r>
              <w:rPr>
                <w:rFonts w:ascii="Times New Roman" w:hAnsi="Times New Roman"/>
                <w:sz w:val="20"/>
                <w:szCs w:val="20"/>
              </w:rPr>
              <w:t>MARZO 2025</w:t>
            </w:r>
          </w:p>
        </w:tc>
        <w:tc>
          <w:tcPr>
            <w:tcW w:w="4906" w:type="dxa"/>
            <w:vMerge w:val="restart"/>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Times New Roman" w:hAnsi="Times New Roman"/>
                <w:b/>
                <w:sz w:val="21"/>
                <w:szCs w:val="21"/>
              </w:rPr>
            </w:pPr>
          </w:p>
          <w:p>
            <w:pPr>
              <w:spacing w:after="0" w:line="240" w:lineRule="auto"/>
              <w:rPr>
                <w:rFonts w:ascii="Times New Roman" w:hAnsi="Times New Roman"/>
                <w:b/>
                <w:sz w:val="21"/>
                <w:szCs w:val="21"/>
              </w:rPr>
            </w:pPr>
          </w:p>
          <w:p>
            <w:pPr>
              <w:spacing w:after="0" w:line="240" w:lineRule="auto"/>
              <w:rPr>
                <w:rFonts w:ascii="Times New Roman" w:hAnsi="Times New Roman"/>
                <w:b/>
                <w:sz w:val="21"/>
                <w:szCs w:val="21"/>
              </w:rPr>
            </w:pPr>
          </w:p>
          <w:p>
            <w:pPr>
              <w:spacing w:after="0" w:line="240" w:lineRule="auto"/>
              <w:rPr>
                <w:rFonts w:ascii="Times New Roman" w:hAnsi="Times New Roman"/>
                <w:sz w:val="20"/>
                <w:szCs w:val="20"/>
              </w:rPr>
            </w:pPr>
            <w:r>
              <w:rPr>
                <w:rFonts w:ascii="Times New Roman" w:hAnsi="Times New Roman"/>
                <w:b/>
                <w:sz w:val="20"/>
                <w:szCs w:val="20"/>
              </w:rPr>
              <w:t xml:space="preserve">  </w:t>
            </w:r>
            <w:r>
              <w:rPr>
                <w:rFonts w:ascii="Arial" w:eastAsia="Calibri" w:hAnsi="Arial" w:cs="Arial"/>
                <w:sz w:val="20"/>
                <w:szCs w:val="20"/>
              </w:rPr>
              <w:t>Taller Conociendo a la Princess Hotels &amp;Resorts.</w:t>
            </w: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 xml:space="preserve"> L</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M</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M</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J</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V</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S</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D</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594" w:type="dxa"/>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ascii="Times New Roman" w:hAnsi="Times New Roman"/>
                <w:sz w:val="20"/>
                <w:szCs w:val="20"/>
              </w:rPr>
            </w:pPr>
          </w:p>
        </w:tc>
        <w:tc>
          <w:tcPr>
            <w:tcW w:w="594"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p>
        </w:tc>
        <w:tc>
          <w:tcPr>
            <w:tcW w:w="461"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48"/>
        </w:trPr>
        <w:tc>
          <w:tcPr>
            <w:tcW w:w="461"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3</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4</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5</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6</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7</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8</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9</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10</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11</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12</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13</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14</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15</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16</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17</w:t>
            </w:r>
          </w:p>
        </w:tc>
        <w:tc>
          <w:tcPr>
            <w:tcW w:w="594" w:type="dxa"/>
            <w:tcBorders>
              <w:top w:val="double" w:sz="4" w:space="0" w:color="auto"/>
              <w:left w:val="double" w:sz="4" w:space="0" w:color="auto"/>
              <w:bottom w:val="double" w:sz="4" w:space="0" w:color="auto"/>
              <w:right w:val="double" w:sz="4" w:space="0" w:color="auto"/>
            </w:tcBorders>
            <w:shd w:val="clear" w:color="auto" w:fill="D9E2F3"/>
            <w:hideMark/>
          </w:tcPr>
          <w:p>
            <w:pPr>
              <w:spacing w:after="0" w:line="240" w:lineRule="auto"/>
              <w:jc w:val="center"/>
              <w:rPr>
                <w:rFonts w:ascii="Times New Roman" w:hAnsi="Times New Roman"/>
                <w:sz w:val="20"/>
                <w:szCs w:val="20"/>
              </w:rPr>
            </w:pPr>
            <w:r>
              <w:rPr>
                <w:rFonts w:ascii="Times New Roman" w:hAnsi="Times New Roman"/>
                <w:sz w:val="20"/>
                <w:szCs w:val="20"/>
              </w:rPr>
              <w:t>18</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19</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20</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21</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22</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23</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24</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25</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26</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27</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28</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29</w:t>
            </w:r>
          </w:p>
        </w:tc>
        <w:tc>
          <w:tcPr>
            <w:tcW w:w="440" w:type="dxa"/>
            <w:tcBorders>
              <w:top w:val="double" w:sz="4" w:space="0" w:color="auto"/>
              <w:left w:val="double" w:sz="4" w:space="0" w:color="auto"/>
              <w:bottom w:val="double" w:sz="4" w:space="0" w:color="auto"/>
              <w:right w:val="single" w:sz="4" w:space="0" w:color="auto"/>
            </w:tcBorders>
          </w:tcPr>
          <w:p>
            <w:pPr>
              <w:spacing w:after="0" w:line="240" w:lineRule="auto"/>
              <w:jc w:val="center"/>
              <w:rPr>
                <w:rFonts w:ascii="Times New Roman" w:hAnsi="Times New Roman"/>
                <w:sz w:val="20"/>
                <w:szCs w:val="20"/>
              </w:rPr>
            </w:pPr>
            <w:r>
              <w:rPr>
                <w:rFonts w:ascii="Times New Roman" w:hAnsi="Times New Roman"/>
                <w:sz w:val="20"/>
                <w:szCs w:val="20"/>
              </w:rPr>
              <w:t>30</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3472" w:type="dxa"/>
            <w:gridSpan w:val="7"/>
            <w:tcBorders>
              <w:top w:val="double" w:sz="4" w:space="0" w:color="auto"/>
              <w:left w:val="double" w:sz="4" w:space="0" w:color="auto"/>
              <w:bottom w:val="double" w:sz="4" w:space="0" w:color="auto"/>
              <w:right w:val="single" w:sz="4" w:space="0" w:color="auto"/>
            </w:tcBorders>
            <w:shd w:val="clear" w:color="auto" w:fill="B4C6E7"/>
            <w:hideMark/>
          </w:tcPr>
          <w:p>
            <w:pPr>
              <w:spacing w:after="0" w:line="240" w:lineRule="auto"/>
              <w:jc w:val="center"/>
              <w:rPr>
                <w:rFonts w:ascii="Times New Roman" w:hAnsi="Times New Roman"/>
                <w:sz w:val="20"/>
                <w:szCs w:val="20"/>
              </w:rPr>
            </w:pPr>
            <w:r>
              <w:rPr>
                <w:rFonts w:ascii="Times New Roman" w:hAnsi="Times New Roman"/>
                <w:sz w:val="20"/>
                <w:szCs w:val="20"/>
              </w:rPr>
              <w:t>ABRIL  2025</w:t>
            </w:r>
          </w:p>
        </w:tc>
        <w:tc>
          <w:tcPr>
            <w:tcW w:w="4906" w:type="dxa"/>
            <w:vMerge w:val="restart"/>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Times New Roman" w:hAnsi="Times New Roman"/>
                <w:b/>
                <w:sz w:val="21"/>
                <w:szCs w:val="21"/>
              </w:rPr>
            </w:pPr>
          </w:p>
          <w:p>
            <w:pPr>
              <w:spacing w:after="0" w:line="240" w:lineRule="auto"/>
              <w:rPr>
                <w:rFonts w:ascii="Times New Roman" w:hAnsi="Times New Roman"/>
                <w:b/>
                <w:sz w:val="21"/>
                <w:szCs w:val="21"/>
              </w:rPr>
            </w:pPr>
          </w:p>
          <w:p>
            <w:pPr>
              <w:spacing w:after="0" w:line="240" w:lineRule="auto"/>
              <w:rPr>
                <w:rFonts w:ascii="Times New Roman" w:hAnsi="Times New Roman"/>
                <w:b/>
                <w:sz w:val="21"/>
                <w:szCs w:val="21"/>
              </w:rPr>
            </w:pPr>
          </w:p>
          <w:p>
            <w:pPr>
              <w:spacing w:after="0" w:line="240" w:lineRule="auto"/>
              <w:contextualSpacing/>
              <w:rPr>
                <w:rFonts w:ascii="Arial" w:eastAsia="Calibri" w:hAnsi="Arial" w:cs="Arial"/>
                <w:sz w:val="18"/>
                <w:szCs w:val="18"/>
              </w:rPr>
            </w:pPr>
            <w:r>
              <w:rPr>
                <w:rFonts w:ascii="Arial" w:hAnsi="Arial" w:cs="Arial"/>
                <w:sz w:val="20"/>
                <w:szCs w:val="20"/>
              </w:rPr>
              <w:t xml:space="preserve">     Motivación ante el empleo y currículum oculto.</w:t>
            </w:r>
          </w:p>
          <w:p>
            <w:pPr>
              <w:spacing w:after="0" w:line="240" w:lineRule="auto"/>
              <w:rPr>
                <w:rFonts w:ascii="Arial" w:hAnsi="Arial" w:cs="Arial"/>
                <w:sz w:val="20"/>
                <w:szCs w:val="20"/>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 xml:space="preserve"> L</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M</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M</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J</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V</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S</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D</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594" w:type="dxa"/>
            <w:tcBorders>
              <w:top w:val="double" w:sz="4" w:space="0" w:color="auto"/>
              <w:left w:val="double" w:sz="4" w:space="0" w:color="auto"/>
              <w:bottom w:val="double" w:sz="4" w:space="0" w:color="auto"/>
              <w:right w:val="double" w:sz="4" w:space="0" w:color="auto"/>
            </w:tcBorders>
            <w:shd w:val="clear" w:color="auto" w:fill="D9E2F3"/>
          </w:tcPr>
          <w:p>
            <w:pPr>
              <w:spacing w:after="0" w:line="240" w:lineRule="auto"/>
              <w:jc w:val="center"/>
              <w:rPr>
                <w:rFonts w:ascii="Times New Roman" w:hAnsi="Times New Roman"/>
                <w:sz w:val="20"/>
                <w:szCs w:val="20"/>
              </w:rPr>
            </w:pPr>
            <w:r>
              <w:rPr>
                <w:rFonts w:ascii="Times New Roman" w:hAnsi="Times New Roman"/>
                <w:sz w:val="20"/>
                <w:szCs w:val="20"/>
              </w:rPr>
              <w:t>1</w:t>
            </w:r>
          </w:p>
        </w:tc>
        <w:tc>
          <w:tcPr>
            <w:tcW w:w="594"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r>
              <w:rPr>
                <w:rFonts w:ascii="Times New Roman" w:hAnsi="Times New Roman"/>
                <w:sz w:val="20"/>
                <w:szCs w:val="20"/>
              </w:rPr>
              <w:t>2</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3</w:t>
            </w:r>
          </w:p>
        </w:tc>
        <w:tc>
          <w:tcPr>
            <w:tcW w:w="461"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rPr>
                <w:rFonts w:ascii="Times New Roman" w:hAnsi="Times New Roman"/>
                <w:sz w:val="20"/>
                <w:szCs w:val="20"/>
              </w:rPr>
            </w:pPr>
            <w:r>
              <w:rPr>
                <w:rFonts w:ascii="Times New Roman" w:hAnsi="Times New Roman"/>
                <w:sz w:val="20"/>
                <w:szCs w:val="20"/>
              </w:rPr>
              <w:t>4</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5</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6</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48"/>
        </w:trPr>
        <w:tc>
          <w:tcPr>
            <w:tcW w:w="461"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7</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8</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9</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10</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11</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12</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13</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14</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15</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16</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17</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18</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19</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20</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21</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22</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23</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24</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25</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26</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27</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28</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29</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30</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31</w:t>
            </w:r>
          </w:p>
        </w:tc>
        <w:tc>
          <w:tcPr>
            <w:tcW w:w="461"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461"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440" w:type="dxa"/>
            <w:tcBorders>
              <w:top w:val="double" w:sz="4" w:space="0" w:color="auto"/>
              <w:left w:val="double" w:sz="4" w:space="0" w:color="auto"/>
              <w:bottom w:val="double" w:sz="4" w:space="0" w:color="auto"/>
              <w:right w:val="single" w:sz="4" w:space="0" w:color="auto"/>
            </w:tcBorders>
          </w:tcPr>
          <w:p>
            <w:pPr>
              <w:spacing w:after="0" w:line="240" w:lineRule="auto"/>
              <w:jc w:val="center"/>
              <w:rPr>
                <w:rFonts w:ascii="Times New Roman" w:hAnsi="Times New Roman"/>
                <w:sz w:val="20"/>
                <w:szCs w:val="20"/>
              </w:rPr>
            </w:pP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3472" w:type="dxa"/>
            <w:gridSpan w:val="7"/>
            <w:tcBorders>
              <w:top w:val="double" w:sz="4" w:space="0" w:color="auto"/>
              <w:left w:val="double" w:sz="4" w:space="0" w:color="auto"/>
              <w:bottom w:val="double" w:sz="4" w:space="0" w:color="auto"/>
              <w:right w:val="single" w:sz="4" w:space="0" w:color="auto"/>
            </w:tcBorders>
            <w:shd w:val="clear" w:color="auto" w:fill="B4C6E7"/>
            <w:hideMark/>
          </w:tcPr>
          <w:p>
            <w:pPr>
              <w:spacing w:after="0" w:line="240" w:lineRule="auto"/>
              <w:jc w:val="center"/>
              <w:rPr>
                <w:rFonts w:ascii="Times New Roman" w:hAnsi="Times New Roman"/>
                <w:sz w:val="20"/>
                <w:szCs w:val="20"/>
              </w:rPr>
            </w:pPr>
            <w:r>
              <w:rPr>
                <w:rFonts w:ascii="Times New Roman" w:hAnsi="Times New Roman"/>
                <w:sz w:val="20"/>
                <w:szCs w:val="20"/>
              </w:rPr>
              <w:t>AGOSTO  2025</w:t>
            </w:r>
          </w:p>
        </w:tc>
        <w:tc>
          <w:tcPr>
            <w:tcW w:w="4906" w:type="dxa"/>
            <w:vMerge w:val="restart"/>
            <w:tcBorders>
              <w:top w:val="single" w:sz="4" w:space="0" w:color="auto"/>
              <w:left w:val="single" w:sz="4" w:space="0" w:color="auto"/>
              <w:bottom w:val="single" w:sz="4" w:space="0" w:color="auto"/>
              <w:right w:val="single" w:sz="4" w:space="0" w:color="auto"/>
            </w:tcBorders>
            <w:shd w:val="clear" w:color="auto" w:fill="FFFFFF"/>
          </w:tcPr>
          <w:p>
            <w:pPr>
              <w:spacing w:after="0" w:line="240" w:lineRule="auto"/>
              <w:rPr>
                <w:rFonts w:ascii="Times New Roman" w:hAnsi="Times New Roman"/>
                <w:b/>
                <w:sz w:val="21"/>
                <w:szCs w:val="21"/>
              </w:rPr>
            </w:pPr>
          </w:p>
          <w:p>
            <w:pPr>
              <w:spacing w:after="0" w:line="240" w:lineRule="auto"/>
              <w:rPr>
                <w:rFonts w:ascii="Times New Roman" w:hAnsi="Times New Roman"/>
                <w:b/>
                <w:sz w:val="21"/>
                <w:szCs w:val="21"/>
              </w:rPr>
            </w:pPr>
          </w:p>
          <w:p>
            <w:pPr>
              <w:spacing w:after="0" w:line="240" w:lineRule="auto"/>
              <w:rPr>
                <w:rFonts w:ascii="Times New Roman" w:hAnsi="Times New Roman"/>
                <w:b/>
                <w:sz w:val="21"/>
                <w:szCs w:val="21"/>
              </w:rPr>
            </w:pPr>
          </w:p>
          <w:p>
            <w:pPr>
              <w:spacing w:after="0" w:line="240" w:lineRule="auto"/>
              <w:contextualSpacing/>
              <w:rPr>
                <w:rFonts w:ascii="Arial" w:eastAsia="Calibri" w:hAnsi="Arial" w:cs="Arial"/>
                <w:sz w:val="18"/>
                <w:szCs w:val="18"/>
              </w:rPr>
            </w:pPr>
            <w:r>
              <w:rPr>
                <w:rFonts w:ascii="Arial" w:hAnsi="Arial" w:cs="Arial"/>
                <w:sz w:val="20"/>
                <w:szCs w:val="20"/>
              </w:rPr>
              <w:t xml:space="preserve">      Entrevista de selección. </w:t>
            </w:r>
          </w:p>
          <w:p>
            <w:pPr>
              <w:spacing w:after="0" w:line="240" w:lineRule="auto"/>
              <w:rPr>
                <w:rFonts w:ascii="Arial" w:hAnsi="Arial" w:cs="Arial"/>
                <w:sz w:val="20"/>
                <w:szCs w:val="20"/>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 xml:space="preserve"> L</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M</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M</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J</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V</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S</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b/>
                <w:sz w:val="20"/>
                <w:szCs w:val="20"/>
              </w:rPr>
            </w:pPr>
            <w:r>
              <w:rPr>
                <w:rFonts w:ascii="Times New Roman" w:hAnsi="Times New Roman"/>
                <w:b/>
                <w:sz w:val="20"/>
                <w:szCs w:val="20"/>
              </w:rPr>
              <w:t>D</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594" w:type="dxa"/>
            <w:tcBorders>
              <w:top w:val="double" w:sz="4" w:space="0" w:color="auto"/>
              <w:left w:val="double" w:sz="4" w:space="0" w:color="auto"/>
              <w:bottom w:val="double" w:sz="4" w:space="0" w:color="auto"/>
              <w:right w:val="double" w:sz="4" w:space="0" w:color="auto"/>
            </w:tcBorders>
            <w:shd w:val="clear" w:color="auto" w:fill="FFFFFF"/>
          </w:tcPr>
          <w:p>
            <w:pPr>
              <w:spacing w:after="0" w:line="240" w:lineRule="auto"/>
              <w:jc w:val="center"/>
              <w:rPr>
                <w:rFonts w:ascii="Times New Roman" w:hAnsi="Times New Roman"/>
                <w:sz w:val="20"/>
                <w:szCs w:val="20"/>
              </w:rPr>
            </w:pPr>
          </w:p>
        </w:tc>
        <w:tc>
          <w:tcPr>
            <w:tcW w:w="594" w:type="dxa"/>
            <w:tcBorders>
              <w:top w:val="double" w:sz="4" w:space="0" w:color="auto"/>
              <w:left w:val="double" w:sz="4" w:space="0" w:color="auto"/>
              <w:bottom w:val="double" w:sz="4" w:space="0" w:color="auto"/>
              <w:right w:val="double" w:sz="4" w:space="0" w:color="auto"/>
            </w:tcBorders>
          </w:tcPr>
          <w:p>
            <w:pPr>
              <w:spacing w:after="0" w:line="240" w:lineRule="auto"/>
              <w:jc w:val="center"/>
              <w:rPr>
                <w:rFonts w:ascii="Times New Roman" w:hAnsi="Times New Roman"/>
                <w:sz w:val="20"/>
                <w:szCs w:val="20"/>
              </w:rPr>
            </w:pP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p>
        </w:tc>
        <w:tc>
          <w:tcPr>
            <w:tcW w:w="461"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3</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48"/>
        </w:trPr>
        <w:tc>
          <w:tcPr>
            <w:tcW w:w="461"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4</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5</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6</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7</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8</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9</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10</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11</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12</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13</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14</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15</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16</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17</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shd w:val="clear" w:color="auto" w:fill="D9E2F3"/>
            <w:hideMark/>
          </w:tcPr>
          <w:p>
            <w:pPr>
              <w:spacing w:after="0" w:line="240" w:lineRule="auto"/>
              <w:jc w:val="center"/>
              <w:rPr>
                <w:rFonts w:ascii="Times New Roman" w:hAnsi="Times New Roman"/>
                <w:sz w:val="20"/>
                <w:szCs w:val="20"/>
              </w:rPr>
            </w:pPr>
            <w:r>
              <w:rPr>
                <w:rFonts w:ascii="Times New Roman" w:hAnsi="Times New Roman"/>
                <w:sz w:val="20"/>
                <w:szCs w:val="20"/>
              </w:rPr>
              <w:t>18</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19</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20</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21</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22</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23</w:t>
            </w:r>
          </w:p>
        </w:tc>
        <w:tc>
          <w:tcPr>
            <w:tcW w:w="440" w:type="dxa"/>
            <w:tcBorders>
              <w:top w:val="double" w:sz="4" w:space="0" w:color="auto"/>
              <w:left w:val="double" w:sz="4" w:space="0" w:color="auto"/>
              <w:bottom w:val="double" w:sz="4" w:space="0" w:color="auto"/>
              <w:right w:val="sing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24</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r>
        <w:trPr>
          <w:trHeight w:val="230"/>
        </w:trPr>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25</w:t>
            </w:r>
          </w:p>
        </w:tc>
        <w:tc>
          <w:tcPr>
            <w:tcW w:w="594" w:type="dxa"/>
            <w:tcBorders>
              <w:top w:val="double" w:sz="4" w:space="0" w:color="auto"/>
              <w:left w:val="double" w:sz="4" w:space="0" w:color="auto"/>
              <w:bottom w:val="double" w:sz="4" w:space="0" w:color="auto"/>
              <w:right w:val="double" w:sz="4" w:space="0" w:color="auto"/>
            </w:tcBorders>
            <w:shd w:val="clear" w:color="auto" w:fill="FFFFFF"/>
            <w:hideMark/>
          </w:tcPr>
          <w:p>
            <w:pPr>
              <w:spacing w:after="0" w:line="240" w:lineRule="auto"/>
              <w:jc w:val="center"/>
              <w:rPr>
                <w:rFonts w:ascii="Times New Roman" w:hAnsi="Times New Roman"/>
                <w:sz w:val="20"/>
                <w:szCs w:val="20"/>
              </w:rPr>
            </w:pPr>
            <w:r>
              <w:rPr>
                <w:rFonts w:ascii="Times New Roman" w:hAnsi="Times New Roman"/>
                <w:sz w:val="20"/>
                <w:szCs w:val="20"/>
              </w:rPr>
              <w:t>26</w:t>
            </w:r>
          </w:p>
        </w:tc>
        <w:tc>
          <w:tcPr>
            <w:tcW w:w="594"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27</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28</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29</w:t>
            </w:r>
          </w:p>
        </w:tc>
        <w:tc>
          <w:tcPr>
            <w:tcW w:w="461" w:type="dxa"/>
            <w:tcBorders>
              <w:top w:val="double" w:sz="4" w:space="0" w:color="auto"/>
              <w:left w:val="double" w:sz="4" w:space="0" w:color="auto"/>
              <w:bottom w:val="double" w:sz="4" w:space="0" w:color="auto"/>
              <w:right w:val="double" w:sz="4" w:space="0" w:color="auto"/>
            </w:tcBorders>
            <w:hideMark/>
          </w:tcPr>
          <w:p>
            <w:pPr>
              <w:spacing w:after="0" w:line="240" w:lineRule="auto"/>
              <w:jc w:val="center"/>
              <w:rPr>
                <w:rFonts w:ascii="Times New Roman" w:hAnsi="Times New Roman"/>
                <w:sz w:val="20"/>
                <w:szCs w:val="20"/>
              </w:rPr>
            </w:pPr>
            <w:r>
              <w:rPr>
                <w:rFonts w:ascii="Times New Roman" w:hAnsi="Times New Roman"/>
                <w:sz w:val="20"/>
                <w:szCs w:val="20"/>
              </w:rPr>
              <w:t>30</w:t>
            </w:r>
          </w:p>
        </w:tc>
        <w:tc>
          <w:tcPr>
            <w:tcW w:w="440" w:type="dxa"/>
            <w:tcBorders>
              <w:top w:val="double" w:sz="4" w:space="0" w:color="auto"/>
              <w:left w:val="double" w:sz="4" w:space="0" w:color="auto"/>
              <w:bottom w:val="double" w:sz="4" w:space="0" w:color="auto"/>
              <w:right w:val="single" w:sz="4" w:space="0" w:color="auto"/>
            </w:tcBorders>
          </w:tcPr>
          <w:p>
            <w:pPr>
              <w:spacing w:after="0" w:line="240" w:lineRule="auto"/>
              <w:jc w:val="center"/>
              <w:rPr>
                <w:rFonts w:ascii="Times New Roman" w:hAnsi="Times New Roman"/>
                <w:sz w:val="20"/>
                <w:szCs w:val="20"/>
              </w:rPr>
            </w:pPr>
            <w:r>
              <w:rPr>
                <w:rFonts w:ascii="Times New Roman" w:hAnsi="Times New Roman"/>
                <w:sz w:val="20"/>
                <w:szCs w:val="20"/>
              </w:rPr>
              <w:t>31</w:t>
            </w:r>
          </w:p>
        </w:tc>
        <w:tc>
          <w:tcPr>
            <w:tcW w:w="0" w:type="auto"/>
            <w:vMerge/>
            <w:tcBorders>
              <w:top w:val="doub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hAnsi="Times New Roman"/>
                <w:sz w:val="21"/>
                <w:szCs w:val="21"/>
              </w:rPr>
            </w:pPr>
          </w:p>
        </w:tc>
      </w:tr>
    </w:tbl>
    <w:p>
      <w:pPr>
        <w:spacing w:after="160" w:line="240" w:lineRule="auto"/>
        <w:jc w:val="both"/>
        <w:rPr>
          <w:rFonts w:ascii="Times New Roman" w:hAnsi="Times New Roman"/>
          <w:sz w:val="24"/>
          <w:szCs w:val="24"/>
        </w:rPr>
      </w:pPr>
    </w:p>
    <w:p>
      <w:pPr>
        <w:spacing w:after="160" w:line="360" w:lineRule="auto"/>
        <w:jc w:val="both"/>
        <w:rPr>
          <w:rFonts w:ascii="Arial" w:eastAsia="Times New Roman" w:hAnsi="Arial" w:cs="Arial"/>
          <w:b/>
          <w:sz w:val="24"/>
          <w:szCs w:val="24"/>
          <w:u w:val="single"/>
        </w:rPr>
      </w:pPr>
      <w:r>
        <w:rPr>
          <w:rFonts w:ascii="Arial" w:eastAsia="Times New Roman" w:hAnsi="Arial" w:cs="Arial"/>
          <w:b/>
          <w:sz w:val="24"/>
          <w:szCs w:val="24"/>
          <w:u w:val="single"/>
        </w:rPr>
        <w:t>FASE C</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La Fase C tiene como objetivo identificar y consolidar una red de empresas colaboradoras, alineadas con los sectores profesionales vinculados a las acciones formativas desarrolladas con las participantes, con la finalidad de generar oportunidades reales de inserción laboral.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Durante el periodo anual de referencia se llevó a cabo una prospección sistemática del tejido empresarial en la Provincia de Las Palmas, priorizando aquellos sectores </w:t>
      </w:r>
      <w:r>
        <w:rPr>
          <w:rFonts w:ascii="Arial" w:eastAsia="Times New Roman" w:hAnsi="Arial" w:cs="Arial"/>
          <w:sz w:val="24"/>
          <w:szCs w:val="24"/>
        </w:rPr>
        <w:lastRenderedPageBreak/>
        <w:t>relacionados con los itinerarios formativos del programa. Para cada empresa identificada se registró en una base de datos estructurada la siguiente información: razón social, sector de actividad, dirección, teléfonos de contacto, correo electrónico, página web, fecha de primer contacto, persona o departamento de referencia y feedback obtenido en cada interacción.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Paralelamente, se diseñó y ejecutó una estrategia de contacto centrada principalmente en el envío de comunicaciones por correo electrónico, en las que se informaba del convenio de colaboración suscrito entre el Servicio Canario de Empleo y la Congregación Oblatas del Santísimo Redentor, así como de los objetivos y características del programa. Esta estrategia se complementó, cuando fue posible, con contactos telefónicos y reuniones puntuales para explorar posibilidades de prácticas, contratos y otras fórmulas de inserción.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La prospección laboral desarrollada en la Fase C permitió disponer de un mapa actualizado de empresas potencialmente colaboradoras en los sectores objetivo y facilitó la detección de oportunidades de empleo ajustadas a los perfiles de las participantes. Asimismo, contribuyó al fortalecimiento de alianzas entre el programa y el tejido empresarial local, mejorando la visibilidad del convenio y aumentando la predisposición de las empresas a participar en acciones de inserción laboral para mujeres víctimas de trata y explotación sexual.</w:t>
      </w:r>
    </w:p>
    <w:p>
      <w:pPr>
        <w:spacing w:after="0" w:line="360" w:lineRule="auto"/>
        <w:jc w:val="both"/>
        <w:rPr>
          <w:rFonts w:ascii="Arial" w:eastAsia="Times New Roman" w:hAnsi="Arial" w:cs="Arial"/>
          <w:sz w:val="24"/>
          <w:szCs w:val="24"/>
        </w:rPr>
      </w:pPr>
    </w:p>
    <w:p>
      <w:pPr>
        <w:spacing w:after="160" w:line="360" w:lineRule="auto"/>
        <w:jc w:val="both"/>
        <w:rPr>
          <w:rFonts w:ascii="Arial" w:eastAsia="Times New Roman" w:hAnsi="Arial" w:cs="Arial"/>
          <w:sz w:val="24"/>
          <w:szCs w:val="24"/>
        </w:rPr>
      </w:pPr>
      <w:r>
        <w:rPr>
          <w:rFonts w:ascii="Arial" w:eastAsia="Times New Roman" w:hAnsi="Arial" w:cs="Arial"/>
          <w:sz w:val="24"/>
          <w:szCs w:val="24"/>
        </w:rPr>
        <w:t>Merece una mención especial la presencia del proyecto en diversas jornadas, ferias, reuniones con personal del Servicio Canario de Empleo, incluido el departamento de prospección. A continuación, desglosamos estas acciones:</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 xml:space="preserve">Participación </w:t>
      </w:r>
      <w:r>
        <w:rPr>
          <w:rFonts w:ascii="Arial" w:hAnsi="Arial" w:cs="Arial"/>
          <w:color w:val="1C1C1C"/>
          <w:sz w:val="24"/>
          <w:szCs w:val="24"/>
        </w:rPr>
        <w:t>en el Seminario: Barreras y caminos para el empleo de las personas en situación de vulnerabilidad organizado por CEPAIM: 20 de diciembre de 2025.</w:t>
      </w:r>
      <w:r>
        <w:rPr>
          <w:rFonts w:ascii="Arial" w:hAnsi="Arial" w:cs="Arial"/>
          <w:sz w:val="24"/>
          <w:szCs w:val="24"/>
        </w:rPr>
        <w:t xml:space="preserve"> </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Alicia Rodríguez, Directora General Foresta Fundación Canaria para la Reforestación: 30 de diciembre de 2024.</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Anabel Calderín, Gerente de La Jaira de Ana: 8 de enero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lastRenderedPageBreak/>
        <w:t>Formación “Recursos del Coaching Aplicados a la Orientación Sociolaboral”: del 16 de enero al 5 de marzo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María Padilla, Responsable de Desarrollo y Formación</w:t>
      </w:r>
      <w:r>
        <w:rPr>
          <w:sz w:val="24"/>
          <w:szCs w:val="24"/>
        </w:rPr>
        <w:t xml:space="preserve"> </w:t>
      </w:r>
      <w:r>
        <w:rPr>
          <w:rFonts w:ascii="Arial" w:hAnsi="Arial" w:cs="Arial"/>
          <w:sz w:val="24"/>
          <w:szCs w:val="24"/>
        </w:rPr>
        <w:t>de Cadena Princess: 28 de febrero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Cabildo: 11 de marzo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Visita y Charla informativa María Padilla, Responsable de Desarrollo y Formación</w:t>
      </w:r>
      <w:r>
        <w:rPr>
          <w:sz w:val="24"/>
          <w:szCs w:val="24"/>
        </w:rPr>
        <w:t xml:space="preserve"> </w:t>
      </w:r>
      <w:r>
        <w:rPr>
          <w:rFonts w:ascii="Arial" w:hAnsi="Arial" w:cs="Arial"/>
          <w:sz w:val="24"/>
          <w:szCs w:val="24"/>
        </w:rPr>
        <w:t>de Cadena Princess: 18 de marzo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Taller de Formación de Personas Formadoras de RedL@b de EAPN: 8 de abril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Andrea Martín Acosta, Orientadora Laboral y Yurena Moreno Alvarado Coordinadora de Fundación Laboral de la Construcción: 23 de abril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Goretti Suárez Gómez, Técnica de gestión de proyecto y Julieta Zampieri, Técnica atención psicosocial de ECCA Social: 30 de abril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Entrevista de colaboración en una investigación Sic 4 Chance: 30 de abril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SCE Comisión Seguimiento: 8 de mayo de 2025.</w:t>
      </w:r>
    </w:p>
    <w:p>
      <w:pPr>
        <w:numPr>
          <w:ilvl w:val="0"/>
          <w:numId w:val="136"/>
        </w:numPr>
        <w:spacing w:after="160" w:line="360" w:lineRule="auto"/>
        <w:contextualSpacing/>
        <w:jc w:val="both"/>
        <w:rPr>
          <w:rFonts w:ascii="Arial" w:hAnsi="Arial" w:cs="Arial"/>
          <w:sz w:val="24"/>
          <w:szCs w:val="24"/>
        </w:rPr>
      </w:pPr>
      <w:r>
        <w:rPr>
          <w:rFonts w:ascii="Arial" w:eastAsia="Times New Roman" w:hAnsi="Arial" w:cs="Arial"/>
          <w:bCs/>
          <w:spacing w:val="-10"/>
          <w:kern w:val="36"/>
          <w:sz w:val="24"/>
          <w:szCs w:val="24"/>
          <w:lang w:eastAsia="es-ES"/>
        </w:rPr>
        <w:t>Ruta hacia el Empleo: Yincana de Empleabilidad de ECCA Social: 13 de junio de 2025.</w:t>
      </w:r>
    </w:p>
    <w:p>
      <w:pPr>
        <w:numPr>
          <w:ilvl w:val="0"/>
          <w:numId w:val="136"/>
        </w:numPr>
        <w:spacing w:after="160" w:line="360" w:lineRule="auto"/>
        <w:contextualSpacing/>
        <w:jc w:val="both"/>
        <w:rPr>
          <w:rFonts w:ascii="Arial" w:hAnsi="Arial" w:cs="Arial"/>
          <w:sz w:val="24"/>
          <w:szCs w:val="24"/>
        </w:rPr>
      </w:pPr>
      <w:r>
        <w:rPr>
          <w:rFonts w:ascii="Arial" w:eastAsia="Times New Roman" w:hAnsi="Arial" w:cs="Arial"/>
          <w:bCs/>
          <w:spacing w:val="-10"/>
          <w:kern w:val="36"/>
          <w:sz w:val="24"/>
          <w:szCs w:val="24"/>
          <w:lang w:eastAsia="es-ES"/>
        </w:rPr>
        <w:t>Formación “Trabajo Social e Inteligencia Artificial”: del 9 de septiembre al 14 de octubre de 2025.</w:t>
      </w:r>
    </w:p>
    <w:p>
      <w:pPr>
        <w:numPr>
          <w:ilvl w:val="0"/>
          <w:numId w:val="136"/>
        </w:numPr>
        <w:spacing w:after="160" w:line="360" w:lineRule="auto"/>
        <w:contextualSpacing/>
        <w:jc w:val="both"/>
        <w:rPr>
          <w:rFonts w:ascii="Arial" w:hAnsi="Arial" w:cs="Arial"/>
          <w:sz w:val="24"/>
          <w:szCs w:val="24"/>
        </w:rPr>
      </w:pPr>
      <w:r>
        <w:rPr>
          <w:rFonts w:ascii="Arial" w:eastAsia="Times New Roman" w:hAnsi="Arial" w:cs="Arial"/>
          <w:bCs/>
          <w:spacing w:val="-10"/>
          <w:kern w:val="36"/>
          <w:sz w:val="24"/>
          <w:szCs w:val="24"/>
          <w:lang w:eastAsia="es-ES"/>
        </w:rPr>
        <w:t xml:space="preserve">Reunión Regina Leo de Anfi, </w:t>
      </w:r>
      <w:r>
        <w:rPr>
          <w:rFonts w:ascii="Arial" w:hAnsi="Arial" w:cs="Arial"/>
          <w:sz w:val="24"/>
          <w:szCs w:val="24"/>
        </w:rPr>
        <w:t>Responsable de Selección y Desarrollo: 2 de octubre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 xml:space="preserve">Reunión </w:t>
      </w:r>
      <w:r>
        <w:rPr>
          <w:rFonts w:ascii="Arial" w:hAnsi="Arial" w:cs="Arial"/>
          <w:bCs/>
          <w:sz w:val="24"/>
          <w:szCs w:val="24"/>
        </w:rPr>
        <w:t xml:space="preserve">Emilio Molina Giménez Gerente de </w:t>
      </w:r>
      <w:r>
        <w:rPr>
          <w:rFonts w:ascii="Arial" w:hAnsi="Arial" w:cs="Arial"/>
          <w:sz w:val="24"/>
          <w:szCs w:val="24"/>
        </w:rPr>
        <w:t>Galletas Bandama: 3 de octubre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Comisión Seguimiento SCE: 10 de octubre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Ruth Marín Jiménez, Mánager de Responsabilidad Social de Florett: 14 de octubre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Reunión SCE con Gonzalo (SISPECAN): 17 de octubre de 2025.</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Formación “Perspectiva de Género y Lenguaje Inclusivo en Orientación Laboral, intermediación y prospección”: del 28 de octubre al 11 de noviembre.</w:t>
      </w:r>
    </w:p>
    <w:p>
      <w:pPr>
        <w:numPr>
          <w:ilvl w:val="0"/>
          <w:numId w:val="136"/>
        </w:numPr>
        <w:spacing w:after="160" w:line="360" w:lineRule="auto"/>
        <w:contextualSpacing/>
        <w:jc w:val="both"/>
        <w:rPr>
          <w:rFonts w:ascii="Arial" w:hAnsi="Arial" w:cs="Arial"/>
          <w:sz w:val="24"/>
          <w:szCs w:val="24"/>
        </w:rPr>
      </w:pPr>
      <w:r>
        <w:rPr>
          <w:rFonts w:ascii="Arial" w:hAnsi="Arial" w:cs="Arial"/>
          <w:sz w:val="24"/>
          <w:szCs w:val="24"/>
        </w:rPr>
        <w:t>II Congreso de Empleo de Canarias del SCE: 14 de noviembre de 2025.</w:t>
      </w:r>
    </w:p>
    <w:p>
      <w:pPr>
        <w:numPr>
          <w:ilvl w:val="0"/>
          <w:numId w:val="136"/>
        </w:numPr>
        <w:spacing w:after="0" w:line="360" w:lineRule="auto"/>
        <w:contextualSpacing/>
        <w:jc w:val="both"/>
        <w:rPr>
          <w:rFonts w:ascii="Arial" w:hAnsi="Arial" w:cs="Arial"/>
          <w:sz w:val="24"/>
          <w:szCs w:val="24"/>
        </w:rPr>
      </w:pPr>
      <w:r>
        <w:rPr>
          <w:rFonts w:ascii="Arial" w:hAnsi="Arial" w:cs="Arial"/>
          <w:sz w:val="24"/>
          <w:szCs w:val="24"/>
        </w:rPr>
        <w:t>II Feria de Empleo de Canarias del SCE: 18 de noviembre de 2025.</w:t>
      </w:r>
    </w:p>
    <w:p>
      <w:pPr>
        <w:spacing w:before="240" w:after="0" w:line="360" w:lineRule="auto"/>
        <w:jc w:val="both"/>
        <w:rPr>
          <w:rFonts w:ascii="Arial" w:eastAsia="Times New Roman" w:hAnsi="Arial" w:cs="Arial"/>
          <w:sz w:val="24"/>
          <w:szCs w:val="24"/>
        </w:rPr>
      </w:pPr>
      <w:r>
        <w:rPr>
          <w:rFonts w:ascii="Arial" w:eastAsia="Times New Roman" w:hAnsi="Arial" w:cs="Arial"/>
          <w:sz w:val="24"/>
          <w:szCs w:val="24"/>
        </w:rPr>
        <w:lastRenderedPageBreak/>
        <w:t>En total se establece contacto con diferentes tipos de entidades (empresas, fundaciones y otras organizaciones afines) mediante diversos canales de comunicación, obteniéndose los siguientes resultados:</w:t>
      </w:r>
    </w:p>
    <w:p>
      <w:pPr>
        <w:spacing w:after="0" w:line="360" w:lineRule="auto"/>
        <w:jc w:val="both"/>
        <w:rPr>
          <w:rFonts w:ascii="Arial" w:eastAsia="Times New Roman" w:hAnsi="Arial" w:cs="Arial"/>
          <w:sz w:val="24"/>
          <w:szCs w:val="24"/>
        </w:rPr>
      </w:pPr>
    </w:p>
    <w:tbl>
      <w:tblPr>
        <w:tblStyle w:val="Tablaconcuadrcula39"/>
        <w:tblW w:w="0" w:type="auto"/>
        <w:tblLook w:val="04A0" w:firstRow="1" w:lastRow="0" w:firstColumn="1" w:lastColumn="0" w:noHBand="0" w:noVBand="1"/>
      </w:tblPr>
      <w:tblGrid>
        <w:gridCol w:w="4673"/>
        <w:gridCol w:w="3821"/>
      </w:tblGrid>
      <w:tr>
        <w:tc>
          <w:tcPr>
            <w:tcW w:w="4673" w:type="dxa"/>
            <w:tcBorders>
              <w:top w:val="single" w:sz="4" w:space="0" w:color="auto"/>
              <w:left w:val="single" w:sz="4" w:space="0" w:color="auto"/>
              <w:bottom w:val="single" w:sz="4" w:space="0" w:color="auto"/>
              <w:right w:val="single" w:sz="4" w:space="0" w:color="auto"/>
            </w:tcBorders>
            <w:shd w:val="clear" w:color="auto" w:fill="D9D9D9"/>
            <w:hideMark/>
          </w:tcPr>
          <w:p>
            <w:pPr>
              <w:spacing w:after="0" w:line="240" w:lineRule="auto"/>
              <w:jc w:val="center"/>
              <w:rPr>
                <w:rFonts w:ascii="Arial" w:hAnsi="Arial" w:cs="Arial"/>
                <w:b/>
                <w:sz w:val="24"/>
                <w:szCs w:val="24"/>
              </w:rPr>
            </w:pPr>
            <w:r>
              <w:rPr>
                <w:rFonts w:ascii="Arial" w:hAnsi="Arial" w:cs="Arial"/>
                <w:b/>
                <w:sz w:val="24"/>
                <w:szCs w:val="24"/>
              </w:rPr>
              <w:t>Métodos de contacto</w:t>
            </w:r>
          </w:p>
        </w:tc>
        <w:tc>
          <w:tcPr>
            <w:tcW w:w="3821" w:type="dxa"/>
            <w:tcBorders>
              <w:top w:val="single" w:sz="4" w:space="0" w:color="auto"/>
              <w:left w:val="single" w:sz="4" w:space="0" w:color="auto"/>
              <w:bottom w:val="single" w:sz="4" w:space="0" w:color="auto"/>
              <w:right w:val="single" w:sz="4" w:space="0" w:color="auto"/>
            </w:tcBorders>
            <w:shd w:val="clear" w:color="auto" w:fill="D9D9D9"/>
            <w:hideMark/>
          </w:tcPr>
          <w:p>
            <w:pPr>
              <w:spacing w:after="0" w:line="240" w:lineRule="auto"/>
              <w:jc w:val="center"/>
              <w:rPr>
                <w:rFonts w:ascii="Arial" w:hAnsi="Arial" w:cs="Arial"/>
                <w:b/>
                <w:sz w:val="24"/>
                <w:szCs w:val="24"/>
                <w:highlight w:val="yellow"/>
              </w:rPr>
            </w:pPr>
            <w:r>
              <w:rPr>
                <w:rFonts w:ascii="Arial" w:hAnsi="Arial" w:cs="Arial"/>
                <w:b/>
                <w:sz w:val="24"/>
                <w:szCs w:val="24"/>
              </w:rPr>
              <w:t>Número de empresas: 77</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rPr>
            </w:pPr>
            <w:r>
              <w:rPr>
                <w:rFonts w:ascii="Arial" w:hAnsi="Arial" w:cs="Arial"/>
                <w:sz w:val="21"/>
                <w:szCs w:val="21"/>
              </w:rPr>
              <w:t>Correos electrónicos</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73</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Llamadas</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7</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Video llamadas</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6</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Redes Sociales</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0</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Reuniones en sedes de empresas</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1</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Visitas a academias</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8</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Asistencia a jornadas y ferias de empleo</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3</w:t>
            </w:r>
          </w:p>
        </w:tc>
      </w:tr>
      <w:tr>
        <w:tc>
          <w:tcPr>
            <w:tcW w:w="4673" w:type="dxa"/>
            <w:tcBorders>
              <w:top w:val="single" w:sz="4" w:space="0" w:color="auto"/>
              <w:left w:val="single" w:sz="4" w:space="0" w:color="auto"/>
              <w:bottom w:val="single" w:sz="4" w:space="0" w:color="auto"/>
              <w:right w:val="single" w:sz="4" w:space="0" w:color="auto"/>
            </w:tcBorders>
            <w:hideMark/>
          </w:tcPr>
          <w:p>
            <w:pPr>
              <w:spacing w:after="0" w:line="240" w:lineRule="auto"/>
              <w:jc w:val="both"/>
              <w:rPr>
                <w:rFonts w:ascii="Arial" w:hAnsi="Arial" w:cs="Arial"/>
                <w:sz w:val="21"/>
                <w:szCs w:val="21"/>
              </w:rPr>
            </w:pPr>
            <w:r>
              <w:rPr>
                <w:rFonts w:ascii="Arial" w:hAnsi="Arial" w:cs="Arial"/>
                <w:sz w:val="21"/>
                <w:szCs w:val="21"/>
              </w:rPr>
              <w:t>Reuniones en nuestra sede</w:t>
            </w:r>
          </w:p>
        </w:tc>
        <w:tc>
          <w:tcPr>
            <w:tcW w:w="3821" w:type="dxa"/>
            <w:tcBorders>
              <w:top w:val="single" w:sz="4" w:space="0" w:color="auto"/>
              <w:left w:val="single" w:sz="4" w:space="0" w:color="auto"/>
              <w:bottom w:val="single" w:sz="4" w:space="0" w:color="auto"/>
              <w:right w:val="single" w:sz="4" w:space="0" w:color="auto"/>
            </w:tcBorders>
            <w:hideMark/>
          </w:tcPr>
          <w:p>
            <w:pPr>
              <w:spacing w:after="0" w:line="240" w:lineRule="auto"/>
              <w:jc w:val="center"/>
              <w:rPr>
                <w:rFonts w:ascii="Arial" w:hAnsi="Arial" w:cs="Arial"/>
                <w:sz w:val="21"/>
                <w:szCs w:val="21"/>
              </w:rPr>
            </w:pPr>
            <w:r>
              <w:rPr>
                <w:rFonts w:ascii="Arial" w:hAnsi="Arial" w:cs="Arial"/>
                <w:sz w:val="21"/>
                <w:szCs w:val="21"/>
              </w:rPr>
              <w:t>3</w:t>
            </w:r>
          </w:p>
        </w:tc>
      </w:tr>
    </w:tbl>
    <w:p>
      <w:pPr>
        <w:spacing w:after="160" w:line="240" w:lineRule="auto"/>
        <w:ind w:left="720"/>
        <w:contextualSpacing/>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 xml:space="preserve">El proyecto destaca este año por la firma de convenios de colaboración con importantes entidades como la Cadena Princess, Grupo SATOCAN, Activa Canarias, Fundación Farrah, Spar, Anfi, Galletas Bandama y Florette, fortaleciendo alianzas para favorecer la inserción laboral de las mujeres participantes.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El colectivo atendido enfrenta barreras significativas por experiencias de vulnerabilidad, lo que requiere un seguimiento y acompañamiento personalizado para fomentar avances en su desarrollo personal y profesional. Aunque el programa dura doce meses, el tiempo dedicado a consolidar la integración laboral efectiva y el mantenimiento de empleo resulta insuficiente.</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Durante el proceso de prospección, se realiza un seguimiento individualizado de las mujeres participantes para ajustar sus perfiles profesionales a las demandas del mercado, junto con la actualización constante de sus currículums. Además, se implementan talleres prácticos para mejorar sus habilidades en entrevistas y técnicas de selección, y se promueve la difusión de ofertas laborales y la búsqueda proactiva de empleo.</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Finalmente, se recopila información sobre las demandas del mercado laboral para adaptar los itinerarios de inserción, garantizando que el empleo logrado sea sostenible y responda a las necesidades reales de las empresas contratantes.</w:t>
      </w:r>
    </w:p>
    <w:p>
      <w:pPr>
        <w:spacing w:before="240" w:after="160" w:line="360" w:lineRule="auto"/>
        <w:jc w:val="both"/>
        <w:rPr>
          <w:rFonts w:ascii="Arial" w:eastAsia="Times New Roman" w:hAnsi="Arial" w:cs="Arial"/>
          <w:b/>
          <w:sz w:val="24"/>
          <w:szCs w:val="24"/>
          <w:u w:val="single"/>
        </w:rPr>
      </w:pPr>
      <w:r>
        <w:rPr>
          <w:rFonts w:ascii="Arial" w:eastAsia="Times New Roman" w:hAnsi="Arial" w:cs="Arial"/>
          <w:b/>
          <w:sz w:val="24"/>
          <w:szCs w:val="24"/>
          <w:u w:val="single"/>
        </w:rPr>
        <w:lastRenderedPageBreak/>
        <w:t>FASE D</w:t>
      </w:r>
    </w:p>
    <w:p>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En la última fase del proyecto, se establece una vinculación estratégica con empresas que asumen un compromiso explícito de contratación, garantizando así la inserción laboral efectiva de las mujeres participantes.</w:t>
      </w:r>
    </w:p>
    <w:p>
      <w:pPr>
        <w:spacing w:after="0" w:line="360" w:lineRule="auto"/>
        <w:jc w:val="both"/>
        <w:rPr>
          <w:rFonts w:ascii="Arial" w:eastAsia="Times New Roman" w:hAnsi="Arial" w:cs="Arial"/>
          <w:color w:val="000000"/>
          <w:sz w:val="24"/>
          <w:szCs w:val="24"/>
        </w:rPr>
      </w:pPr>
    </w:p>
    <w:p>
      <w:pPr>
        <w:spacing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Durante esta etapa, el equipo técnico lleva a cabo labores continuas de asesoramiento y seguimiento personalizado. Se mantienen contactos individuales, ya sea de forma presencial o telefónica, para obtener retroalimentación sobre la situación laboral actual, el bienestar de la participante, previsiones de renovación contractual y otros aspectos relevantes.</w:t>
      </w:r>
    </w:p>
    <w:p>
      <w:pPr>
        <w:spacing w:after="0" w:line="360" w:lineRule="auto"/>
        <w:jc w:val="both"/>
        <w:rPr>
          <w:rFonts w:ascii="Arial" w:eastAsia="Times New Roman" w:hAnsi="Arial" w:cs="Arial"/>
          <w:color w:val="000000"/>
          <w:sz w:val="24"/>
          <w:szCs w:val="24"/>
        </w:rPr>
      </w:pPr>
    </w:p>
    <w:p>
      <w:pPr>
        <w:spacing w:after="16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Adicionalmente, se ofrece apoyo integral para mitigar inseguridades o dificultades personales, proporcionando espacios de escucha activa y reflexión que fortalezcan la estabilidad emocional y profesional de las beneficiarias.</w:t>
      </w:r>
    </w:p>
    <w:p>
      <w:pPr>
        <w:spacing w:after="160" w:line="360" w:lineRule="auto"/>
        <w:jc w:val="both"/>
        <w:rPr>
          <w:rFonts w:ascii="Arial" w:eastAsia="Times New Roman" w:hAnsi="Arial" w:cs="Arial"/>
          <w:color w:val="000000"/>
          <w:sz w:val="24"/>
          <w:szCs w:val="24"/>
        </w:rPr>
      </w:pPr>
      <w:r>
        <w:rPr>
          <w:rFonts w:ascii="Arial" w:eastAsia="Times New Roman" w:hAnsi="Arial" w:cs="Arial"/>
          <w:sz w:val="24"/>
          <w:szCs w:val="24"/>
        </w:rPr>
        <w:t>A continuación, se plantea un cuadro resumen de las mujeres participantes y su situación laboral en el momento de la entrega de la presente memoria, diciembre de 2025:</w:t>
      </w:r>
    </w:p>
    <w:tbl>
      <w:tblPr>
        <w:tblStyle w:val="Tablaconcuadrcula39"/>
        <w:tblW w:w="6091" w:type="dxa"/>
        <w:jc w:val="center"/>
        <w:tblLook w:val="04A0" w:firstRow="1" w:lastRow="0" w:firstColumn="1" w:lastColumn="0" w:noHBand="0" w:noVBand="1"/>
      </w:tblPr>
      <w:tblGrid>
        <w:gridCol w:w="2979"/>
        <w:gridCol w:w="3112"/>
      </w:tblGrid>
      <w:tr>
        <w:trPr>
          <w:trHeight w:val="561"/>
          <w:jc w:val="center"/>
        </w:trPr>
        <w:tc>
          <w:tcPr>
            <w:tcW w:w="2979" w:type="dxa"/>
            <w:shd w:val="clear" w:color="auto" w:fill="D0CECE"/>
            <w:vAlign w:val="center"/>
          </w:tcPr>
          <w:p>
            <w:pPr>
              <w:spacing w:after="0" w:line="240" w:lineRule="auto"/>
              <w:jc w:val="center"/>
              <w:rPr>
                <w:rFonts w:ascii="Arial" w:hAnsi="Arial" w:cs="Arial"/>
                <w:b/>
                <w:sz w:val="24"/>
                <w:szCs w:val="24"/>
              </w:rPr>
            </w:pPr>
            <w:r>
              <w:rPr>
                <w:rFonts w:ascii="Arial" w:hAnsi="Arial" w:cs="Arial"/>
                <w:b/>
                <w:sz w:val="24"/>
                <w:szCs w:val="24"/>
              </w:rPr>
              <w:t>CÓDIGO VVG</w:t>
            </w:r>
          </w:p>
        </w:tc>
        <w:tc>
          <w:tcPr>
            <w:tcW w:w="3112" w:type="dxa"/>
            <w:shd w:val="clear" w:color="auto" w:fill="D0CECE"/>
            <w:vAlign w:val="center"/>
          </w:tcPr>
          <w:p>
            <w:pPr>
              <w:spacing w:after="0" w:line="240" w:lineRule="auto"/>
              <w:jc w:val="center"/>
              <w:rPr>
                <w:rFonts w:ascii="Arial" w:hAnsi="Arial" w:cs="Arial"/>
                <w:b/>
                <w:sz w:val="24"/>
                <w:szCs w:val="24"/>
              </w:rPr>
            </w:pPr>
            <w:r>
              <w:rPr>
                <w:rFonts w:ascii="Arial" w:hAnsi="Arial" w:cs="Arial"/>
                <w:b/>
                <w:sz w:val="24"/>
                <w:szCs w:val="24"/>
              </w:rPr>
              <w:t>INSERCIÓN LABORAL</w:t>
            </w:r>
          </w:p>
        </w:tc>
      </w:tr>
      <w:tr>
        <w:trPr>
          <w:trHeight w:val="446"/>
          <w:jc w:val="center"/>
        </w:trPr>
        <w:tc>
          <w:tcPr>
            <w:tcW w:w="2979" w:type="dxa"/>
            <w:tcBorders>
              <w:top w:val="nil"/>
              <w:left w:val="single" w:sz="4" w:space="0" w:color="auto"/>
              <w:bottom w:val="single" w:sz="4" w:space="0" w:color="auto"/>
              <w:right w:val="single" w:sz="4" w:space="0" w:color="auto"/>
            </w:tcBorders>
            <w:shd w:val="clear" w:color="auto" w:fill="auto"/>
            <w:vAlign w:val="center"/>
          </w:tcPr>
          <w:p>
            <w:pPr>
              <w:spacing w:after="0" w:line="240" w:lineRule="auto"/>
              <w:jc w:val="center"/>
              <w:rPr>
                <w:rFonts w:ascii="Arial" w:hAnsi="Arial" w:cs="Arial"/>
                <w:sz w:val="24"/>
                <w:szCs w:val="24"/>
              </w:rPr>
            </w:pPr>
            <w:r>
              <w:rPr>
                <w:rFonts w:ascii="Arial" w:hAnsi="Arial" w:cs="Arial"/>
                <w:sz w:val="24"/>
                <w:szCs w:val="24"/>
              </w:rPr>
              <w:t>4503057</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r>
        <w:trPr>
          <w:trHeight w:val="683"/>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4503084</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Se desconoce. Baja por cambio de lugar de residencia</w:t>
            </w:r>
          </w:p>
        </w:tc>
      </w:tr>
      <w:tr>
        <w:trPr>
          <w:trHeight w:val="670"/>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4503115</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r>
        <w:trPr>
          <w:trHeight w:val="446"/>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4509018</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r>
        <w:trPr>
          <w:trHeight w:val="670"/>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4510689</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r>
        <w:trPr>
          <w:trHeight w:val="446"/>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4510769</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r>
        <w:trPr>
          <w:trHeight w:val="433"/>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4503092</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r>
        <w:trPr>
          <w:trHeight w:val="683"/>
          <w:jc w:val="center"/>
        </w:trPr>
        <w:tc>
          <w:tcPr>
            <w:tcW w:w="2979" w:type="dxa"/>
            <w:vAlign w:val="center"/>
          </w:tcPr>
          <w:p>
            <w:pPr>
              <w:spacing w:after="0" w:line="240" w:lineRule="auto"/>
              <w:jc w:val="center"/>
              <w:rPr>
                <w:rFonts w:ascii="Arial" w:hAnsi="Arial" w:cs="Arial"/>
                <w:sz w:val="24"/>
                <w:szCs w:val="24"/>
              </w:rPr>
            </w:pPr>
            <w:r>
              <w:rPr>
                <w:rFonts w:ascii="Arial" w:hAnsi="Arial" w:cs="Arial"/>
                <w:sz w:val="24"/>
                <w:szCs w:val="24"/>
              </w:rPr>
              <w:t>4509331</w:t>
            </w:r>
          </w:p>
        </w:tc>
        <w:tc>
          <w:tcPr>
            <w:tcW w:w="3112" w:type="dxa"/>
            <w:vAlign w:val="center"/>
          </w:tcPr>
          <w:p>
            <w:pPr>
              <w:spacing w:after="0" w:line="240" w:lineRule="auto"/>
              <w:jc w:val="center"/>
              <w:rPr>
                <w:rFonts w:ascii="Arial" w:hAnsi="Arial" w:cs="Arial"/>
                <w:sz w:val="24"/>
                <w:szCs w:val="24"/>
              </w:rPr>
            </w:pPr>
            <w:r>
              <w:rPr>
                <w:rFonts w:ascii="Arial" w:hAnsi="Arial" w:cs="Arial"/>
                <w:sz w:val="24"/>
                <w:szCs w:val="24"/>
              </w:rPr>
              <w:t>SI</w:t>
            </w:r>
          </w:p>
        </w:tc>
      </w:tr>
    </w:tbl>
    <w:p>
      <w:pPr>
        <w:spacing w:after="0" w:line="360" w:lineRule="auto"/>
        <w:jc w:val="both"/>
        <w:rPr>
          <w:rFonts w:ascii="Arial" w:eastAsia="Times New Roman" w:hAnsi="Arial" w:cs="Arial"/>
          <w:sz w:val="24"/>
          <w:szCs w:val="24"/>
        </w:rPr>
      </w:pPr>
      <w:r>
        <w:rPr>
          <w:rFonts w:ascii="Arial" w:eastAsia="Times New Roman" w:hAnsi="Arial" w:cs="Arial"/>
          <w:sz w:val="24"/>
          <w:szCs w:val="24"/>
        </w:rPr>
        <w:lastRenderedPageBreak/>
        <w:t xml:space="preserve">Por lo reflejado en la tabla, se concluye que se ha dado cumplimiento a la inserción laboral de al menos siete mujeres participantes. </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Además, resaltar que se han realizado varias derivaciones con propuestas de proceso de selección en diferentes empresas.</w:t>
      </w:r>
    </w:p>
    <w:p>
      <w:pPr>
        <w:spacing w:after="0" w:line="240" w:lineRule="auto"/>
        <w:jc w:val="both"/>
        <w:rPr>
          <w:rFonts w:ascii="Arial" w:eastAsia="Times New Roman" w:hAnsi="Arial" w:cs="Arial"/>
          <w:sz w:val="24"/>
          <w:szCs w:val="24"/>
        </w:rPr>
      </w:pPr>
    </w:p>
    <w:p>
      <w:pPr>
        <w:spacing w:after="0" w:line="240" w:lineRule="auto"/>
        <w:jc w:val="both"/>
        <w:rPr>
          <w:rFonts w:ascii="Arial" w:eastAsia="Times New Roman" w:hAnsi="Arial" w:cs="Arial"/>
          <w:sz w:val="24"/>
          <w:szCs w:val="24"/>
        </w:rPr>
      </w:pPr>
    </w:p>
    <w:p>
      <w:pPr>
        <w:shd w:val="clear" w:color="auto" w:fill="B2A1C7" w:themeFill="accent4" w:themeFillTint="99"/>
        <w:spacing w:after="160" w:line="240" w:lineRule="auto"/>
        <w:jc w:val="both"/>
        <w:rPr>
          <w:rFonts w:ascii="Arial" w:eastAsia="Times New Roman" w:hAnsi="Arial" w:cs="Arial"/>
          <w:b/>
          <w:sz w:val="24"/>
          <w:szCs w:val="24"/>
        </w:rPr>
      </w:pPr>
      <w:r>
        <w:rPr>
          <w:rFonts w:ascii="Arial" w:eastAsia="Times New Roman" w:hAnsi="Arial" w:cs="Arial"/>
          <w:b/>
          <w:sz w:val="24"/>
          <w:szCs w:val="24"/>
        </w:rPr>
        <w:t>7.3.- VALORACIÓN FINAL DEL PROYECTO</w:t>
      </w:r>
    </w:p>
    <w:p>
      <w:pPr>
        <w:spacing w:after="0" w:line="360" w:lineRule="auto"/>
        <w:jc w:val="both"/>
        <w:rPr>
          <w:rFonts w:ascii="Arial" w:eastAsia="Times New Roman" w:hAnsi="Arial" w:cs="Arial"/>
          <w:sz w:val="24"/>
          <w:szCs w:val="24"/>
        </w:rPr>
      </w:pPr>
      <w:r>
        <w:rPr>
          <w:rFonts w:ascii="Arial" w:eastAsia="Times New Roman" w:hAnsi="Arial" w:cs="Arial"/>
          <w:sz w:val="24"/>
          <w:szCs w:val="24"/>
        </w:rPr>
        <w:t>El proyecto “Abriendo Puertas, Abriendo Oportunidades” constituye una intervención estratégica orientada a la atención integral de mujeres en situación de trata de personas y/o explotación. Su finalidad es fortalecer las capacidades técnicas, profesionales y psicosociales de las participantes mediante procesos formativos y de acompañamiento especializado, favoreciendo así su inserción sociolaboral sostenible y la recuperación de su autonomía personal y económica.</w:t>
      </w:r>
    </w:p>
    <w:p>
      <w:pPr>
        <w:spacing w:after="0" w:line="360" w:lineRule="auto"/>
        <w:jc w:val="both"/>
        <w:rPr>
          <w:rFonts w:ascii="Arial" w:eastAsia="Times New Roman" w:hAnsi="Arial" w:cs="Arial"/>
          <w:sz w:val="24"/>
          <w:szCs w:val="24"/>
        </w:rPr>
      </w:pPr>
    </w:p>
    <w:p>
      <w:pPr>
        <w:spacing w:after="160" w:line="360" w:lineRule="auto"/>
        <w:jc w:val="both"/>
        <w:rPr>
          <w:rFonts w:ascii="Arial" w:eastAsia="Times New Roman" w:hAnsi="Arial" w:cs="Arial"/>
          <w:sz w:val="24"/>
          <w:szCs w:val="24"/>
        </w:rPr>
      </w:pPr>
      <w:r>
        <w:rPr>
          <w:rFonts w:ascii="Arial" w:eastAsia="Times New Roman" w:hAnsi="Arial" w:cs="Arial"/>
          <w:sz w:val="24"/>
          <w:szCs w:val="24"/>
        </w:rPr>
        <w:t>El proyecto proporciona una alternativa de desarrollo integral que promueve el ejercicio efectivo de los derechos, el fortalecimiento del bienestar emocional y psicológico, así como la consolidación de la autonomía económica de las participantes.</w:t>
      </w:r>
    </w:p>
    <w:p>
      <w:pPr>
        <w:spacing w:after="160" w:line="360" w:lineRule="auto"/>
        <w:jc w:val="both"/>
        <w:rPr>
          <w:rFonts w:ascii="Arial" w:eastAsia="Times New Roman" w:hAnsi="Arial" w:cs="Arial"/>
          <w:sz w:val="24"/>
          <w:szCs w:val="24"/>
        </w:rPr>
      </w:pPr>
      <w:r>
        <w:rPr>
          <w:rFonts w:ascii="Arial" w:eastAsia="Times New Roman" w:hAnsi="Arial" w:cs="Arial"/>
          <w:sz w:val="24"/>
          <w:szCs w:val="24"/>
        </w:rPr>
        <w:t xml:space="preserve">Como principales fortalezas del mismo, se resalta los siguientes aspectos: </w:t>
      </w:r>
    </w:p>
    <w:p>
      <w:pPr>
        <w:numPr>
          <w:ilvl w:val="0"/>
          <w:numId w:val="132"/>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La especialización institucional en la implementación del proyecto se sustenta en una amplia trayectoria en procesos de sensibilización y formación vinculados a la trata de personas, la explotación sexual y la incorporación transversal de la perspectiva de género, constituyendo un elemento clave que distingue y respalda la calidad de las intervenciones desarrolladas por la entidad.</w:t>
      </w:r>
    </w:p>
    <w:p>
      <w:pPr>
        <w:numPr>
          <w:ilvl w:val="0"/>
          <w:numId w:val="132"/>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El número limitado de participantes constituye un factor estratégico que posibilita al equipo técnico brindar una atención más individualizada, continua y de proximidad, optimizando los procesos de acompañamiento y seguimiento en comparación con los proyectos de formación y empleo de carácter convencional.</w:t>
      </w:r>
    </w:p>
    <w:p>
      <w:pPr>
        <w:numPr>
          <w:ilvl w:val="0"/>
          <w:numId w:val="132"/>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 xml:space="preserve">Los dos puntos anteriores, promueven la generación de un vínculo de confianza fundamental para garantizar no sólo la continuidad y constancia de las mujeres participantes, sino también para poder cubrir las necesidades reales y </w:t>
      </w:r>
      <w:r>
        <w:rPr>
          <w:rFonts w:ascii="Arial" w:eastAsia="Times New Roman" w:hAnsi="Arial" w:cs="Arial"/>
          <w:color w:val="000000"/>
          <w:sz w:val="24"/>
          <w:szCs w:val="24"/>
        </w:rPr>
        <w:lastRenderedPageBreak/>
        <w:t xml:space="preserve">dificultades que se dan a lo largo del desarrollo del proyecto ya que, dada las peculiaridades del perfil de participantes y el histórico de vulnerabilidad y violencia que han vivido, se hace primordial tener una relación de apertura y confianza paralelamente al desarrollo y promoción de los objetivos finales del proyecto.  </w:t>
      </w:r>
    </w:p>
    <w:p>
      <w:pPr>
        <w:numPr>
          <w:ilvl w:val="0"/>
          <w:numId w:val="132"/>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 xml:space="preserve">La provisión de una beca económica con una duración de seis meses, garantiza el sustento financiero de las mujeres participantes, favoreciendo su implicación activa en el proyecto. Esta medida constituye una alternativa real de participación e inclusión, ya que la ausencia de una compensación económica limitaría su posibilidad de cubrir necesidades básicas, reproduciendo condiciones de vulnerabilidad y aumentando el riesgo de exposición a situaciones de explotación. </w:t>
      </w:r>
    </w:p>
    <w:p>
      <w:pPr>
        <w:numPr>
          <w:ilvl w:val="0"/>
          <w:numId w:val="132"/>
        </w:numPr>
        <w:spacing w:after="160" w:line="360" w:lineRule="auto"/>
        <w:contextualSpacing/>
        <w:jc w:val="both"/>
        <w:rPr>
          <w:rFonts w:ascii="Arial" w:eastAsia="Times New Roman" w:hAnsi="Arial" w:cs="Arial"/>
          <w:color w:val="000000"/>
          <w:sz w:val="24"/>
          <w:szCs w:val="24"/>
        </w:rPr>
      </w:pPr>
      <w:r>
        <w:rPr>
          <w:rFonts w:ascii="Arial" w:eastAsia="Times New Roman" w:hAnsi="Arial" w:cs="Arial"/>
          <w:color w:val="000000"/>
          <w:sz w:val="24"/>
          <w:szCs w:val="24"/>
        </w:rPr>
        <w:t>Gracias a los acuerdos de colaboración formalizados, se ha logrado la derivación efectiva de varias participantes hacia las empresas adheridas a dichos convenios, facilitando su acceso a oportunidades de inserción laboral y contribuyendo a la consolidación de itinerarios de empleabilidad sostenible.</w:t>
      </w:r>
    </w:p>
    <w:p>
      <w:pPr>
        <w:spacing w:after="160" w:line="360" w:lineRule="auto"/>
        <w:ind w:left="720"/>
        <w:contextualSpacing/>
        <w:jc w:val="both"/>
        <w:rPr>
          <w:rFonts w:ascii="Arial" w:eastAsia="Times New Roman" w:hAnsi="Arial" w:cs="Arial"/>
          <w:color w:val="000000"/>
          <w:sz w:val="24"/>
          <w:szCs w:val="24"/>
        </w:rPr>
      </w:pPr>
    </w:p>
    <w:p>
      <w:pPr>
        <w:spacing w:after="160" w:line="360" w:lineRule="auto"/>
        <w:jc w:val="both"/>
        <w:rPr>
          <w:rFonts w:ascii="Arial" w:eastAsia="Times New Roman" w:hAnsi="Arial" w:cs="Arial"/>
          <w:sz w:val="24"/>
          <w:szCs w:val="24"/>
        </w:rPr>
      </w:pPr>
      <w:r>
        <w:rPr>
          <w:rFonts w:ascii="Arial" w:eastAsia="Times New Roman" w:hAnsi="Arial" w:cs="Arial"/>
          <w:sz w:val="24"/>
          <w:szCs w:val="24"/>
        </w:rPr>
        <w:t xml:space="preserve">Como propuestas de mejora de cara a próximas ediciones se plantea: </w:t>
      </w:r>
    </w:p>
    <w:p>
      <w:pPr>
        <w:numPr>
          <w:ilvl w:val="0"/>
          <w:numId w:val="133"/>
        </w:numPr>
        <w:spacing w:after="160" w:line="360" w:lineRule="auto"/>
        <w:contextualSpacing/>
        <w:jc w:val="both"/>
        <w:rPr>
          <w:rFonts w:ascii="Arial" w:eastAsia="Times New Roman" w:hAnsi="Arial" w:cs="Arial"/>
          <w:sz w:val="24"/>
          <w:szCs w:val="24"/>
        </w:rPr>
      </w:pPr>
      <w:r>
        <w:rPr>
          <w:rFonts w:ascii="Arial" w:eastAsia="Times New Roman" w:hAnsi="Arial" w:cs="Arial"/>
          <w:color w:val="000000"/>
          <w:sz w:val="24"/>
          <w:szCs w:val="24"/>
        </w:rPr>
        <w:t>Centrar la intervención en procesos de BAE (Búsqueda Activa de Empleo) individualizados y ampliar los tiempos de acompañamiento, con el fin de evaluar los logros no solo desde la inserción laboral efectiva, sino también desde el grado de implicación, participación y avance personal de las mujeres participantes. Esta orientación metodológica permite adaptar los indicadores de éxito a las realidades complejas y las barreras estructurales propias de los perfiles en situación de alta vulnerabilidad, garantizando así una atención más inclusiva y realista.</w:t>
      </w:r>
    </w:p>
    <w:p>
      <w:pPr>
        <w:numPr>
          <w:ilvl w:val="0"/>
          <w:numId w:val="133"/>
        </w:numPr>
        <w:spacing w:after="160" w:line="360" w:lineRule="auto"/>
        <w:contextualSpacing/>
        <w:jc w:val="both"/>
        <w:rPr>
          <w:rFonts w:ascii="Arial" w:eastAsia="Times New Roman" w:hAnsi="Arial" w:cs="Arial"/>
          <w:sz w:val="24"/>
          <w:szCs w:val="24"/>
        </w:rPr>
      </w:pPr>
      <w:r>
        <w:rPr>
          <w:rFonts w:ascii="Arial" w:eastAsia="Times New Roman" w:hAnsi="Arial" w:cs="Arial"/>
          <w:color w:val="000000"/>
          <w:sz w:val="24"/>
          <w:szCs w:val="24"/>
        </w:rPr>
        <w:t>Ampliar al menos a dos años la durabilidad de los proyectos, teniendo en cuenta que para poder favorecer el cambio de vida de las mujeres es preciso disponer de más tiempo por todas las dificultades con las que nos vamos encontrando.</w:t>
      </w:r>
    </w:p>
    <w:p>
      <w:pPr>
        <w:numPr>
          <w:ilvl w:val="0"/>
          <w:numId w:val="133"/>
        </w:numPr>
        <w:spacing w:after="160" w:line="360" w:lineRule="auto"/>
        <w:contextualSpacing/>
        <w:jc w:val="both"/>
        <w:rPr>
          <w:rFonts w:ascii="Arial" w:eastAsia="Times New Roman" w:hAnsi="Arial" w:cs="Arial"/>
          <w:sz w:val="24"/>
          <w:szCs w:val="24"/>
        </w:rPr>
      </w:pPr>
      <w:r>
        <w:rPr>
          <w:rFonts w:ascii="Arial" w:eastAsia="Times New Roman" w:hAnsi="Arial" w:cs="Arial"/>
          <w:sz w:val="24"/>
          <w:szCs w:val="24"/>
        </w:rPr>
        <w:lastRenderedPageBreak/>
        <w:t>Ampliar la duración de los proyectos, considerando que el proceso de cambio y empoderamiento personal y sociolaboral de las mujeres participantes requiere de periodos de intervención más prolongados. Esta ampliación temporal resulta esencial para abordar de manera efectiva las múltiples dificultades que enfrentan las beneficiarias y garantizar la consolidación de resultados sostenibles en el tiempo.</w:t>
      </w:r>
    </w:p>
    <w:p>
      <w:pPr>
        <w:numPr>
          <w:ilvl w:val="0"/>
          <w:numId w:val="133"/>
        </w:numPr>
        <w:spacing w:after="0" w:line="360" w:lineRule="auto"/>
        <w:contextualSpacing/>
        <w:jc w:val="both"/>
        <w:rPr>
          <w:rFonts w:ascii="Arial" w:eastAsia="Times New Roman" w:hAnsi="Arial" w:cs="Arial"/>
          <w:sz w:val="24"/>
          <w:szCs w:val="24"/>
        </w:rPr>
      </w:pPr>
      <w:r>
        <w:rPr>
          <w:rFonts w:ascii="Arial" w:eastAsia="Times New Roman" w:hAnsi="Arial" w:cs="Arial"/>
          <w:sz w:val="24"/>
          <w:szCs w:val="24"/>
        </w:rPr>
        <w:t>Sería recomendable establecer un mecanismo de trabajo en red permanente que permita a las mujeres participantes en estos proyectos acceder con prioridad a los procesos de selección de las ofertas gestionadas a través del servicio de prospección del Servicio Canario de Empleo. Esta coordinación interinstitucional favorecería la continuidad de los itinerarios de inserción, optimizando los recursos disponibles y fortaleciendo la integración laboral efectiva de las beneficiarias.</w:t>
      </w:r>
    </w:p>
    <w:p>
      <w:pPr>
        <w:spacing w:after="0" w:line="360" w:lineRule="auto"/>
        <w:ind w:left="720"/>
        <w:contextualSpacing/>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Como valoración general, se destaca la relevancia estratégica de la existencia de este tipo de proyectos, orientados a la promoción y garantía efectiva de los derechos humanos de las mujeres. Estas iniciativas ofrecen alternativas de vida viables frente a situaciones de explotación sexual y prostitución, integrando de manera transversal la perspectiva de género y una sensibilidad específica en la atención directa y personalizada. Asimismo, su diseño metodológico permite adaptarse con flexibilidad a las necesidades y particularidades individuales de las participantes, favoreciendo procesos de inclusión social y autonomía sostenible.</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El presente convenio posibilita que el Programa Oblatas Daniela aborde una línea de actuación complementaria a las funciones que la Institución desarrolla de forma habitual. Esta estructura de intervención permite ofrecer a las mujeres participantes un itinerario integral de acompañamiento, orientado a identificar y visibilizar necesidades específicas, así como a facilitar alternativas de vida fuera de contextos de explotación sexual, garantizando condiciones de autonomía económica y personal.</w:t>
      </w:r>
    </w:p>
    <w:p>
      <w:pPr>
        <w:spacing w:after="0" w:line="360" w:lineRule="auto"/>
        <w:jc w:val="both"/>
        <w:rPr>
          <w:rFonts w:ascii="Arial" w:eastAsia="Times New Roman" w:hAnsi="Arial" w:cs="Arial"/>
          <w:sz w:val="24"/>
          <w:szCs w:val="24"/>
        </w:rPr>
      </w:pPr>
      <w:r>
        <w:rPr>
          <w:rFonts w:ascii="Arial" w:eastAsia="Times New Roman" w:hAnsi="Arial" w:cs="Arial"/>
          <w:sz w:val="24"/>
          <w:szCs w:val="24"/>
        </w:rPr>
        <w:lastRenderedPageBreak/>
        <w:t>El enfoque contempla un trabajo transversal y especializado desde las áreas social, psicológica y jurídica, favoreciendo procesos de empoderamiento, adquisición de hábitos saludables, fortalecimiento de la autoestima y reducción de los niveles de estrés y ansiedad. En conjunto, estas acciones contribuyen a la consolidación de itinerarios sostenibles de inclusión social y laboral.</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En conclusión, el presente convenio de colaboración puede considerarse una experiencia exitosa, al evidenciar un impacto positivo y significativo en la vida de las mujeres participantes, mediante la promoción de alternativas de vida dignas, sostenibles y libres de explotación.</w:t>
      </w:r>
    </w:p>
    <w:p>
      <w:pPr>
        <w:spacing w:after="0" w:line="360" w:lineRule="auto"/>
        <w:jc w:val="both"/>
        <w:rPr>
          <w:rFonts w:ascii="Arial" w:eastAsia="Times New Roman" w:hAnsi="Arial" w:cs="Arial"/>
          <w:sz w:val="24"/>
          <w:szCs w:val="24"/>
        </w:rPr>
      </w:pPr>
    </w:p>
    <w:p>
      <w:pPr>
        <w:spacing w:after="0" w:line="360" w:lineRule="auto"/>
        <w:jc w:val="both"/>
        <w:rPr>
          <w:rFonts w:ascii="Arial" w:eastAsia="Times New Roman" w:hAnsi="Arial" w:cs="Arial"/>
          <w:sz w:val="24"/>
          <w:szCs w:val="24"/>
        </w:rPr>
      </w:pPr>
      <w:r>
        <w:rPr>
          <w:rFonts w:ascii="Arial" w:eastAsia="Times New Roman" w:hAnsi="Arial" w:cs="Arial"/>
          <w:sz w:val="24"/>
          <w:szCs w:val="24"/>
        </w:rPr>
        <w:t>Asimismo, tras el proceso de evaluación realizado, se valora favorablemente la propuesta del convenio, destacando la idoneidad de su diseño y desarrollo por parte de una entidad especializada, cuya sensibilidad, estructura metodológica, adecuación de los recursos financieros y respaldo del equipo técnico garantizan la eficacia y sostenibilidad de la intervención.</w:t>
      </w:r>
    </w:p>
    <w:p>
      <w:pPr>
        <w:spacing w:after="0" w:line="36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40" w:lineRule="auto"/>
        <w:jc w:val="both"/>
      </w:pPr>
    </w:p>
    <w:p>
      <w:pPr>
        <w:spacing w:after="0" w:line="259" w:lineRule="auto"/>
        <w:jc w:val="both"/>
        <w:rPr>
          <w:rFonts w:eastAsia="Times New Roman"/>
          <w:i/>
          <w:sz w:val="28"/>
          <w:szCs w:val="28"/>
        </w:rPr>
      </w:pPr>
      <w:r>
        <w:rPr>
          <w:rFonts w:eastAsia="Times New Roman"/>
          <w:i/>
          <w:sz w:val="28"/>
          <w:szCs w:val="28"/>
        </w:rPr>
        <w:t>Desde el Programa Oblatas Daniela queremos expresar nuestro más sincero reconocimiento y gratitud a todas las entidades que, con su colaboración y respaldo, han hecho posible el desarrollo de las acciones y proyectos recogidos en esta memoria.</w:t>
      </w:r>
    </w:p>
    <w:p>
      <w:pPr>
        <w:spacing w:after="0" w:line="259" w:lineRule="auto"/>
        <w:jc w:val="both"/>
        <w:rPr>
          <w:rFonts w:eastAsia="Times New Roman"/>
          <w:i/>
          <w:sz w:val="28"/>
          <w:szCs w:val="28"/>
        </w:rPr>
      </w:pPr>
      <w:r>
        <w:rPr>
          <w:rFonts w:eastAsia="Times New Roman"/>
          <w:i/>
          <w:sz w:val="28"/>
          <w:szCs w:val="28"/>
        </w:rPr>
        <w:t>Su confianza y compromiso han sido fundamentales para avanzar en los objetivos planteados y para generar oportunidades de cambio y mejora en la vida de numerosas mujeres, sus hijos e hijas, así como en el conjunto de la comunidad.</w:t>
      </w:r>
    </w:p>
    <w:p>
      <w:pPr>
        <w:spacing w:after="0" w:line="259" w:lineRule="auto"/>
        <w:jc w:val="both"/>
        <w:rPr>
          <w:rFonts w:eastAsia="Times New Roman"/>
          <w:i/>
          <w:sz w:val="28"/>
          <w:szCs w:val="28"/>
        </w:rPr>
      </w:pPr>
      <w:r>
        <w:rPr>
          <w:rFonts w:eastAsia="Times New Roman"/>
          <w:i/>
          <w:sz w:val="28"/>
          <w:szCs w:val="28"/>
        </w:rPr>
        <w:t>Valoramos especialmente la implicación de cada una de las organizaciones que nos acompañan en este camino y que contribuyen a construir una sociedad más justa e igualitaria, favoreciendo la protección, la autonomía, la recuperación y el bienestar de las personas atendidas.</w:t>
      </w:r>
    </w:p>
    <w:p>
      <w:pPr>
        <w:spacing w:after="0" w:line="259" w:lineRule="auto"/>
        <w:jc w:val="both"/>
        <w:rPr>
          <w:rFonts w:eastAsia="Times New Roman"/>
          <w:i/>
          <w:sz w:val="28"/>
          <w:szCs w:val="28"/>
        </w:rPr>
      </w:pPr>
      <w:r>
        <w:rPr>
          <w:rFonts w:eastAsia="Times New Roman"/>
          <w:b/>
          <w:i/>
          <w:color w:val="365F91" w:themeColor="accent1" w:themeShade="BF"/>
          <w:sz w:val="28"/>
          <w:szCs w:val="28"/>
        </w:rPr>
        <w:t>GRACIAS</w:t>
      </w:r>
      <w:r>
        <w:rPr>
          <w:rFonts w:eastAsia="Times New Roman"/>
          <w:i/>
          <w:sz w:val="28"/>
          <w:szCs w:val="28"/>
        </w:rPr>
        <w:t xml:space="preserve"> por formar parte de este proyecto y por hacer posible, junto a nosotras, que cada acción se traduzca en nuevas oportunidades y en un futuro con mayor dignidad e igualdad.</w:t>
      </w:r>
    </w:p>
    <w:p>
      <w:pPr>
        <w:spacing w:after="0" w:line="259" w:lineRule="auto"/>
        <w:jc w:val="both"/>
      </w:pPr>
    </w:p>
    <w:p>
      <w:pPr>
        <w:spacing w:after="0" w:line="259" w:lineRule="auto"/>
        <w:jc w:val="both"/>
      </w:pPr>
    </w:p>
    <w:p>
      <w:pPr>
        <w:jc w:val="center"/>
        <w:rPr>
          <w:rFonts w:eastAsia="Times New Roman"/>
          <w:b/>
          <w:noProof/>
          <w:lang w:eastAsia="es-ES"/>
        </w:rPr>
      </w:pPr>
      <w:r>
        <w:rPr>
          <w:b/>
          <w:noProof/>
          <w:lang w:eastAsia="es-ES"/>
        </w:rPr>
        <w:drawing>
          <wp:inline distT="0" distB="0" distL="0" distR="0">
            <wp:extent cx="1549021" cy="414431"/>
            <wp:effectExtent l="0" t="0" r="0" b="508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7098" cy="440671"/>
                    </a:xfrm>
                    <a:prstGeom prst="rect">
                      <a:avLst/>
                    </a:prstGeom>
                    <a:noFill/>
                  </pic:spPr>
                </pic:pic>
              </a:graphicData>
            </a:graphic>
          </wp:inline>
        </w:drawing>
      </w:r>
      <w:r>
        <w:rPr>
          <w:rFonts w:eastAsia="Times New Roman"/>
          <w:b/>
          <w:noProof/>
          <w:lang w:eastAsia="es-ES"/>
        </w:rPr>
        <w:t xml:space="preserve">      </w:t>
      </w:r>
      <w:r>
        <w:rPr>
          <w:rFonts w:eastAsia="Times New Roman"/>
          <w:b/>
          <w:noProof/>
          <w:lang w:eastAsia="es-ES"/>
        </w:rPr>
        <w:drawing>
          <wp:inline distT="0" distB="0" distL="0" distR="0">
            <wp:extent cx="598785" cy="451352"/>
            <wp:effectExtent l="0" t="0" r="0" b="6350"/>
            <wp:docPr id="14"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3226" cy="469775"/>
                    </a:xfrm>
                    <a:prstGeom prst="rect">
                      <a:avLst/>
                    </a:prstGeom>
                    <a:noFill/>
                  </pic:spPr>
                </pic:pic>
              </a:graphicData>
            </a:graphic>
          </wp:inline>
        </w:drawing>
      </w:r>
      <w:r>
        <w:rPr>
          <w:b/>
          <w:noProof/>
          <w:lang w:eastAsia="es-ES"/>
        </w:rPr>
        <w:t xml:space="preserve"> </w:t>
      </w:r>
      <w:r>
        <w:rPr>
          <w:rFonts w:eastAsia="Times New Roman"/>
          <w:b/>
          <w:noProof/>
          <w:lang w:eastAsia="es-ES"/>
        </w:rPr>
        <w:t xml:space="preserve">    </w:t>
      </w:r>
      <w:r>
        <w:rPr>
          <w:rFonts w:eastAsia="Times New Roman"/>
          <w:b/>
          <w:noProof/>
          <w:lang w:eastAsia="es-ES"/>
        </w:rPr>
        <w:drawing>
          <wp:inline distT="0" distB="0" distL="0" distR="0">
            <wp:extent cx="764650" cy="447248"/>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81425" cy="457060"/>
                    </a:xfrm>
                    <a:prstGeom prst="rect">
                      <a:avLst/>
                    </a:prstGeom>
                    <a:noFill/>
                  </pic:spPr>
                </pic:pic>
              </a:graphicData>
            </a:graphic>
          </wp:inline>
        </w:drawing>
      </w:r>
      <w:r>
        <w:rPr>
          <w:b/>
          <w:noProof/>
          <w:lang w:eastAsia="es-ES"/>
        </w:rPr>
        <w:t xml:space="preserve"> </w:t>
      </w:r>
      <w:r>
        <w:rPr>
          <w:rFonts w:eastAsia="Times New Roman"/>
          <w:b/>
          <w:noProof/>
          <w:lang w:eastAsia="es-ES"/>
        </w:rPr>
        <w:t xml:space="preserve">     </w:t>
      </w:r>
      <w:r>
        <w:rPr>
          <w:rFonts w:eastAsia="Times New Roman"/>
          <w:b/>
          <w:noProof/>
          <w:lang w:eastAsia="es-ES"/>
        </w:rPr>
        <w:drawing>
          <wp:inline distT="0" distB="0" distL="0" distR="0">
            <wp:extent cx="1094208" cy="356254"/>
            <wp:effectExtent l="0" t="0" r="0" b="571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197501" cy="389884"/>
                    </a:xfrm>
                    <a:prstGeom prst="rect">
                      <a:avLst/>
                    </a:prstGeom>
                    <a:noFill/>
                  </pic:spPr>
                </pic:pic>
              </a:graphicData>
            </a:graphic>
          </wp:inline>
        </w:drawing>
      </w:r>
      <w:r>
        <w:rPr>
          <w:rFonts w:eastAsia="Times New Roman"/>
          <w:b/>
          <w:noProof/>
          <w:lang w:eastAsia="es-ES"/>
        </w:rPr>
        <w:t xml:space="preserve">   </w:t>
      </w:r>
    </w:p>
    <w:p>
      <w:pPr>
        <w:jc w:val="center"/>
        <w:rPr>
          <w:b/>
          <w:noProof/>
          <w:lang w:eastAsia="es-ES"/>
        </w:rPr>
      </w:pPr>
      <w:r>
        <w:rPr>
          <w:b/>
          <w:noProof/>
          <w:lang w:eastAsia="es-ES"/>
        </w:rPr>
        <w:drawing>
          <wp:inline distT="0" distB="0" distL="0" distR="0">
            <wp:extent cx="1895693" cy="389942"/>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46749" cy="441584"/>
                    </a:xfrm>
                    <a:prstGeom prst="rect">
                      <a:avLst/>
                    </a:prstGeom>
                    <a:noFill/>
                    <a:ln>
                      <a:noFill/>
                    </a:ln>
                  </pic:spPr>
                </pic:pic>
              </a:graphicData>
            </a:graphic>
          </wp:inline>
        </w:drawing>
      </w:r>
      <w:r>
        <w:rPr>
          <w:b/>
          <w:noProof/>
          <w:lang w:eastAsia="es-ES"/>
        </w:rPr>
        <w:t xml:space="preserve">     </w:t>
      </w:r>
      <w:r>
        <w:rPr>
          <w:b/>
          <w:noProof/>
          <w:lang w:eastAsia="es-ES"/>
        </w:rPr>
        <w:drawing>
          <wp:inline distT="0" distB="0" distL="0" distR="0">
            <wp:extent cx="1057702" cy="364375"/>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99853" cy="378896"/>
                    </a:xfrm>
                    <a:prstGeom prst="rect">
                      <a:avLst/>
                    </a:prstGeom>
                    <a:noFill/>
                    <a:ln>
                      <a:noFill/>
                    </a:ln>
                  </pic:spPr>
                </pic:pic>
              </a:graphicData>
            </a:graphic>
          </wp:inline>
        </w:drawing>
      </w:r>
      <w:r>
        <w:rPr>
          <w:b/>
          <w:noProof/>
          <w:lang w:eastAsia="es-ES"/>
        </w:rPr>
        <w:t xml:space="preserve">      </w:t>
      </w:r>
      <w:r>
        <w:rPr>
          <w:b/>
          <w:noProof/>
          <w:lang w:eastAsia="es-ES"/>
        </w:rPr>
        <w:drawing>
          <wp:inline distT="0" distB="0" distL="0" distR="0">
            <wp:extent cx="941696" cy="352016"/>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96937" cy="372666"/>
                    </a:xfrm>
                    <a:prstGeom prst="rect">
                      <a:avLst/>
                    </a:prstGeom>
                    <a:noFill/>
                    <a:ln>
                      <a:noFill/>
                    </a:ln>
                  </pic:spPr>
                </pic:pic>
              </a:graphicData>
            </a:graphic>
          </wp:inline>
        </w:drawing>
      </w:r>
    </w:p>
    <w:p>
      <w:pPr>
        <w:ind w:left="708" w:firstLine="708"/>
        <w:jc w:val="center"/>
        <w:rPr>
          <w:b/>
          <w:noProof/>
          <w:lang w:eastAsia="es-ES"/>
        </w:rPr>
      </w:pPr>
      <w:r>
        <w:rPr>
          <w:b/>
          <w:noProof/>
          <w:lang w:eastAsia="es-ES"/>
        </w:rPr>
        <w:drawing>
          <wp:inline distT="0" distB="0" distL="0" distR="0">
            <wp:extent cx="900999" cy="459338"/>
            <wp:effectExtent l="0" t="0" r="0" b="0"/>
            <wp:docPr id="40"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64858" cy="491894"/>
                    </a:xfrm>
                    <a:prstGeom prst="rect">
                      <a:avLst/>
                    </a:prstGeom>
                    <a:noFill/>
                  </pic:spPr>
                </pic:pic>
              </a:graphicData>
            </a:graphic>
          </wp:inline>
        </w:drawing>
      </w:r>
      <w:r>
        <w:rPr>
          <w:b/>
          <w:noProof/>
          <w:lang w:eastAsia="es-ES"/>
        </w:rPr>
        <w:t xml:space="preserve">             </w:t>
      </w:r>
      <w:r>
        <w:rPr>
          <w:b/>
          <w:noProof/>
          <w:lang w:eastAsia="es-ES"/>
        </w:rPr>
        <w:drawing>
          <wp:inline distT="0" distB="0" distL="0" distR="0">
            <wp:extent cx="405633" cy="4572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12339" cy="464759"/>
                    </a:xfrm>
                    <a:prstGeom prst="rect">
                      <a:avLst/>
                    </a:prstGeom>
                    <a:noFill/>
                    <a:ln>
                      <a:noFill/>
                    </a:ln>
                  </pic:spPr>
                </pic:pic>
              </a:graphicData>
            </a:graphic>
          </wp:inline>
        </w:drawing>
      </w:r>
    </w:p>
    <w:p>
      <w:pPr>
        <w:jc w:val="center"/>
        <w:rPr>
          <w:rFonts w:eastAsia="Times New Roman"/>
          <w:noProof/>
          <w:lang w:eastAsia="es-ES"/>
        </w:rPr>
      </w:pPr>
      <w:r>
        <w:rPr>
          <w:rFonts w:eastAsia="Times New Roman"/>
          <w:noProof/>
          <w:lang w:eastAsia="es-ES"/>
        </w:rPr>
        <w:drawing>
          <wp:inline distT="0" distB="0" distL="0" distR="0">
            <wp:extent cx="1374243" cy="382375"/>
            <wp:effectExtent l="19050" t="0" r="0" b="0"/>
            <wp:docPr id="4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60228" cy="434124"/>
                    </a:xfrm>
                    <a:prstGeom prst="rect">
                      <a:avLst/>
                    </a:prstGeom>
                    <a:noFill/>
                  </pic:spPr>
                </pic:pic>
              </a:graphicData>
            </a:graphic>
          </wp:inline>
        </w:drawing>
      </w:r>
      <w:r>
        <w:rPr>
          <w:rFonts w:eastAsia="Times New Roman"/>
          <w:noProof/>
          <w:lang w:eastAsia="es-ES"/>
        </w:rPr>
        <w:t xml:space="preserve">     </w:t>
      </w:r>
      <w:r>
        <w:rPr>
          <w:rFonts w:eastAsia="Times New Roman"/>
          <w:noProof/>
          <w:lang w:eastAsia="es-ES"/>
        </w:rPr>
        <w:drawing>
          <wp:inline distT="0" distB="0" distL="0" distR="0">
            <wp:extent cx="1152250" cy="344707"/>
            <wp:effectExtent l="19050" t="0" r="0" b="0"/>
            <wp:docPr id="50"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21559" cy="365442"/>
                    </a:xfrm>
                    <a:prstGeom prst="rect">
                      <a:avLst/>
                    </a:prstGeom>
                    <a:noFill/>
                  </pic:spPr>
                </pic:pic>
              </a:graphicData>
            </a:graphic>
          </wp:inline>
        </w:drawing>
      </w:r>
      <w:r>
        <w:rPr>
          <w:rFonts w:eastAsia="Times New Roman"/>
          <w:noProof/>
          <w:lang w:eastAsia="es-ES"/>
        </w:rPr>
        <w:t xml:space="preserve">   </w:t>
      </w:r>
      <w:r>
        <w:rPr>
          <w:rFonts w:eastAsia="Times New Roman"/>
          <w:noProof/>
          <w:lang w:eastAsia="es-ES"/>
        </w:rPr>
        <w:drawing>
          <wp:inline distT="0" distB="0" distL="0" distR="0">
            <wp:extent cx="539306" cy="385845"/>
            <wp:effectExtent l="19050" t="0" r="0" b="0"/>
            <wp:docPr id="51" name="Imagen 3" descr="Z:\Administración-Gestion\SUBVENCIONES\Subvenciones 2020\FUNDACIÓN SERRA-SCHÓNTHAL\Logo Fundación Serra-Schönth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dministración-Gestion\SUBVENCIONES\Subvenciones 2020\FUNDACIÓN SERRA-SCHÓNTHAL\Logo Fundación Serra-Schönthal.png"/>
                    <pic:cNvPicPr>
                      <a:picLocks noChangeAspect="1" noChangeArrowheads="1"/>
                    </pic:cNvPicPr>
                  </pic:nvPicPr>
                  <pic:blipFill>
                    <a:blip r:embed="rId103"/>
                    <a:srcRect/>
                    <a:stretch>
                      <a:fillRect/>
                    </a:stretch>
                  </pic:blipFill>
                  <pic:spPr bwMode="auto">
                    <a:xfrm>
                      <a:off x="0" y="0"/>
                      <a:ext cx="577044" cy="412845"/>
                    </a:xfrm>
                    <a:prstGeom prst="rect">
                      <a:avLst/>
                    </a:prstGeom>
                    <a:noFill/>
                    <a:ln w="9525">
                      <a:noFill/>
                      <a:miter lim="800000"/>
                      <a:headEnd/>
                      <a:tailEnd/>
                    </a:ln>
                  </pic:spPr>
                </pic:pic>
              </a:graphicData>
            </a:graphic>
          </wp:inline>
        </w:drawing>
      </w:r>
      <w:r>
        <w:rPr>
          <w:rFonts w:eastAsia="Times New Roman"/>
          <w:noProof/>
          <w:lang w:eastAsia="es-ES"/>
        </w:rPr>
        <w:t xml:space="preserve">        </w:t>
      </w:r>
      <w:r>
        <w:rPr>
          <w:rFonts w:eastAsia="Times New Roman"/>
          <w:noProof/>
          <w:lang w:eastAsia="es-ES"/>
        </w:rPr>
        <w:drawing>
          <wp:inline distT="0" distB="0" distL="0" distR="0">
            <wp:extent cx="566382" cy="401187"/>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0445" cy="418231"/>
                    </a:xfrm>
                    <a:prstGeom prst="rect">
                      <a:avLst/>
                    </a:prstGeom>
                    <a:noFill/>
                  </pic:spPr>
                </pic:pic>
              </a:graphicData>
            </a:graphic>
          </wp:inline>
        </w:drawing>
      </w:r>
    </w:p>
    <w:p>
      <w:pPr>
        <w:jc w:val="center"/>
        <w:rPr>
          <w:rFonts w:eastAsia="Times New Roman"/>
          <w:noProof/>
          <w:lang w:eastAsia="es-ES"/>
        </w:rPr>
      </w:pPr>
    </w:p>
    <w:p>
      <w:pPr>
        <w:rPr>
          <w:rFonts w:eastAsia="Times New Roman"/>
          <w:noProof/>
          <w:lang w:eastAsia="es-ES"/>
        </w:rPr>
      </w:pPr>
    </w:p>
    <w:sectPr>
      <w:headerReference w:type="default" r:id="rId105"/>
      <w:footerReference w:type="default" r:id="rId106"/>
      <w:pgSz w:w="11906" w:h="16838"/>
      <w:pgMar w:top="2268" w:right="1701" w:bottom="1701" w:left="993"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adeGothic-Light">
    <w:panose1 w:val="00000000000000000000"/>
    <w:charset w:val="00"/>
    <w:family w:val="swiss"/>
    <w:notTrueType/>
    <w:pitch w:val="default"/>
    <w:sig w:usb0="00000003" w:usb1="00000000" w:usb2="00000000" w:usb3="00000000" w:csb0="00000001" w:csb1="00000000"/>
  </w:font>
  <w:font w:name="Sitka Small">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font>
  <w:font w:name="Mangal">
    <w:panose1 w:val="00000400000000000000"/>
    <w:charset w:val="00"/>
    <w:family w:val="roman"/>
    <w:pitch w:val="variable"/>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jc w:val="center"/>
      <w:rPr>
        <w:b/>
        <w:i/>
        <w:color w:val="7030A0"/>
        <w:sz w:val="24"/>
        <w:szCs w:val="24"/>
      </w:rPr>
    </w:pPr>
    <w:r>
      <w:rPr>
        <w:b/>
        <w:i/>
        <w:color w:val="7030A0"/>
        <w:sz w:val="24"/>
        <w:szCs w:val="24"/>
      </w:rPr>
      <w:t>Memoria de Actividades 2025</w:t>
    </w:r>
  </w:p>
  <w:p>
    <w:pPr>
      <w:pStyle w:val="Piedepgina"/>
      <w:jc w:val="center"/>
      <w:rPr>
        <w:color w:val="E36C0A" w:themeColor="accent6" w:themeShade="B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387999"/>
      <w:docPartObj>
        <w:docPartGallery w:val="Page Numbers (Top of Page)"/>
        <w:docPartUnique/>
      </w:docPartObj>
    </w:sdtPr>
    <w:sdtContent>
      <w:p>
        <w:pPr>
          <w:pStyle w:val="Encabezado"/>
          <w:jc w:val="center"/>
        </w:pPr>
        <w:r>
          <w:fldChar w:fldCharType="begin"/>
        </w:r>
        <w:r>
          <w:instrText>PAGE   \* MERGEFORMAT</w:instrText>
        </w:r>
        <w:r>
          <w:fldChar w:fldCharType="separate"/>
        </w:r>
        <w:r>
          <w:rPr>
            <w:noProof/>
          </w:rPr>
          <w:t>7</w:t>
        </w:r>
        <w:r>
          <w:fldChar w:fldCharType="end"/>
        </w:r>
      </w:p>
    </w:sdtContent>
  </w:sdt>
  <w:p>
    <w:pPr>
      <w:pStyle w:val="Encabezado"/>
    </w:pPr>
    <w:r>
      <w:rPr>
        <w:noProof/>
        <w:lang w:eastAsia="es-ES"/>
      </w:rPr>
      <w:drawing>
        <wp:inline distT="0" distB="0" distL="0" distR="0">
          <wp:extent cx="1670400" cy="885453"/>
          <wp:effectExtent l="0" t="0" r="6350" b="0"/>
          <wp:docPr id="33" name="Imagen 33" descr="Z:\Administración-Gestion\3.- ÁNGELES ESCRITORIO\DOCUMENTOS FRECUENTES\2.- LOGOS\2026 LOGOS INSTITUCIONALES\Logo fondo blanco Daniela  PARA SUBVENCIONADORES PRIVADO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dministración-Gestion\3.- ÁNGELES ESCRITORIO\DOCUMENTOS FRECUENTES\2.- LOGOS\2026 LOGOS INSTITUCIONALES\Logo fondo blanco Daniela  PARA SUBVENCIONADORES PRIVADOS.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807" cy="905812"/>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8pt;height:10.8pt" o:bullet="t">
        <v:imagedata r:id="rId1" o:title="msoD354"/>
      </v:shape>
    </w:pict>
  </w:numPicBullet>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Wingdings" w:hAnsi="Wingdings" w:cs="Wingdings" w:hint="default"/>
        <w:color w:val="auto"/>
      </w:rPr>
    </w:lvl>
  </w:abstractNum>
  <w:abstractNum w:abstractNumId="1" w15:restartNumberingAfterBreak="0">
    <w:nsid w:val="00000002"/>
    <w:multiLevelType w:val="singleLevel"/>
    <w:tmpl w:val="00000002"/>
    <w:name w:val="WW8Num2"/>
    <w:lvl w:ilvl="0">
      <w:start w:val="6"/>
      <w:numFmt w:val="bullet"/>
      <w:lvlText w:val="-"/>
      <w:lvlJc w:val="left"/>
      <w:pPr>
        <w:tabs>
          <w:tab w:val="num" w:pos="0"/>
        </w:tabs>
        <w:ind w:left="720" w:hanging="360"/>
      </w:pPr>
      <w:rPr>
        <w:rFonts w:ascii="Calibri" w:hAnsi="Calibri" w:cs="Calibri"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hint="default"/>
        <w:sz w:val="24"/>
        <w:szCs w:val="24"/>
      </w:rPr>
    </w:lvl>
  </w:abstractNum>
  <w:abstractNum w:abstractNumId="3" w15:restartNumberingAfterBreak="0">
    <w:nsid w:val="012642ED"/>
    <w:multiLevelType w:val="hybridMultilevel"/>
    <w:tmpl w:val="946670A6"/>
    <w:lvl w:ilvl="0" w:tplc="0C0A000D">
      <w:start w:val="1"/>
      <w:numFmt w:val="bullet"/>
      <w:lvlText w:val=""/>
      <w:lvlJc w:val="left"/>
      <w:pPr>
        <w:ind w:left="502"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46A07A6"/>
    <w:multiLevelType w:val="hybridMultilevel"/>
    <w:tmpl w:val="5AF02076"/>
    <w:lvl w:ilvl="0" w:tplc="0C0A000D">
      <w:start w:val="1"/>
      <w:numFmt w:val="bullet"/>
      <w:lvlText w:val=""/>
      <w:lvlJc w:val="left"/>
      <w:pPr>
        <w:ind w:left="2484" w:hanging="360"/>
      </w:pPr>
      <w:rPr>
        <w:rFonts w:ascii="Wingdings" w:hAnsi="Wingdings" w:hint="default"/>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5" w15:restartNumberingAfterBreak="0">
    <w:nsid w:val="04F85AE8"/>
    <w:multiLevelType w:val="hybridMultilevel"/>
    <w:tmpl w:val="DF1247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5966F6B"/>
    <w:multiLevelType w:val="multilevel"/>
    <w:tmpl w:val="0C0A001F"/>
    <w:styleLink w:val="Estilo1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68C5BC1"/>
    <w:multiLevelType w:val="hybridMultilevel"/>
    <w:tmpl w:val="0BFE64B8"/>
    <w:lvl w:ilvl="0" w:tplc="7A547876">
      <w:numFmt w:val="bullet"/>
      <w:lvlText w:val="-"/>
      <w:lvlJc w:val="left"/>
      <w:pPr>
        <w:ind w:left="1080" w:hanging="360"/>
      </w:pPr>
      <w:rPr>
        <w:rFonts w:ascii="Calibri" w:eastAsia="Times New Roman" w:hAnsi="Calibri" w:cs="Times New Roman" w:hint="default"/>
      </w:rPr>
    </w:lvl>
    <w:lvl w:ilvl="1" w:tplc="0C0A0003">
      <w:start w:val="1"/>
      <w:numFmt w:val="bullet"/>
      <w:lvlText w:val="o"/>
      <w:lvlJc w:val="left"/>
      <w:pPr>
        <w:ind w:left="1800" w:hanging="360"/>
      </w:pPr>
      <w:rPr>
        <w:rFonts w:ascii="Courier New" w:hAnsi="Courier New" w:cs="Times New Roman"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Times New Roman"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Times New Roman" w:hint="default"/>
      </w:rPr>
    </w:lvl>
    <w:lvl w:ilvl="8" w:tplc="0C0A0005">
      <w:start w:val="1"/>
      <w:numFmt w:val="bullet"/>
      <w:lvlText w:val=""/>
      <w:lvlJc w:val="left"/>
      <w:pPr>
        <w:ind w:left="6840" w:hanging="360"/>
      </w:pPr>
      <w:rPr>
        <w:rFonts w:ascii="Wingdings" w:hAnsi="Wingdings" w:hint="default"/>
      </w:rPr>
    </w:lvl>
  </w:abstractNum>
  <w:abstractNum w:abstractNumId="8" w15:restartNumberingAfterBreak="0">
    <w:nsid w:val="086834A1"/>
    <w:multiLevelType w:val="hybridMultilevel"/>
    <w:tmpl w:val="79040BF2"/>
    <w:lvl w:ilvl="0" w:tplc="BA049B80">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9122F06"/>
    <w:multiLevelType w:val="multilevel"/>
    <w:tmpl w:val="641E429A"/>
    <w:lvl w:ilvl="0">
      <w:numFmt w:val="bullet"/>
      <w:lvlText w:val=""/>
      <w:lvlJc w:val="left"/>
      <w:pPr>
        <w:ind w:left="360" w:hanging="360"/>
      </w:pPr>
      <w:rPr>
        <w:rFonts w:ascii="Symbol" w:hAnsi="Symbol"/>
        <w:sz w:val="20"/>
      </w:rPr>
    </w:lvl>
    <w:lvl w:ilvl="1">
      <w:numFmt w:val="bullet"/>
      <w:lvlText w:val="o"/>
      <w:lvlJc w:val="left"/>
      <w:pPr>
        <w:ind w:left="1080" w:hanging="360"/>
      </w:pPr>
      <w:rPr>
        <w:rFonts w:ascii="Courier New" w:hAnsi="Courier New" w:cs="Courier New"/>
        <w:sz w:val="20"/>
      </w:rPr>
    </w:lvl>
    <w:lvl w:ilvl="2">
      <w:numFmt w:val="bullet"/>
      <w:lvlText w:val=""/>
      <w:lvlJc w:val="left"/>
      <w:pPr>
        <w:ind w:left="1800" w:hanging="360"/>
      </w:pPr>
      <w:rPr>
        <w:rFonts w:ascii="Wingdings" w:hAnsi="Wingdings"/>
        <w:sz w:val="20"/>
      </w:rPr>
    </w:lvl>
    <w:lvl w:ilvl="3">
      <w:numFmt w:val="bullet"/>
      <w:lvlText w:val=""/>
      <w:lvlJc w:val="left"/>
      <w:pPr>
        <w:ind w:left="2520" w:hanging="360"/>
      </w:pPr>
      <w:rPr>
        <w:rFonts w:ascii="Wingdings" w:hAnsi="Wingdings"/>
        <w:sz w:val="20"/>
      </w:rPr>
    </w:lvl>
    <w:lvl w:ilvl="4">
      <w:numFmt w:val="bullet"/>
      <w:lvlText w:val=""/>
      <w:lvlJc w:val="left"/>
      <w:pPr>
        <w:ind w:left="3240" w:hanging="360"/>
      </w:pPr>
      <w:rPr>
        <w:rFonts w:ascii="Wingdings" w:hAnsi="Wingdings"/>
        <w:sz w:val="20"/>
      </w:rPr>
    </w:lvl>
    <w:lvl w:ilvl="5">
      <w:numFmt w:val="bullet"/>
      <w:lvlText w:val=""/>
      <w:lvlJc w:val="left"/>
      <w:pPr>
        <w:ind w:left="3960" w:hanging="360"/>
      </w:pPr>
      <w:rPr>
        <w:rFonts w:ascii="Wingdings" w:hAnsi="Wingdings"/>
        <w:sz w:val="20"/>
      </w:rPr>
    </w:lvl>
    <w:lvl w:ilvl="6">
      <w:numFmt w:val="bullet"/>
      <w:lvlText w:val=""/>
      <w:lvlJc w:val="left"/>
      <w:pPr>
        <w:ind w:left="4680" w:hanging="360"/>
      </w:pPr>
      <w:rPr>
        <w:rFonts w:ascii="Wingdings" w:hAnsi="Wingdings"/>
        <w:sz w:val="20"/>
      </w:rPr>
    </w:lvl>
    <w:lvl w:ilvl="7">
      <w:numFmt w:val="bullet"/>
      <w:lvlText w:val=""/>
      <w:lvlJc w:val="left"/>
      <w:pPr>
        <w:ind w:left="5400" w:hanging="360"/>
      </w:pPr>
      <w:rPr>
        <w:rFonts w:ascii="Wingdings" w:hAnsi="Wingdings"/>
        <w:sz w:val="20"/>
      </w:rPr>
    </w:lvl>
    <w:lvl w:ilvl="8">
      <w:numFmt w:val="bullet"/>
      <w:lvlText w:val=""/>
      <w:lvlJc w:val="left"/>
      <w:pPr>
        <w:ind w:left="6120" w:hanging="360"/>
      </w:pPr>
      <w:rPr>
        <w:rFonts w:ascii="Wingdings" w:hAnsi="Wingdings"/>
        <w:sz w:val="20"/>
      </w:rPr>
    </w:lvl>
  </w:abstractNum>
  <w:abstractNum w:abstractNumId="10" w15:restartNumberingAfterBreak="0">
    <w:nsid w:val="0BE74D7C"/>
    <w:multiLevelType w:val="hybridMultilevel"/>
    <w:tmpl w:val="BBA4289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EF32124"/>
    <w:multiLevelType w:val="hybridMultilevel"/>
    <w:tmpl w:val="10060688"/>
    <w:lvl w:ilvl="0" w:tplc="3BFA578C">
      <w:start w:val="5"/>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FB67847"/>
    <w:multiLevelType w:val="multilevel"/>
    <w:tmpl w:val="FEA244B2"/>
    <w:lvl w:ilvl="0">
      <w:start w:val="1"/>
      <w:numFmt w:val="decimal"/>
      <w:lvlText w:val="%1."/>
      <w:lvlJc w:val="left"/>
      <w:pPr>
        <w:ind w:left="360" w:hanging="360"/>
      </w:pPr>
      <w:rPr>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FCD6184"/>
    <w:multiLevelType w:val="multilevel"/>
    <w:tmpl w:val="C130DB74"/>
    <w:styleLink w:val="WWNum20"/>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15:restartNumberingAfterBreak="0">
    <w:nsid w:val="10553DB5"/>
    <w:multiLevelType w:val="hybridMultilevel"/>
    <w:tmpl w:val="1AB046F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0CB6B4D"/>
    <w:multiLevelType w:val="multilevel"/>
    <w:tmpl w:val="4E34AFFE"/>
    <w:styleLink w:val="WWNum16"/>
    <w:lvl w:ilvl="0">
      <w:numFmt w:val="bullet"/>
      <w:lvlText w:val="•"/>
      <w:lvlJc w:val="left"/>
      <w:rPr>
        <w:rFonts w:ascii="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112E37C3"/>
    <w:multiLevelType w:val="multilevel"/>
    <w:tmpl w:val="921A6A1E"/>
    <w:styleLink w:val="WWNum711"/>
    <w:lvl w:ilvl="0">
      <w:start w:val="1"/>
      <w:numFmt w:val="decimal"/>
      <w:lvlText w:val="%1."/>
      <w:lvlJc w:val="left"/>
      <w:pPr>
        <w:ind w:left="720" w:hanging="360"/>
      </w:pPr>
    </w:lvl>
    <w:lvl w:ilvl="1">
      <w:start w:val="5"/>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16E501E"/>
    <w:multiLevelType w:val="multilevel"/>
    <w:tmpl w:val="D08293CE"/>
    <w:styleLink w:val="WWNum8"/>
    <w:lvl w:ilvl="0">
      <w:numFmt w:val="bullet"/>
      <w:lvlText w:val=""/>
      <w:lvlJc w:val="left"/>
      <w:rPr>
        <w:rFonts w:ascii="Symbol" w:hAnsi="Symbol" w:cs="Times New Roman"/>
        <w:sz w:val="2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8" w15:restartNumberingAfterBreak="0">
    <w:nsid w:val="11947FD9"/>
    <w:multiLevelType w:val="hybridMultilevel"/>
    <w:tmpl w:val="EBC810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1F0576B"/>
    <w:multiLevelType w:val="hybridMultilevel"/>
    <w:tmpl w:val="0A827090"/>
    <w:lvl w:ilvl="0" w:tplc="4E2E9D88">
      <w:numFmt w:val="bullet"/>
      <w:lvlText w:val="-"/>
      <w:lvlJc w:val="left"/>
      <w:pPr>
        <w:ind w:left="1440" w:hanging="360"/>
      </w:pPr>
      <w:rPr>
        <w:rFonts w:ascii="Calibri" w:eastAsia="Times New Roman" w:hAnsi="Calibri" w:cs="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1224342B"/>
    <w:multiLevelType w:val="hybridMultilevel"/>
    <w:tmpl w:val="0BBC746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24210DE"/>
    <w:multiLevelType w:val="hybridMultilevel"/>
    <w:tmpl w:val="9034BFA2"/>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2" w15:restartNumberingAfterBreak="0">
    <w:nsid w:val="1371042F"/>
    <w:multiLevelType w:val="multilevel"/>
    <w:tmpl w:val="4106DCD2"/>
    <w:lvl w:ilvl="0">
      <w:numFmt w:val="bullet"/>
      <w:lvlText w:val="-"/>
      <w:lvlJc w:val="left"/>
      <w:pPr>
        <w:ind w:left="360" w:hanging="360"/>
      </w:pPr>
      <w:rPr>
        <w:rFonts w:ascii="Calibri" w:eastAsia="Calibri" w:hAnsi="Calibri" w:cs="Times New Roman"/>
        <w:b/>
      </w:rPr>
    </w:lvl>
    <w:lvl w:ilvl="1">
      <w:numFmt w:val="bullet"/>
      <w:lvlText w:val="-"/>
      <w:lvlJc w:val="left"/>
      <w:pPr>
        <w:ind w:left="1080" w:hanging="360"/>
      </w:pPr>
      <w:rPr>
        <w:rFonts w:ascii="Calibri" w:hAnsi="Calibri" w:cs="Calibri"/>
        <w:b/>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23" w15:restartNumberingAfterBreak="0">
    <w:nsid w:val="149A1B7D"/>
    <w:multiLevelType w:val="hybridMultilevel"/>
    <w:tmpl w:val="42BC741E"/>
    <w:lvl w:ilvl="0" w:tplc="395CD6EA">
      <w:start w:val="1"/>
      <w:numFmt w:val="bullet"/>
      <w:lvlText w:val=""/>
      <w:lvlJc w:val="left"/>
      <w:pPr>
        <w:ind w:left="720" w:hanging="360"/>
      </w:pPr>
      <w:rPr>
        <w:rFonts w:ascii="Wingdings" w:hAnsi="Wingdings"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162F39CF"/>
    <w:multiLevelType w:val="hybridMultilevel"/>
    <w:tmpl w:val="E4F8AA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16C06E4F"/>
    <w:multiLevelType w:val="multilevel"/>
    <w:tmpl w:val="49A0CB68"/>
    <w:styleLink w:val="WWNum1713"/>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17427A01"/>
    <w:multiLevelType w:val="multilevel"/>
    <w:tmpl w:val="861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567644"/>
    <w:multiLevelType w:val="hybridMultilevel"/>
    <w:tmpl w:val="B44EC568"/>
    <w:lvl w:ilvl="0" w:tplc="3FAE6BF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75D7BEC"/>
    <w:multiLevelType w:val="hybridMultilevel"/>
    <w:tmpl w:val="CCC40910"/>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18A34E80"/>
    <w:multiLevelType w:val="hybridMultilevel"/>
    <w:tmpl w:val="252C7D34"/>
    <w:lvl w:ilvl="0" w:tplc="3BFA578C">
      <w:start w:val="5"/>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18A413E0"/>
    <w:multiLevelType w:val="multilevel"/>
    <w:tmpl w:val="724C43EA"/>
    <w:lvl w:ilvl="0">
      <w:numFmt w:val="bullet"/>
      <w:lvlText w:val="-"/>
      <w:lvlJc w:val="left"/>
      <w:pPr>
        <w:ind w:left="720" w:hanging="360"/>
      </w:pPr>
      <w:rPr>
        <w:rFonts w:ascii="Calibri" w:hAnsi="Calibri" w:cs="Calibri"/>
      </w:rPr>
    </w:lvl>
    <w:lvl w:ilvl="1">
      <w:numFmt w:val="bullet"/>
      <w:lvlText w:val="-"/>
      <w:lvlJc w:val="left"/>
      <w:pPr>
        <w:ind w:left="1440" w:hanging="360"/>
      </w:pPr>
      <w:rPr>
        <w:rFonts w:ascii="Calibri" w:hAnsi="Calibri" w:cs="Calibri"/>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198E258A"/>
    <w:multiLevelType w:val="hybridMultilevel"/>
    <w:tmpl w:val="C6CC133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19AF7EB6"/>
    <w:multiLevelType w:val="multilevel"/>
    <w:tmpl w:val="0942776A"/>
    <w:styleLink w:val="WWNum17"/>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3" w15:restartNumberingAfterBreak="0">
    <w:nsid w:val="1A572994"/>
    <w:multiLevelType w:val="hybridMultilevel"/>
    <w:tmpl w:val="7A10395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1CAB78A7"/>
    <w:multiLevelType w:val="multilevel"/>
    <w:tmpl w:val="E594FBBE"/>
    <w:styleLink w:val="WWNum721"/>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1D626BED"/>
    <w:multiLevelType w:val="hybridMultilevel"/>
    <w:tmpl w:val="75108180"/>
    <w:lvl w:ilvl="0" w:tplc="0C0A0005">
      <w:start w:val="1"/>
      <w:numFmt w:val="bullet"/>
      <w:lvlText w:val=""/>
      <w:lvlJc w:val="left"/>
      <w:pPr>
        <w:ind w:left="1429" w:hanging="360"/>
      </w:pPr>
      <w:rPr>
        <w:rFonts w:ascii="Wingdings" w:hAnsi="Wingdings"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6" w15:restartNumberingAfterBreak="0">
    <w:nsid w:val="1DC3673F"/>
    <w:multiLevelType w:val="hybridMultilevel"/>
    <w:tmpl w:val="2FB21D8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1DE75644"/>
    <w:multiLevelType w:val="hybridMultilevel"/>
    <w:tmpl w:val="316C8342"/>
    <w:styleLink w:val="WWNum1411"/>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E62472A"/>
    <w:multiLevelType w:val="multilevel"/>
    <w:tmpl w:val="B6D0DF0C"/>
    <w:lvl w:ilvl="0">
      <w:start w:val="1"/>
      <w:numFmt w:val="decimal"/>
      <w:lvlText w:val="%1."/>
      <w:lvlJc w:val="left"/>
      <w:pPr>
        <w:tabs>
          <w:tab w:val="num" w:pos="360"/>
        </w:tabs>
        <w:ind w:left="360" w:hanging="360"/>
      </w:pPr>
      <w:rPr>
        <w:b w:val="0"/>
        <w:i w:val="0"/>
        <w:sz w:val="24"/>
        <w:szCs w:val="24"/>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9" w15:restartNumberingAfterBreak="0">
    <w:nsid w:val="201D3675"/>
    <w:multiLevelType w:val="multilevel"/>
    <w:tmpl w:val="C8FE5E0A"/>
    <w:styleLink w:val="WWNum3111"/>
    <w:lvl w:ilvl="0">
      <w:numFmt w:val="bullet"/>
      <w:lvlText w:val="-"/>
      <w:lvlJc w:val="left"/>
      <w:pPr>
        <w:ind w:left="720" w:hanging="360"/>
      </w:pPr>
      <w:rPr>
        <w:rFonts w:ascii="Calibri" w:eastAsia="Calibri" w:hAnsi="Calibri"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213C424B"/>
    <w:multiLevelType w:val="multilevel"/>
    <w:tmpl w:val="550C2F2A"/>
    <w:styleLink w:val="WWNum10"/>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1" w15:restartNumberingAfterBreak="0">
    <w:nsid w:val="23CF065C"/>
    <w:multiLevelType w:val="multilevel"/>
    <w:tmpl w:val="3628E3AC"/>
    <w:styleLink w:val="Estilo11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3E413DD"/>
    <w:multiLevelType w:val="hybridMultilevel"/>
    <w:tmpl w:val="74FEC4D8"/>
    <w:styleLink w:val="WWNum81"/>
    <w:lvl w:ilvl="0" w:tplc="0C0A0005">
      <w:start w:val="1"/>
      <w:numFmt w:val="bullet"/>
      <w:lvlText w:val=""/>
      <w:lvlJc w:val="left"/>
      <w:pPr>
        <w:ind w:left="840" w:hanging="360"/>
      </w:pPr>
      <w:rPr>
        <w:rFonts w:ascii="Wingdings" w:hAnsi="Wingdings"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43" w15:restartNumberingAfterBreak="0">
    <w:nsid w:val="24A63ABC"/>
    <w:multiLevelType w:val="hybridMultilevel"/>
    <w:tmpl w:val="E59297F2"/>
    <w:styleLink w:val="WWNum71"/>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44" w15:restartNumberingAfterBreak="0">
    <w:nsid w:val="275110AF"/>
    <w:multiLevelType w:val="hybridMultilevel"/>
    <w:tmpl w:val="6C30D464"/>
    <w:lvl w:ilvl="0" w:tplc="74D20F00">
      <w:start w:val="1"/>
      <w:numFmt w:val="bullet"/>
      <w:lvlText w:val="-"/>
      <w:lvlJc w:val="left"/>
      <w:pPr>
        <w:ind w:left="1800" w:hanging="360"/>
      </w:pPr>
      <w:rPr>
        <w:rFonts w:ascii="Comic Sans MS" w:eastAsia="Times New Roman" w:hAnsi="Comic Sans MS" w:hint="default"/>
        <w:color w:val="auto"/>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5" w15:restartNumberingAfterBreak="0">
    <w:nsid w:val="28A61C67"/>
    <w:multiLevelType w:val="hybridMultilevel"/>
    <w:tmpl w:val="9E966FE2"/>
    <w:styleLink w:val="WWNum311"/>
    <w:lvl w:ilvl="0" w:tplc="3FBA18F2">
      <w:start w:val="20"/>
      <w:numFmt w:val="bullet"/>
      <w:lvlText w:val="-"/>
      <w:lvlJc w:val="left"/>
      <w:pPr>
        <w:tabs>
          <w:tab w:val="num" w:pos="720"/>
        </w:tabs>
        <w:ind w:left="720"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6" w15:restartNumberingAfterBreak="0">
    <w:nsid w:val="299A3EA2"/>
    <w:multiLevelType w:val="multilevel"/>
    <w:tmpl w:val="2CD67D12"/>
    <w:styleLink w:val="WWNum20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7" w15:restartNumberingAfterBreak="0">
    <w:nsid w:val="2ABC1B94"/>
    <w:multiLevelType w:val="multilevel"/>
    <w:tmpl w:val="5BE27B36"/>
    <w:styleLink w:val="WWNum1712"/>
    <w:lvl w:ilvl="0">
      <w:start w:val="1"/>
      <w:numFmt w:val="decimal"/>
      <w:lvlText w:val="%1."/>
      <w:lvlJc w:val="left"/>
      <w:pPr>
        <w:ind w:left="360" w:hanging="360"/>
      </w:pPr>
      <w:rPr>
        <w:rFonts w:cs="TradeGothic-Light" w:hint="default"/>
      </w:rPr>
    </w:lvl>
    <w:lvl w:ilvl="1">
      <w:start w:val="4"/>
      <w:numFmt w:val="decimal"/>
      <w:lvlText w:val="%1.%2."/>
      <w:lvlJc w:val="left"/>
      <w:pPr>
        <w:ind w:left="1080" w:hanging="720"/>
      </w:pPr>
      <w:rPr>
        <w:rFonts w:cs="TradeGothic-Light" w:hint="default"/>
      </w:rPr>
    </w:lvl>
    <w:lvl w:ilvl="2">
      <w:start w:val="1"/>
      <w:numFmt w:val="decimal"/>
      <w:lvlText w:val="%1.%2.%3."/>
      <w:lvlJc w:val="left"/>
      <w:pPr>
        <w:ind w:left="1440" w:hanging="720"/>
      </w:pPr>
      <w:rPr>
        <w:rFonts w:cs="TradeGothic-Light" w:hint="default"/>
      </w:rPr>
    </w:lvl>
    <w:lvl w:ilvl="3">
      <w:start w:val="1"/>
      <w:numFmt w:val="decimal"/>
      <w:lvlText w:val="%1.%2.%3.%4."/>
      <w:lvlJc w:val="left"/>
      <w:pPr>
        <w:ind w:left="2160" w:hanging="1080"/>
      </w:pPr>
      <w:rPr>
        <w:rFonts w:cs="TradeGothic-Light" w:hint="default"/>
      </w:rPr>
    </w:lvl>
    <w:lvl w:ilvl="4">
      <w:start w:val="1"/>
      <w:numFmt w:val="decimal"/>
      <w:lvlText w:val="%1.%2.%3.%4.%5."/>
      <w:lvlJc w:val="left"/>
      <w:pPr>
        <w:ind w:left="2520" w:hanging="1080"/>
      </w:pPr>
      <w:rPr>
        <w:rFonts w:cs="TradeGothic-Light" w:hint="default"/>
      </w:rPr>
    </w:lvl>
    <w:lvl w:ilvl="5">
      <w:start w:val="1"/>
      <w:numFmt w:val="decimal"/>
      <w:lvlText w:val="%1.%2.%3.%4.%5.%6."/>
      <w:lvlJc w:val="left"/>
      <w:pPr>
        <w:ind w:left="3240" w:hanging="1440"/>
      </w:pPr>
      <w:rPr>
        <w:rFonts w:cs="TradeGothic-Light" w:hint="default"/>
      </w:rPr>
    </w:lvl>
    <w:lvl w:ilvl="6">
      <w:start w:val="1"/>
      <w:numFmt w:val="decimal"/>
      <w:lvlText w:val="%1.%2.%3.%4.%5.%6.%7."/>
      <w:lvlJc w:val="left"/>
      <w:pPr>
        <w:ind w:left="3600" w:hanging="1440"/>
      </w:pPr>
      <w:rPr>
        <w:rFonts w:cs="TradeGothic-Light" w:hint="default"/>
      </w:rPr>
    </w:lvl>
    <w:lvl w:ilvl="7">
      <w:start w:val="1"/>
      <w:numFmt w:val="decimal"/>
      <w:lvlText w:val="%1.%2.%3.%4.%5.%6.%7.%8."/>
      <w:lvlJc w:val="left"/>
      <w:pPr>
        <w:ind w:left="4320" w:hanging="1800"/>
      </w:pPr>
      <w:rPr>
        <w:rFonts w:cs="TradeGothic-Light" w:hint="default"/>
      </w:rPr>
    </w:lvl>
    <w:lvl w:ilvl="8">
      <w:start w:val="1"/>
      <w:numFmt w:val="decimal"/>
      <w:lvlText w:val="%1.%2.%3.%4.%5.%6.%7.%8.%9."/>
      <w:lvlJc w:val="left"/>
      <w:pPr>
        <w:ind w:left="4680" w:hanging="1800"/>
      </w:pPr>
      <w:rPr>
        <w:rFonts w:cs="TradeGothic-Light" w:hint="default"/>
      </w:rPr>
    </w:lvl>
  </w:abstractNum>
  <w:abstractNum w:abstractNumId="48" w15:restartNumberingAfterBreak="0">
    <w:nsid w:val="2BB160A9"/>
    <w:multiLevelType w:val="multilevel"/>
    <w:tmpl w:val="DA768206"/>
    <w:styleLink w:val="WWNum5"/>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15:restartNumberingAfterBreak="0">
    <w:nsid w:val="2DA96AB7"/>
    <w:multiLevelType w:val="multilevel"/>
    <w:tmpl w:val="5976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E5C2A00"/>
    <w:multiLevelType w:val="hybridMultilevel"/>
    <w:tmpl w:val="D85A84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2E7443F9"/>
    <w:multiLevelType w:val="multilevel"/>
    <w:tmpl w:val="E49E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2E6748"/>
    <w:multiLevelType w:val="hybridMultilevel"/>
    <w:tmpl w:val="29424260"/>
    <w:lvl w:ilvl="0" w:tplc="84F66E30">
      <w:start w:val="1"/>
      <w:numFmt w:val="bullet"/>
      <w:lvlText w:val="-"/>
      <w:lvlJc w:val="left"/>
      <w:pPr>
        <w:ind w:left="720" w:hanging="360"/>
      </w:pPr>
      <w:rPr>
        <w:rFonts w:ascii="Sitka Small" w:hAnsi="Sitka Smal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31776C33"/>
    <w:multiLevelType w:val="hybridMultilevel"/>
    <w:tmpl w:val="7FE885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327850E9"/>
    <w:multiLevelType w:val="multilevel"/>
    <w:tmpl w:val="936C175E"/>
    <w:styleLink w:val="WWNum1013"/>
    <w:lvl w:ilvl="0">
      <w:start w:val="1"/>
      <w:numFmt w:val="decimal"/>
      <w:lvlText w:val="%1."/>
      <w:lvlJc w:val="left"/>
      <w:pPr>
        <w:ind w:left="360" w:hanging="360"/>
      </w:pPr>
    </w:lvl>
    <w:lvl w:ilvl="1">
      <w:start w:val="1"/>
      <w:numFmt w:val="decimal"/>
      <w:lvlText w:val="%1.%2"/>
      <w:lvlJc w:val="left"/>
      <w:pPr>
        <w:ind w:left="1051" w:hanging="360"/>
      </w:pPr>
      <w:rPr>
        <w:rFonts w:cs="TradeGothic-Light"/>
      </w:rPr>
    </w:lvl>
    <w:lvl w:ilvl="2">
      <w:start w:val="1"/>
      <w:numFmt w:val="decimal"/>
      <w:lvlText w:val="%1.%2.%3"/>
      <w:lvlJc w:val="left"/>
      <w:pPr>
        <w:ind w:left="2102" w:hanging="720"/>
      </w:pPr>
      <w:rPr>
        <w:rFonts w:cs="TradeGothic-Light"/>
      </w:rPr>
    </w:lvl>
    <w:lvl w:ilvl="3">
      <w:start w:val="1"/>
      <w:numFmt w:val="decimal"/>
      <w:lvlText w:val="%1.%2.%3.%4"/>
      <w:lvlJc w:val="left"/>
      <w:pPr>
        <w:ind w:left="2793" w:hanging="720"/>
      </w:pPr>
      <w:rPr>
        <w:rFonts w:cs="TradeGothic-Light"/>
      </w:rPr>
    </w:lvl>
    <w:lvl w:ilvl="4">
      <w:start w:val="1"/>
      <w:numFmt w:val="decimal"/>
      <w:lvlText w:val="%1.%2.%3.%4.%5"/>
      <w:lvlJc w:val="left"/>
      <w:pPr>
        <w:ind w:left="3844" w:hanging="1080"/>
      </w:pPr>
      <w:rPr>
        <w:rFonts w:cs="TradeGothic-Light"/>
      </w:rPr>
    </w:lvl>
    <w:lvl w:ilvl="5">
      <w:start w:val="1"/>
      <w:numFmt w:val="decimal"/>
      <w:lvlText w:val="%1.%2.%3.%4.%5.%6"/>
      <w:lvlJc w:val="left"/>
      <w:pPr>
        <w:ind w:left="4535" w:hanging="1080"/>
      </w:pPr>
      <w:rPr>
        <w:rFonts w:cs="TradeGothic-Light"/>
      </w:rPr>
    </w:lvl>
    <w:lvl w:ilvl="6">
      <w:start w:val="1"/>
      <w:numFmt w:val="decimal"/>
      <w:lvlText w:val="%1.%2.%3.%4.%5.%6.%7"/>
      <w:lvlJc w:val="left"/>
      <w:pPr>
        <w:ind w:left="5586" w:hanging="1440"/>
      </w:pPr>
      <w:rPr>
        <w:rFonts w:cs="TradeGothic-Light"/>
      </w:rPr>
    </w:lvl>
    <w:lvl w:ilvl="7">
      <w:start w:val="1"/>
      <w:numFmt w:val="decimal"/>
      <w:lvlText w:val="%1.%2.%3.%4.%5.%6.%7.%8"/>
      <w:lvlJc w:val="left"/>
      <w:pPr>
        <w:ind w:left="6277" w:hanging="1440"/>
      </w:pPr>
      <w:rPr>
        <w:rFonts w:cs="TradeGothic-Light"/>
      </w:rPr>
    </w:lvl>
    <w:lvl w:ilvl="8">
      <w:start w:val="1"/>
      <w:numFmt w:val="decimal"/>
      <w:lvlText w:val="%1.%2.%3.%4.%5.%6.%7.%8.%9"/>
      <w:lvlJc w:val="left"/>
      <w:pPr>
        <w:ind w:left="7328" w:hanging="1800"/>
      </w:pPr>
      <w:rPr>
        <w:rFonts w:cs="TradeGothic-Light"/>
      </w:rPr>
    </w:lvl>
  </w:abstractNum>
  <w:abstractNum w:abstractNumId="55" w15:restartNumberingAfterBreak="0">
    <w:nsid w:val="32DC4FAC"/>
    <w:multiLevelType w:val="multilevel"/>
    <w:tmpl w:val="7A1ADCCE"/>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15:restartNumberingAfterBreak="0">
    <w:nsid w:val="34F738A8"/>
    <w:multiLevelType w:val="hybridMultilevel"/>
    <w:tmpl w:val="09788C04"/>
    <w:lvl w:ilvl="0" w:tplc="0C0A0015">
      <w:start w:val="1"/>
      <w:numFmt w:val="upp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34FF544F"/>
    <w:multiLevelType w:val="multilevel"/>
    <w:tmpl w:val="28DCE84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58" w15:restartNumberingAfterBreak="0">
    <w:nsid w:val="369371BD"/>
    <w:multiLevelType w:val="multilevel"/>
    <w:tmpl w:val="4B543A6A"/>
    <w:styleLink w:val="WWNum812"/>
    <w:lvl w:ilvl="0">
      <w:numFmt w:val="bullet"/>
      <w:lvlText w:val=""/>
      <w:lvlJc w:val="left"/>
      <w:pPr>
        <w:ind w:left="840" w:hanging="360"/>
      </w:pPr>
      <w:rPr>
        <w:rFonts w:ascii="Wingdings" w:hAnsi="Wingdings"/>
      </w:rPr>
    </w:lvl>
    <w:lvl w:ilvl="1">
      <w:numFmt w:val="bullet"/>
      <w:lvlText w:val="o"/>
      <w:lvlJc w:val="left"/>
      <w:pPr>
        <w:ind w:left="1560" w:hanging="360"/>
      </w:pPr>
      <w:rPr>
        <w:rFonts w:ascii="Courier New" w:hAnsi="Courier New" w:cs="Courier New"/>
      </w:rPr>
    </w:lvl>
    <w:lvl w:ilvl="2">
      <w:numFmt w:val="bullet"/>
      <w:lvlText w:val=""/>
      <w:lvlJc w:val="left"/>
      <w:pPr>
        <w:ind w:left="2280" w:hanging="360"/>
      </w:pPr>
      <w:rPr>
        <w:rFonts w:ascii="Wingdings" w:hAnsi="Wingdings"/>
      </w:rPr>
    </w:lvl>
    <w:lvl w:ilvl="3">
      <w:numFmt w:val="bullet"/>
      <w:lvlText w:val=""/>
      <w:lvlJc w:val="left"/>
      <w:pPr>
        <w:ind w:left="3000" w:hanging="360"/>
      </w:pPr>
      <w:rPr>
        <w:rFonts w:ascii="Symbol" w:hAnsi="Symbol"/>
      </w:rPr>
    </w:lvl>
    <w:lvl w:ilvl="4">
      <w:numFmt w:val="bullet"/>
      <w:lvlText w:val="o"/>
      <w:lvlJc w:val="left"/>
      <w:pPr>
        <w:ind w:left="3720" w:hanging="360"/>
      </w:pPr>
      <w:rPr>
        <w:rFonts w:ascii="Courier New" w:hAnsi="Courier New" w:cs="Courier New"/>
      </w:rPr>
    </w:lvl>
    <w:lvl w:ilvl="5">
      <w:numFmt w:val="bullet"/>
      <w:lvlText w:val=""/>
      <w:lvlJc w:val="left"/>
      <w:pPr>
        <w:ind w:left="4440" w:hanging="360"/>
      </w:pPr>
      <w:rPr>
        <w:rFonts w:ascii="Wingdings" w:hAnsi="Wingdings"/>
      </w:rPr>
    </w:lvl>
    <w:lvl w:ilvl="6">
      <w:numFmt w:val="bullet"/>
      <w:lvlText w:val=""/>
      <w:lvlJc w:val="left"/>
      <w:pPr>
        <w:ind w:left="5160" w:hanging="360"/>
      </w:pPr>
      <w:rPr>
        <w:rFonts w:ascii="Symbol" w:hAnsi="Symbol"/>
      </w:rPr>
    </w:lvl>
    <w:lvl w:ilvl="7">
      <w:numFmt w:val="bullet"/>
      <w:lvlText w:val="o"/>
      <w:lvlJc w:val="left"/>
      <w:pPr>
        <w:ind w:left="5880" w:hanging="360"/>
      </w:pPr>
      <w:rPr>
        <w:rFonts w:ascii="Courier New" w:hAnsi="Courier New" w:cs="Courier New"/>
      </w:rPr>
    </w:lvl>
    <w:lvl w:ilvl="8">
      <w:numFmt w:val="bullet"/>
      <w:lvlText w:val=""/>
      <w:lvlJc w:val="left"/>
      <w:pPr>
        <w:ind w:left="6600" w:hanging="360"/>
      </w:pPr>
      <w:rPr>
        <w:rFonts w:ascii="Wingdings" w:hAnsi="Wingdings"/>
      </w:rPr>
    </w:lvl>
  </w:abstractNum>
  <w:abstractNum w:abstractNumId="59" w15:restartNumberingAfterBreak="0">
    <w:nsid w:val="376A09BE"/>
    <w:multiLevelType w:val="hybridMultilevel"/>
    <w:tmpl w:val="39C6F198"/>
    <w:lvl w:ilvl="0" w:tplc="0C0A000B">
      <w:start w:val="1"/>
      <w:numFmt w:val="bullet"/>
      <w:lvlText w:val=""/>
      <w:lvlJc w:val="left"/>
      <w:pPr>
        <w:ind w:left="757" w:hanging="360"/>
      </w:pPr>
      <w:rPr>
        <w:rFonts w:ascii="Wingdings" w:hAnsi="Wingdings" w:hint="default"/>
      </w:rPr>
    </w:lvl>
    <w:lvl w:ilvl="1" w:tplc="0C0A0003" w:tentative="1">
      <w:start w:val="1"/>
      <w:numFmt w:val="bullet"/>
      <w:lvlText w:val="o"/>
      <w:lvlJc w:val="left"/>
      <w:pPr>
        <w:ind w:left="1477" w:hanging="360"/>
      </w:pPr>
      <w:rPr>
        <w:rFonts w:ascii="Courier New" w:hAnsi="Courier New" w:cs="Courier New" w:hint="default"/>
      </w:rPr>
    </w:lvl>
    <w:lvl w:ilvl="2" w:tplc="0C0A0005" w:tentative="1">
      <w:start w:val="1"/>
      <w:numFmt w:val="bullet"/>
      <w:lvlText w:val=""/>
      <w:lvlJc w:val="left"/>
      <w:pPr>
        <w:ind w:left="2197" w:hanging="360"/>
      </w:pPr>
      <w:rPr>
        <w:rFonts w:ascii="Wingdings" w:hAnsi="Wingdings" w:hint="default"/>
      </w:rPr>
    </w:lvl>
    <w:lvl w:ilvl="3" w:tplc="0C0A0001" w:tentative="1">
      <w:start w:val="1"/>
      <w:numFmt w:val="bullet"/>
      <w:lvlText w:val=""/>
      <w:lvlJc w:val="left"/>
      <w:pPr>
        <w:ind w:left="2917" w:hanging="360"/>
      </w:pPr>
      <w:rPr>
        <w:rFonts w:ascii="Symbol" w:hAnsi="Symbol" w:hint="default"/>
      </w:rPr>
    </w:lvl>
    <w:lvl w:ilvl="4" w:tplc="0C0A0003" w:tentative="1">
      <w:start w:val="1"/>
      <w:numFmt w:val="bullet"/>
      <w:lvlText w:val="o"/>
      <w:lvlJc w:val="left"/>
      <w:pPr>
        <w:ind w:left="3637" w:hanging="360"/>
      </w:pPr>
      <w:rPr>
        <w:rFonts w:ascii="Courier New" w:hAnsi="Courier New" w:cs="Courier New" w:hint="default"/>
      </w:rPr>
    </w:lvl>
    <w:lvl w:ilvl="5" w:tplc="0C0A0005" w:tentative="1">
      <w:start w:val="1"/>
      <w:numFmt w:val="bullet"/>
      <w:lvlText w:val=""/>
      <w:lvlJc w:val="left"/>
      <w:pPr>
        <w:ind w:left="4357" w:hanging="360"/>
      </w:pPr>
      <w:rPr>
        <w:rFonts w:ascii="Wingdings" w:hAnsi="Wingdings" w:hint="default"/>
      </w:rPr>
    </w:lvl>
    <w:lvl w:ilvl="6" w:tplc="0C0A0001" w:tentative="1">
      <w:start w:val="1"/>
      <w:numFmt w:val="bullet"/>
      <w:lvlText w:val=""/>
      <w:lvlJc w:val="left"/>
      <w:pPr>
        <w:ind w:left="5077" w:hanging="360"/>
      </w:pPr>
      <w:rPr>
        <w:rFonts w:ascii="Symbol" w:hAnsi="Symbol" w:hint="default"/>
      </w:rPr>
    </w:lvl>
    <w:lvl w:ilvl="7" w:tplc="0C0A0003" w:tentative="1">
      <w:start w:val="1"/>
      <w:numFmt w:val="bullet"/>
      <w:lvlText w:val="o"/>
      <w:lvlJc w:val="left"/>
      <w:pPr>
        <w:ind w:left="5797" w:hanging="360"/>
      </w:pPr>
      <w:rPr>
        <w:rFonts w:ascii="Courier New" w:hAnsi="Courier New" w:cs="Courier New" w:hint="default"/>
      </w:rPr>
    </w:lvl>
    <w:lvl w:ilvl="8" w:tplc="0C0A0005" w:tentative="1">
      <w:start w:val="1"/>
      <w:numFmt w:val="bullet"/>
      <w:lvlText w:val=""/>
      <w:lvlJc w:val="left"/>
      <w:pPr>
        <w:ind w:left="6517" w:hanging="360"/>
      </w:pPr>
      <w:rPr>
        <w:rFonts w:ascii="Wingdings" w:hAnsi="Wingdings" w:hint="default"/>
      </w:rPr>
    </w:lvl>
  </w:abstractNum>
  <w:abstractNum w:abstractNumId="60" w15:restartNumberingAfterBreak="0">
    <w:nsid w:val="3B672700"/>
    <w:multiLevelType w:val="hybridMultilevel"/>
    <w:tmpl w:val="56F20626"/>
    <w:lvl w:ilvl="0" w:tplc="1F5C4E26">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3BD817AE"/>
    <w:multiLevelType w:val="hybridMultilevel"/>
    <w:tmpl w:val="BE16DFC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3DD01A26"/>
    <w:multiLevelType w:val="hybridMultilevel"/>
    <w:tmpl w:val="7AE4E9E8"/>
    <w:styleLink w:val="WWNum511"/>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3E185819"/>
    <w:multiLevelType w:val="multilevel"/>
    <w:tmpl w:val="0C0A001F"/>
    <w:styleLink w:val="Estilo14"/>
    <w:lvl w:ilvl="0">
      <w:start w:val="2"/>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EAF0F6C"/>
    <w:multiLevelType w:val="hybridMultilevel"/>
    <w:tmpl w:val="A246E70C"/>
    <w:lvl w:ilvl="0" w:tplc="84F66E30">
      <w:start w:val="1"/>
      <w:numFmt w:val="bullet"/>
      <w:lvlText w:val="-"/>
      <w:lvlJc w:val="left"/>
      <w:pPr>
        <w:ind w:left="1068" w:hanging="360"/>
      </w:pPr>
      <w:rPr>
        <w:rFonts w:ascii="Sitka Small" w:hAnsi="Sitka Smal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5" w15:restartNumberingAfterBreak="0">
    <w:nsid w:val="40011E00"/>
    <w:multiLevelType w:val="multilevel"/>
    <w:tmpl w:val="B216AC8C"/>
    <w:styleLink w:val="WWNum7"/>
    <w:lvl w:ilvl="0">
      <w:start w:val="1"/>
      <w:numFmt w:val="upperLetter"/>
      <w:lvlText w:val="%1."/>
      <w:lvlJc w:val="left"/>
      <w:rPr>
        <w:rFonts w:cs="Times New Roman"/>
        <w:b/>
        <w:i w:val="0"/>
        <w:sz w:val="24"/>
        <w:szCs w:val="24"/>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b/>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6" w15:restartNumberingAfterBreak="0">
    <w:nsid w:val="405303C5"/>
    <w:multiLevelType w:val="multilevel"/>
    <w:tmpl w:val="9070C026"/>
    <w:styleLink w:val="WWNum211"/>
    <w:lvl w:ilvl="0">
      <w:start w:val="1"/>
      <w:numFmt w:val="decimal"/>
      <w:lvlText w:val="%1."/>
      <w:lvlJc w:val="left"/>
      <w:pPr>
        <w:ind w:left="1064" w:hanging="360"/>
      </w:pPr>
      <w:rPr>
        <w:rFonts w:ascii="Calibri" w:hAnsi="Calibri" w:cs="Times New Roman"/>
        <w:sz w:val="22"/>
        <w:szCs w:val="22"/>
      </w:rPr>
    </w:lvl>
    <w:lvl w:ilvl="1">
      <w:start w:val="1"/>
      <w:numFmt w:val="decimal"/>
      <w:lvlText w:val="%1.%2."/>
      <w:lvlJc w:val="left"/>
      <w:pPr>
        <w:ind w:left="1424" w:hanging="720"/>
      </w:pPr>
    </w:lvl>
    <w:lvl w:ilvl="2">
      <w:start w:val="1"/>
      <w:numFmt w:val="upperLetter"/>
      <w:lvlText w:val="%1.%2.%3."/>
      <w:lvlJc w:val="left"/>
      <w:pPr>
        <w:ind w:left="1424" w:hanging="720"/>
      </w:pPr>
    </w:lvl>
    <w:lvl w:ilvl="3">
      <w:start w:val="1"/>
      <w:numFmt w:val="upperLetter"/>
      <w:lvlText w:val="%1.%2.%3.%4."/>
      <w:lvlJc w:val="left"/>
      <w:pPr>
        <w:ind w:left="1784" w:hanging="1080"/>
      </w:pPr>
    </w:lvl>
    <w:lvl w:ilvl="4">
      <w:start w:val="1"/>
      <w:numFmt w:val="decimal"/>
      <w:lvlText w:val="%1.%2.%3.%4.%5."/>
      <w:lvlJc w:val="left"/>
      <w:pPr>
        <w:ind w:left="1784" w:hanging="1080"/>
      </w:pPr>
    </w:lvl>
    <w:lvl w:ilvl="5">
      <w:start w:val="1"/>
      <w:numFmt w:val="decimal"/>
      <w:lvlText w:val="%1.%2.%3.%4.%5.%6."/>
      <w:lvlJc w:val="left"/>
      <w:pPr>
        <w:ind w:left="2144" w:hanging="1440"/>
      </w:pPr>
    </w:lvl>
    <w:lvl w:ilvl="6">
      <w:start w:val="1"/>
      <w:numFmt w:val="decimal"/>
      <w:lvlText w:val="%1.%2.%3.%4.%5.%6.%7."/>
      <w:lvlJc w:val="left"/>
      <w:pPr>
        <w:ind w:left="2144" w:hanging="1440"/>
      </w:pPr>
    </w:lvl>
    <w:lvl w:ilvl="7">
      <w:start w:val="1"/>
      <w:numFmt w:val="decimal"/>
      <w:lvlText w:val="%1.%2.%3.%4.%5.%6.%7.%8."/>
      <w:lvlJc w:val="left"/>
      <w:pPr>
        <w:ind w:left="2504" w:hanging="1800"/>
      </w:pPr>
    </w:lvl>
    <w:lvl w:ilvl="8">
      <w:start w:val="1"/>
      <w:numFmt w:val="decimal"/>
      <w:lvlText w:val="%1.%2.%3.%4.%5.%6.%7.%8.%9."/>
      <w:lvlJc w:val="left"/>
      <w:pPr>
        <w:ind w:left="2504" w:hanging="1800"/>
      </w:pPr>
    </w:lvl>
  </w:abstractNum>
  <w:abstractNum w:abstractNumId="67" w15:restartNumberingAfterBreak="0">
    <w:nsid w:val="40D6266E"/>
    <w:multiLevelType w:val="hybridMultilevel"/>
    <w:tmpl w:val="29AC3722"/>
    <w:lvl w:ilvl="0" w:tplc="3F20056C">
      <w:start w:val="1"/>
      <w:numFmt w:val="bullet"/>
      <w:lvlText w:val=""/>
      <w:lvlJc w:val="left"/>
      <w:pPr>
        <w:ind w:left="0" w:firstLine="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40EE2C9F"/>
    <w:multiLevelType w:val="multilevel"/>
    <w:tmpl w:val="01A2236C"/>
    <w:styleLink w:val="Estilo212"/>
    <w:lvl w:ilvl="0">
      <w:start w:val="2"/>
      <w:numFmt w:val="decimal"/>
      <w:lvlText w:val="%1."/>
      <w:lvlJc w:val="left"/>
      <w:pPr>
        <w:ind w:left="720" w:hanging="360"/>
      </w:pPr>
    </w:lvl>
    <w:lvl w:ilvl="1">
      <w:start w:val="2"/>
      <w:numFmt w:val="decimal"/>
      <w:lvlText w:val="%1.%2."/>
      <w:lvlJc w:val="left"/>
      <w:pPr>
        <w:ind w:left="1695" w:hanging="720"/>
      </w:pPr>
    </w:lvl>
    <w:lvl w:ilvl="2">
      <w:start w:val="1"/>
      <w:numFmt w:val="decimal"/>
      <w:lvlText w:val="%1.%2.%3."/>
      <w:lvlJc w:val="left"/>
      <w:pPr>
        <w:ind w:left="2310" w:hanging="720"/>
      </w:pPr>
    </w:lvl>
    <w:lvl w:ilvl="3">
      <w:start w:val="1"/>
      <w:numFmt w:val="decimal"/>
      <w:lvlText w:val="%1.%2.%3.%4."/>
      <w:lvlJc w:val="left"/>
      <w:pPr>
        <w:ind w:left="3285" w:hanging="1080"/>
      </w:pPr>
    </w:lvl>
    <w:lvl w:ilvl="4">
      <w:start w:val="1"/>
      <w:numFmt w:val="decimal"/>
      <w:lvlText w:val="%1.%2.%3.%4.%5."/>
      <w:lvlJc w:val="left"/>
      <w:pPr>
        <w:ind w:left="3900" w:hanging="1080"/>
      </w:pPr>
    </w:lvl>
    <w:lvl w:ilvl="5">
      <w:start w:val="1"/>
      <w:numFmt w:val="decimal"/>
      <w:lvlText w:val="%1.%2.%3.%4.%5.%6."/>
      <w:lvlJc w:val="left"/>
      <w:pPr>
        <w:ind w:left="4875" w:hanging="1440"/>
      </w:pPr>
    </w:lvl>
    <w:lvl w:ilvl="6">
      <w:start w:val="1"/>
      <w:numFmt w:val="decimal"/>
      <w:lvlText w:val="%1.%2.%3.%4.%5.%6.%7."/>
      <w:lvlJc w:val="left"/>
      <w:pPr>
        <w:ind w:left="5490" w:hanging="1440"/>
      </w:pPr>
    </w:lvl>
    <w:lvl w:ilvl="7">
      <w:start w:val="1"/>
      <w:numFmt w:val="decimal"/>
      <w:lvlText w:val="%1.%2.%3.%4.%5.%6.%7.%8."/>
      <w:lvlJc w:val="left"/>
      <w:pPr>
        <w:ind w:left="6465" w:hanging="1800"/>
      </w:pPr>
    </w:lvl>
    <w:lvl w:ilvl="8">
      <w:start w:val="1"/>
      <w:numFmt w:val="decimal"/>
      <w:lvlText w:val="%1.%2.%3.%4.%5.%6.%7.%8.%9."/>
      <w:lvlJc w:val="left"/>
      <w:pPr>
        <w:ind w:left="7080" w:hanging="1800"/>
      </w:pPr>
    </w:lvl>
  </w:abstractNum>
  <w:abstractNum w:abstractNumId="69" w15:restartNumberingAfterBreak="0">
    <w:nsid w:val="411347DD"/>
    <w:multiLevelType w:val="multilevel"/>
    <w:tmpl w:val="7AF6B050"/>
    <w:styleLink w:val="WWNum912"/>
    <w:lvl w:ilvl="0">
      <w:numFmt w:val="bullet"/>
      <w:lvlText w:val="-"/>
      <w:lvlJc w:val="left"/>
      <w:pPr>
        <w:ind w:left="90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upperLetter"/>
      <w:lvlText w:val="%3."/>
      <w:lvlJc w:val="left"/>
      <w:pPr>
        <w:ind w:left="2160" w:hanging="360"/>
      </w:p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421E4DDD"/>
    <w:multiLevelType w:val="multilevel"/>
    <w:tmpl w:val="C8C6EA42"/>
    <w:styleLink w:val="WWNum31"/>
    <w:lvl w:ilvl="0">
      <w:numFmt w:val="bullet"/>
      <w:lvlText w:val="-"/>
      <w:lvlJc w:val="left"/>
      <w:rPr>
        <w:rFonts w:ascii="Calibri" w:hAnsi="Calibri"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1" w15:restartNumberingAfterBreak="0">
    <w:nsid w:val="42A14E08"/>
    <w:multiLevelType w:val="multilevel"/>
    <w:tmpl w:val="3340945C"/>
    <w:lvl w:ilvl="0">
      <w:start w:val="1"/>
      <w:numFmt w:val="decimal"/>
      <w:lvlText w:val="%1."/>
      <w:lvlJc w:val="left"/>
      <w:pPr>
        <w:tabs>
          <w:tab w:val="num" w:pos="720"/>
        </w:tabs>
        <w:ind w:left="720" w:hanging="360"/>
      </w:pPr>
      <w:rPr>
        <w:b w:val="0"/>
        <w:i w:val="0"/>
        <w:sz w:val="24"/>
        <w:szCs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43167659"/>
    <w:multiLevelType w:val="hybridMultilevel"/>
    <w:tmpl w:val="2DE2B6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4349160B"/>
    <w:multiLevelType w:val="multilevel"/>
    <w:tmpl w:val="8C5E6990"/>
    <w:styleLink w:val="WWNum101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435D04A1"/>
    <w:multiLevelType w:val="hybridMultilevel"/>
    <w:tmpl w:val="9F66A7BC"/>
    <w:styleLink w:val="WWNum1711"/>
    <w:lvl w:ilvl="0" w:tplc="0C0A0001">
      <w:start w:val="1"/>
      <w:numFmt w:val="bullet"/>
      <w:lvlText w:val=""/>
      <w:lvlJc w:val="left"/>
      <w:pPr>
        <w:ind w:left="1069"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435D7F4A"/>
    <w:multiLevelType w:val="multilevel"/>
    <w:tmpl w:val="70B08510"/>
    <w:styleLink w:val="WWNum101"/>
    <w:lvl w:ilvl="0">
      <w:start w:val="1"/>
      <w:numFmt w:val="decimal"/>
      <w:lvlText w:val="%1."/>
      <w:lvlJc w:val="left"/>
      <w:pPr>
        <w:ind w:left="502" w:hanging="360"/>
      </w:pPr>
      <w:rPr>
        <w:rFonts w:hint="default"/>
      </w:rPr>
    </w:lvl>
    <w:lvl w:ilvl="1">
      <w:start w:val="1"/>
      <w:numFmt w:val="decimal"/>
      <w:isLgl/>
      <w:lvlText w:val="%1.%2"/>
      <w:lvlJc w:val="left"/>
      <w:pPr>
        <w:ind w:left="1352" w:hanging="360"/>
      </w:pPr>
      <w:rPr>
        <w:rFonts w:cs="TradeGothic-Light" w:hint="default"/>
      </w:rPr>
    </w:lvl>
    <w:lvl w:ilvl="2">
      <w:start w:val="1"/>
      <w:numFmt w:val="decimal"/>
      <w:isLgl/>
      <w:lvlText w:val="%1.%2.%3"/>
      <w:lvlJc w:val="left"/>
      <w:pPr>
        <w:ind w:left="2244" w:hanging="720"/>
      </w:pPr>
      <w:rPr>
        <w:rFonts w:cs="TradeGothic-Light" w:hint="default"/>
      </w:rPr>
    </w:lvl>
    <w:lvl w:ilvl="3">
      <w:start w:val="1"/>
      <w:numFmt w:val="decimal"/>
      <w:isLgl/>
      <w:lvlText w:val="%1.%2.%3.%4"/>
      <w:lvlJc w:val="left"/>
      <w:pPr>
        <w:ind w:left="2935" w:hanging="720"/>
      </w:pPr>
      <w:rPr>
        <w:rFonts w:cs="TradeGothic-Light" w:hint="default"/>
      </w:rPr>
    </w:lvl>
    <w:lvl w:ilvl="4">
      <w:start w:val="1"/>
      <w:numFmt w:val="decimal"/>
      <w:isLgl/>
      <w:lvlText w:val="%1.%2.%3.%4.%5"/>
      <w:lvlJc w:val="left"/>
      <w:pPr>
        <w:ind w:left="3986" w:hanging="1080"/>
      </w:pPr>
      <w:rPr>
        <w:rFonts w:cs="TradeGothic-Light" w:hint="default"/>
      </w:rPr>
    </w:lvl>
    <w:lvl w:ilvl="5">
      <w:start w:val="1"/>
      <w:numFmt w:val="decimal"/>
      <w:isLgl/>
      <w:lvlText w:val="%1.%2.%3.%4.%5.%6"/>
      <w:lvlJc w:val="left"/>
      <w:pPr>
        <w:ind w:left="4677" w:hanging="1080"/>
      </w:pPr>
      <w:rPr>
        <w:rFonts w:cs="TradeGothic-Light" w:hint="default"/>
      </w:rPr>
    </w:lvl>
    <w:lvl w:ilvl="6">
      <w:start w:val="1"/>
      <w:numFmt w:val="decimal"/>
      <w:isLgl/>
      <w:lvlText w:val="%1.%2.%3.%4.%5.%6.%7"/>
      <w:lvlJc w:val="left"/>
      <w:pPr>
        <w:ind w:left="5728" w:hanging="1440"/>
      </w:pPr>
      <w:rPr>
        <w:rFonts w:cs="TradeGothic-Light" w:hint="default"/>
      </w:rPr>
    </w:lvl>
    <w:lvl w:ilvl="7">
      <w:start w:val="1"/>
      <w:numFmt w:val="decimal"/>
      <w:isLgl/>
      <w:lvlText w:val="%1.%2.%3.%4.%5.%6.%7.%8"/>
      <w:lvlJc w:val="left"/>
      <w:pPr>
        <w:ind w:left="6419" w:hanging="1440"/>
      </w:pPr>
      <w:rPr>
        <w:rFonts w:cs="TradeGothic-Light" w:hint="default"/>
      </w:rPr>
    </w:lvl>
    <w:lvl w:ilvl="8">
      <w:start w:val="1"/>
      <w:numFmt w:val="decimal"/>
      <w:isLgl/>
      <w:lvlText w:val="%1.%2.%3.%4.%5.%6.%7.%8.%9"/>
      <w:lvlJc w:val="left"/>
      <w:pPr>
        <w:ind w:left="7470" w:hanging="1800"/>
      </w:pPr>
      <w:rPr>
        <w:rFonts w:cs="TradeGothic-Light" w:hint="default"/>
      </w:rPr>
    </w:lvl>
  </w:abstractNum>
  <w:abstractNum w:abstractNumId="76" w15:restartNumberingAfterBreak="0">
    <w:nsid w:val="44095AD4"/>
    <w:multiLevelType w:val="multilevel"/>
    <w:tmpl w:val="87C61D20"/>
    <w:styleLink w:val="WWNum2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7" w15:restartNumberingAfterBreak="0">
    <w:nsid w:val="444012FE"/>
    <w:multiLevelType w:val="hybridMultilevel"/>
    <w:tmpl w:val="0616CD7C"/>
    <w:lvl w:ilvl="0" w:tplc="329C06E0">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15:restartNumberingAfterBreak="0">
    <w:nsid w:val="44AB074F"/>
    <w:multiLevelType w:val="hybridMultilevel"/>
    <w:tmpl w:val="A80A37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45C00F60"/>
    <w:multiLevelType w:val="hybridMultilevel"/>
    <w:tmpl w:val="7B222FD2"/>
    <w:styleLink w:val="WWNum2011"/>
    <w:lvl w:ilvl="0" w:tplc="D3446112">
      <w:start w:val="3"/>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15:restartNumberingAfterBreak="0">
    <w:nsid w:val="45CC66A0"/>
    <w:multiLevelType w:val="multilevel"/>
    <w:tmpl w:val="965A7236"/>
    <w:styleLink w:val="WWNum162"/>
    <w:lvl w:ilvl="0">
      <w:numFmt w:val="bullet"/>
      <w:lvlText w:val="•"/>
      <w:lvlJc w:val="left"/>
      <w:rPr>
        <w:rFonts w:ascii="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81" w15:restartNumberingAfterBreak="0">
    <w:nsid w:val="45D83258"/>
    <w:multiLevelType w:val="hybridMultilevel"/>
    <w:tmpl w:val="2AA66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45F86D98"/>
    <w:multiLevelType w:val="multilevel"/>
    <w:tmpl w:val="7E644796"/>
    <w:lvl w:ilvl="0">
      <w:start w:val="1"/>
      <w:numFmt w:val="upp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469D2901"/>
    <w:multiLevelType w:val="hybridMultilevel"/>
    <w:tmpl w:val="9F5E7070"/>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4" w15:restartNumberingAfterBreak="0">
    <w:nsid w:val="46D64244"/>
    <w:multiLevelType w:val="hybridMultilevel"/>
    <w:tmpl w:val="BCEC19D4"/>
    <w:lvl w:ilvl="0" w:tplc="0C0A0007">
      <w:start w:val="1"/>
      <w:numFmt w:val="bullet"/>
      <w:lvlText w:val=""/>
      <w:lvlPicBulletId w:val="0"/>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5" w15:restartNumberingAfterBreak="0">
    <w:nsid w:val="493F486B"/>
    <w:multiLevelType w:val="multilevel"/>
    <w:tmpl w:val="D60ACC20"/>
    <w:styleLink w:val="WWNum1"/>
    <w:lvl w:ilvl="0">
      <w:numFmt w:val="bullet"/>
      <w:lvlText w:val="-"/>
      <w:lvlJc w:val="left"/>
      <w:pPr>
        <w:ind w:left="1065" w:hanging="360"/>
      </w:pPr>
      <w:rPr>
        <w:rFonts w:ascii="Calibri" w:hAnsi="Calibri" w:cs="Calibri"/>
      </w:rPr>
    </w:lvl>
    <w:lvl w:ilvl="1">
      <w:numFmt w:val="bullet"/>
      <w:lvlText w:val="o"/>
      <w:lvlJc w:val="left"/>
      <w:pPr>
        <w:ind w:left="1785" w:hanging="360"/>
      </w:pPr>
      <w:rPr>
        <w:rFonts w:ascii="Courier New" w:hAnsi="Courier New" w:cs="Courier New"/>
      </w:rPr>
    </w:lvl>
    <w:lvl w:ilvl="2">
      <w:numFmt w:val="bullet"/>
      <w:lvlText w:val=""/>
      <w:lvlJc w:val="left"/>
      <w:pPr>
        <w:ind w:left="2505" w:hanging="360"/>
      </w:pPr>
      <w:rPr>
        <w:rFonts w:ascii="Wingdings" w:hAnsi="Wingdings"/>
      </w:rPr>
    </w:lvl>
    <w:lvl w:ilvl="3">
      <w:numFmt w:val="bullet"/>
      <w:lvlText w:val=""/>
      <w:lvlJc w:val="left"/>
      <w:pPr>
        <w:ind w:left="3225" w:hanging="360"/>
      </w:pPr>
      <w:rPr>
        <w:rFonts w:ascii="Symbol" w:hAnsi="Symbol"/>
      </w:rPr>
    </w:lvl>
    <w:lvl w:ilvl="4">
      <w:numFmt w:val="bullet"/>
      <w:lvlText w:val="o"/>
      <w:lvlJc w:val="left"/>
      <w:pPr>
        <w:ind w:left="3945" w:hanging="360"/>
      </w:pPr>
      <w:rPr>
        <w:rFonts w:ascii="Courier New" w:hAnsi="Courier New" w:cs="Courier New"/>
      </w:rPr>
    </w:lvl>
    <w:lvl w:ilvl="5">
      <w:numFmt w:val="bullet"/>
      <w:lvlText w:val=""/>
      <w:lvlJc w:val="left"/>
      <w:pPr>
        <w:ind w:left="4665" w:hanging="360"/>
      </w:pPr>
      <w:rPr>
        <w:rFonts w:ascii="Wingdings" w:hAnsi="Wingdings"/>
      </w:rPr>
    </w:lvl>
    <w:lvl w:ilvl="6">
      <w:numFmt w:val="bullet"/>
      <w:lvlText w:val=""/>
      <w:lvlJc w:val="left"/>
      <w:pPr>
        <w:ind w:left="5385" w:hanging="360"/>
      </w:pPr>
      <w:rPr>
        <w:rFonts w:ascii="Symbol" w:hAnsi="Symbol"/>
      </w:rPr>
    </w:lvl>
    <w:lvl w:ilvl="7">
      <w:numFmt w:val="bullet"/>
      <w:lvlText w:val="o"/>
      <w:lvlJc w:val="left"/>
      <w:pPr>
        <w:ind w:left="6105" w:hanging="360"/>
      </w:pPr>
      <w:rPr>
        <w:rFonts w:ascii="Courier New" w:hAnsi="Courier New" w:cs="Courier New"/>
      </w:rPr>
    </w:lvl>
    <w:lvl w:ilvl="8">
      <w:numFmt w:val="bullet"/>
      <w:lvlText w:val=""/>
      <w:lvlJc w:val="left"/>
      <w:pPr>
        <w:ind w:left="6825" w:hanging="360"/>
      </w:pPr>
      <w:rPr>
        <w:rFonts w:ascii="Wingdings" w:hAnsi="Wingdings"/>
      </w:rPr>
    </w:lvl>
  </w:abstractNum>
  <w:abstractNum w:abstractNumId="86" w15:restartNumberingAfterBreak="0">
    <w:nsid w:val="4A027714"/>
    <w:multiLevelType w:val="hybridMultilevel"/>
    <w:tmpl w:val="77F2E7DA"/>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195"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7" w15:restartNumberingAfterBreak="0">
    <w:nsid w:val="4AEE4770"/>
    <w:multiLevelType w:val="hybridMultilevel"/>
    <w:tmpl w:val="CB54DE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4B89198D"/>
    <w:multiLevelType w:val="hybridMultilevel"/>
    <w:tmpl w:val="60D664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15:restartNumberingAfterBreak="0">
    <w:nsid w:val="4CE41C01"/>
    <w:multiLevelType w:val="hybridMultilevel"/>
    <w:tmpl w:val="23E42420"/>
    <w:lvl w:ilvl="0" w:tplc="7A547876">
      <w:numFmt w:val="bullet"/>
      <w:lvlText w:val="-"/>
      <w:lvlJc w:val="left"/>
      <w:pPr>
        <w:ind w:left="1068" w:hanging="360"/>
      </w:pPr>
      <w:rPr>
        <w:rFonts w:ascii="Calibri" w:eastAsia="Times New Roman" w:hAnsi="Calibri" w:hint="default"/>
      </w:rPr>
    </w:lvl>
    <w:lvl w:ilvl="1" w:tplc="0C0A0019" w:tentative="1">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90" w15:restartNumberingAfterBreak="0">
    <w:nsid w:val="4FA23717"/>
    <w:multiLevelType w:val="hybridMultilevel"/>
    <w:tmpl w:val="875C73C4"/>
    <w:lvl w:ilvl="0" w:tplc="8BF6CE86">
      <w:start w:val="1"/>
      <w:numFmt w:val="upperLetter"/>
      <w:lvlText w:val="%1."/>
      <w:lvlJc w:val="left"/>
      <w:pPr>
        <w:ind w:left="360" w:hanging="360"/>
      </w:pPr>
      <w:rPr>
        <w:rFonts w:hint="default"/>
        <w:b/>
      </w:rPr>
    </w:lvl>
    <w:lvl w:ilvl="1" w:tplc="0C0A0019" w:tentative="1">
      <w:start w:val="1"/>
      <w:numFmt w:val="lowerLetter"/>
      <w:lvlText w:val="%2."/>
      <w:lvlJc w:val="left"/>
      <w:pPr>
        <w:ind w:left="-3381" w:hanging="360"/>
      </w:pPr>
    </w:lvl>
    <w:lvl w:ilvl="2" w:tplc="0C0A001B" w:tentative="1">
      <w:start w:val="1"/>
      <w:numFmt w:val="lowerRoman"/>
      <w:lvlText w:val="%3."/>
      <w:lvlJc w:val="right"/>
      <w:pPr>
        <w:ind w:left="-2661" w:hanging="180"/>
      </w:pPr>
    </w:lvl>
    <w:lvl w:ilvl="3" w:tplc="0C0A000F" w:tentative="1">
      <w:start w:val="1"/>
      <w:numFmt w:val="decimal"/>
      <w:lvlText w:val="%4."/>
      <w:lvlJc w:val="left"/>
      <w:pPr>
        <w:ind w:left="-1941" w:hanging="360"/>
      </w:pPr>
    </w:lvl>
    <w:lvl w:ilvl="4" w:tplc="0C0A0019" w:tentative="1">
      <w:start w:val="1"/>
      <w:numFmt w:val="lowerLetter"/>
      <w:lvlText w:val="%5."/>
      <w:lvlJc w:val="left"/>
      <w:pPr>
        <w:ind w:left="-1221" w:hanging="360"/>
      </w:pPr>
    </w:lvl>
    <w:lvl w:ilvl="5" w:tplc="0C0A001B" w:tentative="1">
      <w:start w:val="1"/>
      <w:numFmt w:val="lowerRoman"/>
      <w:lvlText w:val="%6."/>
      <w:lvlJc w:val="right"/>
      <w:pPr>
        <w:ind w:left="-501" w:hanging="180"/>
      </w:pPr>
    </w:lvl>
    <w:lvl w:ilvl="6" w:tplc="0C0A000F" w:tentative="1">
      <w:start w:val="1"/>
      <w:numFmt w:val="decimal"/>
      <w:lvlText w:val="%7."/>
      <w:lvlJc w:val="left"/>
      <w:pPr>
        <w:ind w:left="219" w:hanging="360"/>
      </w:pPr>
    </w:lvl>
    <w:lvl w:ilvl="7" w:tplc="0C0A0019" w:tentative="1">
      <w:start w:val="1"/>
      <w:numFmt w:val="lowerLetter"/>
      <w:lvlText w:val="%8."/>
      <w:lvlJc w:val="left"/>
      <w:pPr>
        <w:ind w:left="939" w:hanging="360"/>
      </w:pPr>
    </w:lvl>
    <w:lvl w:ilvl="8" w:tplc="0C0A001B" w:tentative="1">
      <w:start w:val="1"/>
      <w:numFmt w:val="lowerRoman"/>
      <w:lvlText w:val="%9."/>
      <w:lvlJc w:val="right"/>
      <w:pPr>
        <w:ind w:left="1659" w:hanging="180"/>
      </w:pPr>
    </w:lvl>
  </w:abstractNum>
  <w:abstractNum w:abstractNumId="91" w15:restartNumberingAfterBreak="0">
    <w:nsid w:val="4FA71056"/>
    <w:multiLevelType w:val="hybridMultilevel"/>
    <w:tmpl w:val="E0301EEA"/>
    <w:lvl w:ilvl="0" w:tplc="5C94324A">
      <w:start w:val="1"/>
      <w:numFmt w:val="bullet"/>
      <w:lvlText w:val=""/>
      <w:lvlJc w:val="left"/>
      <w:pPr>
        <w:ind w:left="0" w:firstLine="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2" w15:restartNumberingAfterBreak="0">
    <w:nsid w:val="51A74695"/>
    <w:multiLevelType w:val="multilevel"/>
    <w:tmpl w:val="26CEF35E"/>
    <w:lvl w:ilvl="0">
      <w:numFmt w:val="bullet"/>
      <w:lvlText w:val=""/>
      <w:lvlJc w:val="left"/>
      <w:pPr>
        <w:ind w:left="360" w:hanging="360"/>
      </w:pPr>
      <w:rPr>
        <w:rFonts w:ascii="Symbol" w:hAnsi="Symbol"/>
        <w:sz w:val="20"/>
      </w:rPr>
    </w:lvl>
    <w:lvl w:ilvl="1">
      <w:numFmt w:val="bullet"/>
      <w:lvlText w:val=""/>
      <w:lvlJc w:val="left"/>
      <w:pPr>
        <w:ind w:left="1080" w:hanging="360"/>
      </w:pPr>
      <w:rPr>
        <w:rFonts w:ascii="Symbol" w:hAnsi="Symbol"/>
        <w:sz w:val="20"/>
      </w:rPr>
    </w:lvl>
    <w:lvl w:ilvl="2">
      <w:numFmt w:val="bullet"/>
      <w:lvlText w:val=""/>
      <w:lvlJc w:val="left"/>
      <w:pPr>
        <w:ind w:left="1800" w:hanging="360"/>
      </w:pPr>
      <w:rPr>
        <w:rFonts w:ascii="Wingdings" w:hAnsi="Wingdings"/>
        <w:sz w:val="20"/>
      </w:rPr>
    </w:lvl>
    <w:lvl w:ilvl="3">
      <w:numFmt w:val="bullet"/>
      <w:lvlText w:val=""/>
      <w:lvlJc w:val="left"/>
      <w:pPr>
        <w:ind w:left="2520" w:hanging="360"/>
      </w:pPr>
      <w:rPr>
        <w:rFonts w:ascii="Wingdings" w:hAnsi="Wingdings"/>
        <w:sz w:val="20"/>
      </w:rPr>
    </w:lvl>
    <w:lvl w:ilvl="4">
      <w:numFmt w:val="bullet"/>
      <w:lvlText w:val=""/>
      <w:lvlJc w:val="left"/>
      <w:pPr>
        <w:ind w:left="3240" w:hanging="360"/>
      </w:pPr>
      <w:rPr>
        <w:rFonts w:ascii="Wingdings" w:hAnsi="Wingdings"/>
        <w:sz w:val="20"/>
      </w:rPr>
    </w:lvl>
    <w:lvl w:ilvl="5">
      <w:numFmt w:val="bullet"/>
      <w:lvlText w:val=""/>
      <w:lvlJc w:val="left"/>
      <w:pPr>
        <w:ind w:left="3960" w:hanging="360"/>
      </w:pPr>
      <w:rPr>
        <w:rFonts w:ascii="Wingdings" w:hAnsi="Wingdings"/>
        <w:sz w:val="20"/>
      </w:rPr>
    </w:lvl>
    <w:lvl w:ilvl="6">
      <w:numFmt w:val="bullet"/>
      <w:lvlText w:val=""/>
      <w:lvlJc w:val="left"/>
      <w:pPr>
        <w:ind w:left="4680" w:hanging="360"/>
      </w:pPr>
      <w:rPr>
        <w:rFonts w:ascii="Wingdings" w:hAnsi="Wingdings"/>
        <w:sz w:val="20"/>
      </w:rPr>
    </w:lvl>
    <w:lvl w:ilvl="7">
      <w:numFmt w:val="bullet"/>
      <w:lvlText w:val=""/>
      <w:lvlJc w:val="left"/>
      <w:pPr>
        <w:ind w:left="5400" w:hanging="360"/>
      </w:pPr>
      <w:rPr>
        <w:rFonts w:ascii="Wingdings" w:hAnsi="Wingdings"/>
        <w:sz w:val="20"/>
      </w:rPr>
    </w:lvl>
    <w:lvl w:ilvl="8">
      <w:numFmt w:val="bullet"/>
      <w:lvlText w:val=""/>
      <w:lvlJc w:val="left"/>
      <w:pPr>
        <w:ind w:left="6120" w:hanging="360"/>
      </w:pPr>
      <w:rPr>
        <w:rFonts w:ascii="Wingdings" w:hAnsi="Wingdings"/>
        <w:sz w:val="20"/>
      </w:rPr>
    </w:lvl>
  </w:abstractNum>
  <w:abstractNum w:abstractNumId="93" w15:restartNumberingAfterBreak="0">
    <w:nsid w:val="52387E25"/>
    <w:multiLevelType w:val="hybridMultilevel"/>
    <w:tmpl w:val="C93A62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4" w15:restartNumberingAfterBreak="0">
    <w:nsid w:val="5424228D"/>
    <w:multiLevelType w:val="multilevel"/>
    <w:tmpl w:val="75FA7D46"/>
    <w:styleLink w:val="WWNum14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5" w15:restartNumberingAfterBreak="0">
    <w:nsid w:val="544067F9"/>
    <w:multiLevelType w:val="hybridMultilevel"/>
    <w:tmpl w:val="55680A84"/>
    <w:lvl w:ilvl="0" w:tplc="3FAE6BF4">
      <w:numFmt w:val="bullet"/>
      <w:lvlText w:val="-"/>
      <w:lvlJc w:val="left"/>
      <w:pPr>
        <w:ind w:left="1440" w:hanging="360"/>
      </w:pPr>
      <w:rPr>
        <w:rFonts w:ascii="Calibri" w:eastAsia="Times New Roman" w:hAnsi="Calibri" w:cs="Calibri" w:hint="default"/>
      </w:rPr>
    </w:lvl>
    <w:lvl w:ilvl="1" w:tplc="0C0A0003">
      <w:start w:val="1"/>
      <w:numFmt w:val="bullet"/>
      <w:lvlText w:val="o"/>
      <w:lvlJc w:val="left"/>
      <w:pPr>
        <w:ind w:left="2160" w:hanging="360"/>
      </w:pPr>
      <w:rPr>
        <w:rFonts w:ascii="Courier New" w:hAnsi="Courier New" w:cs="Courier New" w:hint="default"/>
      </w:rPr>
    </w:lvl>
    <w:lvl w:ilvl="2" w:tplc="0C0A0009">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6" w15:restartNumberingAfterBreak="0">
    <w:nsid w:val="54B31AEA"/>
    <w:multiLevelType w:val="hybridMultilevel"/>
    <w:tmpl w:val="AF76CFF6"/>
    <w:lvl w:ilvl="0" w:tplc="98904F94">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7" w15:restartNumberingAfterBreak="0">
    <w:nsid w:val="54E50F08"/>
    <w:multiLevelType w:val="hybridMultilevel"/>
    <w:tmpl w:val="99F4975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8" w15:restartNumberingAfterBreak="0">
    <w:nsid w:val="563617DC"/>
    <w:multiLevelType w:val="multilevel"/>
    <w:tmpl w:val="F9E6A17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9" w15:restartNumberingAfterBreak="0">
    <w:nsid w:val="564E4706"/>
    <w:multiLevelType w:val="hybridMultilevel"/>
    <w:tmpl w:val="5FC4594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0" w15:restartNumberingAfterBreak="0">
    <w:nsid w:val="58A04146"/>
    <w:multiLevelType w:val="multilevel"/>
    <w:tmpl w:val="9B12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090500"/>
    <w:multiLevelType w:val="multilevel"/>
    <w:tmpl w:val="154EB5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2" w15:restartNumberingAfterBreak="0">
    <w:nsid w:val="5A9D158F"/>
    <w:multiLevelType w:val="multilevel"/>
    <w:tmpl w:val="69788E1C"/>
    <w:styleLink w:val="WWNum712"/>
    <w:lvl w:ilvl="0">
      <w:numFmt w:val="bullet"/>
      <w:lvlText w:val=""/>
      <w:lvlJc w:val="left"/>
      <w:pPr>
        <w:ind w:left="108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03" w15:restartNumberingAfterBreak="0">
    <w:nsid w:val="5D7637A6"/>
    <w:multiLevelType w:val="hybridMultilevel"/>
    <w:tmpl w:val="1B52646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4" w15:restartNumberingAfterBreak="0">
    <w:nsid w:val="5E274A19"/>
    <w:multiLevelType w:val="hybridMultilevel"/>
    <w:tmpl w:val="DE447B30"/>
    <w:lvl w:ilvl="0" w:tplc="BAFCE77A">
      <w:start w:val="1"/>
      <w:numFmt w:val="bullet"/>
      <w:lvlText w:val=""/>
      <w:lvlJc w:val="left"/>
      <w:pPr>
        <w:ind w:left="0" w:firstLine="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15:restartNumberingAfterBreak="0">
    <w:nsid w:val="5FA5754C"/>
    <w:multiLevelType w:val="multilevel"/>
    <w:tmpl w:val="611CF1B0"/>
    <w:styleLink w:val="WWNum312"/>
    <w:lvl w:ilvl="0">
      <w:numFmt w:val="bullet"/>
      <w:lvlText w:val="-"/>
      <w:lvlJc w:val="left"/>
      <w:rPr>
        <w:rFonts w:ascii="Calibri" w:hAnsi="Calibri"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6" w15:restartNumberingAfterBreak="0">
    <w:nsid w:val="5FB323EE"/>
    <w:multiLevelType w:val="multilevel"/>
    <w:tmpl w:val="3F2E430E"/>
    <w:styleLink w:val="WWNum5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7" w15:restartNumberingAfterBreak="0">
    <w:nsid w:val="5FD07199"/>
    <w:multiLevelType w:val="hybridMultilevel"/>
    <w:tmpl w:val="9F3681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8" w15:restartNumberingAfterBreak="0">
    <w:nsid w:val="60F72EE8"/>
    <w:multiLevelType w:val="hybridMultilevel"/>
    <w:tmpl w:val="937EDE2E"/>
    <w:lvl w:ilvl="0" w:tplc="0C0A0003">
      <w:start w:val="1"/>
      <w:numFmt w:val="bullet"/>
      <w:lvlText w:val="o"/>
      <w:lvlJc w:val="left"/>
      <w:pPr>
        <w:ind w:left="2484" w:hanging="360"/>
      </w:pPr>
      <w:rPr>
        <w:rFonts w:ascii="Courier New" w:hAnsi="Courier New" w:cs="Courier New" w:hint="default"/>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109" w15:restartNumberingAfterBreak="0">
    <w:nsid w:val="61887031"/>
    <w:multiLevelType w:val="multilevel"/>
    <w:tmpl w:val="A12CC0C0"/>
    <w:lvl w:ilvl="0">
      <w:start w:val="1"/>
      <w:numFmt w:val="decimal"/>
      <w:lvlText w:val="%1."/>
      <w:lvlJc w:val="left"/>
      <w:pPr>
        <w:ind w:left="360" w:hanging="360"/>
      </w:pPr>
    </w:lvl>
    <w:lvl w:ilvl="1">
      <w:numFmt w:val="bullet"/>
      <w:lvlText w:val="-"/>
      <w:lvlJc w:val="left"/>
      <w:pPr>
        <w:ind w:left="1080" w:hanging="360"/>
      </w:pPr>
      <w:rPr>
        <w:rFonts w:ascii="Calibri" w:hAnsi="Calibri" w:cs="Calibri"/>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10" w15:restartNumberingAfterBreak="0">
    <w:nsid w:val="6308065A"/>
    <w:multiLevelType w:val="multilevel"/>
    <w:tmpl w:val="CC2AFED0"/>
    <w:lvl w:ilvl="0">
      <w:start w:val="1"/>
      <w:numFmt w:val="decimal"/>
      <w:lvlText w:val="%1."/>
      <w:lvlJc w:val="left"/>
      <w:pPr>
        <w:ind w:left="360" w:hanging="360"/>
      </w:pPr>
      <w:rPr>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11" w15:restartNumberingAfterBreak="0">
    <w:nsid w:val="636F77B8"/>
    <w:multiLevelType w:val="multilevel"/>
    <w:tmpl w:val="1C6CD6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64432335"/>
    <w:multiLevelType w:val="hybridMultilevel"/>
    <w:tmpl w:val="CD90A24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3" w15:restartNumberingAfterBreak="0">
    <w:nsid w:val="668D73C8"/>
    <w:multiLevelType w:val="multilevel"/>
    <w:tmpl w:val="FC8E79C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804258A"/>
    <w:multiLevelType w:val="multilevel"/>
    <w:tmpl w:val="D38E729C"/>
    <w:styleLink w:val="WWNum1611"/>
    <w:lvl w:ilvl="0">
      <w:start w:val="1"/>
      <w:numFmt w:val="decimal"/>
      <w:lvlText w:val="%1."/>
      <w:lvlJc w:val="left"/>
      <w:pPr>
        <w:ind w:left="360" w:hanging="360"/>
      </w:pPr>
      <w:rPr>
        <w:rFonts w:cs="TradeGothic-Light"/>
      </w:rPr>
    </w:lvl>
    <w:lvl w:ilvl="1">
      <w:start w:val="4"/>
      <w:numFmt w:val="decimal"/>
      <w:lvlText w:val="%1.%2."/>
      <w:lvlJc w:val="left"/>
      <w:pPr>
        <w:ind w:left="1080" w:hanging="720"/>
      </w:pPr>
      <w:rPr>
        <w:rFonts w:cs="TradeGothic-Light"/>
      </w:rPr>
    </w:lvl>
    <w:lvl w:ilvl="2">
      <w:start w:val="1"/>
      <w:numFmt w:val="decimal"/>
      <w:lvlText w:val="%1.%2.%3."/>
      <w:lvlJc w:val="left"/>
      <w:pPr>
        <w:ind w:left="1440" w:hanging="720"/>
      </w:pPr>
      <w:rPr>
        <w:rFonts w:cs="TradeGothic-Light"/>
      </w:rPr>
    </w:lvl>
    <w:lvl w:ilvl="3">
      <w:start w:val="1"/>
      <w:numFmt w:val="decimal"/>
      <w:lvlText w:val="%1.%2.%3.%4."/>
      <w:lvlJc w:val="left"/>
      <w:pPr>
        <w:ind w:left="2160" w:hanging="1080"/>
      </w:pPr>
      <w:rPr>
        <w:rFonts w:cs="TradeGothic-Light"/>
      </w:rPr>
    </w:lvl>
    <w:lvl w:ilvl="4">
      <w:start w:val="1"/>
      <w:numFmt w:val="decimal"/>
      <w:lvlText w:val="%1.%2.%3.%4.%5."/>
      <w:lvlJc w:val="left"/>
      <w:pPr>
        <w:ind w:left="2520" w:hanging="1080"/>
      </w:pPr>
      <w:rPr>
        <w:rFonts w:cs="TradeGothic-Light"/>
      </w:rPr>
    </w:lvl>
    <w:lvl w:ilvl="5">
      <w:start w:val="1"/>
      <w:numFmt w:val="decimal"/>
      <w:lvlText w:val="%1.%2.%3.%4.%5.%6."/>
      <w:lvlJc w:val="left"/>
      <w:pPr>
        <w:ind w:left="3240" w:hanging="1440"/>
      </w:pPr>
      <w:rPr>
        <w:rFonts w:cs="TradeGothic-Light"/>
      </w:rPr>
    </w:lvl>
    <w:lvl w:ilvl="6">
      <w:start w:val="1"/>
      <w:numFmt w:val="decimal"/>
      <w:lvlText w:val="%1.%2.%3.%4.%5.%6.%7."/>
      <w:lvlJc w:val="left"/>
      <w:pPr>
        <w:ind w:left="3600" w:hanging="1440"/>
      </w:pPr>
      <w:rPr>
        <w:rFonts w:cs="TradeGothic-Light"/>
      </w:rPr>
    </w:lvl>
    <w:lvl w:ilvl="7">
      <w:start w:val="1"/>
      <w:numFmt w:val="decimal"/>
      <w:lvlText w:val="%1.%2.%3.%4.%5.%6.%7.%8."/>
      <w:lvlJc w:val="left"/>
      <w:pPr>
        <w:ind w:left="4320" w:hanging="1800"/>
      </w:pPr>
      <w:rPr>
        <w:rFonts w:cs="TradeGothic-Light"/>
      </w:rPr>
    </w:lvl>
    <w:lvl w:ilvl="8">
      <w:start w:val="1"/>
      <w:numFmt w:val="decimal"/>
      <w:lvlText w:val="%1.%2.%3.%4.%5.%6.%7.%8.%9."/>
      <w:lvlJc w:val="left"/>
      <w:pPr>
        <w:ind w:left="4680" w:hanging="1800"/>
      </w:pPr>
      <w:rPr>
        <w:rFonts w:cs="TradeGothic-Light"/>
      </w:rPr>
    </w:lvl>
  </w:abstractNum>
  <w:abstractNum w:abstractNumId="115" w15:restartNumberingAfterBreak="0">
    <w:nsid w:val="6855465B"/>
    <w:multiLevelType w:val="multilevel"/>
    <w:tmpl w:val="8758CD92"/>
    <w:styleLink w:val="Estilo211"/>
    <w:lvl w:ilvl="0">
      <w:start w:val="2"/>
      <w:numFmt w:val="decimal"/>
      <w:lvlText w:val="%1."/>
      <w:lvlJc w:val="left"/>
      <w:pPr>
        <w:ind w:left="720" w:hanging="360"/>
      </w:pPr>
      <w:rPr>
        <w:rFonts w:hint="default"/>
      </w:rPr>
    </w:lvl>
    <w:lvl w:ilvl="1">
      <w:start w:val="2"/>
      <w:numFmt w:val="decimal"/>
      <w:isLgl/>
      <w:lvlText w:val="%1.%2."/>
      <w:lvlJc w:val="left"/>
      <w:pPr>
        <w:ind w:left="1695" w:hanging="720"/>
      </w:pPr>
      <w:rPr>
        <w:rFonts w:hint="default"/>
      </w:rPr>
    </w:lvl>
    <w:lvl w:ilvl="2">
      <w:start w:val="1"/>
      <w:numFmt w:val="decimal"/>
      <w:isLgl/>
      <w:lvlText w:val="%1.%2.%3."/>
      <w:lvlJc w:val="left"/>
      <w:pPr>
        <w:ind w:left="2310" w:hanging="720"/>
      </w:pPr>
      <w:rPr>
        <w:rFonts w:hint="default"/>
      </w:rPr>
    </w:lvl>
    <w:lvl w:ilvl="3">
      <w:start w:val="1"/>
      <w:numFmt w:val="decimal"/>
      <w:isLgl/>
      <w:lvlText w:val="%1.%2.%3.%4."/>
      <w:lvlJc w:val="left"/>
      <w:pPr>
        <w:ind w:left="328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875" w:hanging="1440"/>
      </w:pPr>
      <w:rPr>
        <w:rFonts w:hint="default"/>
      </w:rPr>
    </w:lvl>
    <w:lvl w:ilvl="6">
      <w:start w:val="1"/>
      <w:numFmt w:val="decimal"/>
      <w:isLgl/>
      <w:lvlText w:val="%1.%2.%3.%4.%5.%6.%7."/>
      <w:lvlJc w:val="left"/>
      <w:pPr>
        <w:ind w:left="5490" w:hanging="1440"/>
      </w:pPr>
      <w:rPr>
        <w:rFonts w:hint="default"/>
      </w:rPr>
    </w:lvl>
    <w:lvl w:ilvl="7">
      <w:start w:val="1"/>
      <w:numFmt w:val="decimal"/>
      <w:isLgl/>
      <w:lvlText w:val="%1.%2.%3.%4.%5.%6.%7.%8."/>
      <w:lvlJc w:val="left"/>
      <w:pPr>
        <w:ind w:left="6465" w:hanging="1800"/>
      </w:pPr>
      <w:rPr>
        <w:rFonts w:hint="default"/>
      </w:rPr>
    </w:lvl>
    <w:lvl w:ilvl="8">
      <w:start w:val="1"/>
      <w:numFmt w:val="decimal"/>
      <w:isLgl/>
      <w:lvlText w:val="%1.%2.%3.%4.%5.%6.%7.%8.%9."/>
      <w:lvlJc w:val="left"/>
      <w:pPr>
        <w:ind w:left="7080" w:hanging="1800"/>
      </w:pPr>
      <w:rPr>
        <w:rFonts w:hint="default"/>
      </w:rPr>
    </w:lvl>
  </w:abstractNum>
  <w:abstractNum w:abstractNumId="116" w15:restartNumberingAfterBreak="0">
    <w:nsid w:val="68BF3685"/>
    <w:multiLevelType w:val="hybridMultilevel"/>
    <w:tmpl w:val="90546E72"/>
    <w:lvl w:ilvl="0" w:tplc="84F66E30">
      <w:start w:val="1"/>
      <w:numFmt w:val="bullet"/>
      <w:lvlText w:val="-"/>
      <w:lvlJc w:val="left"/>
      <w:pPr>
        <w:ind w:left="720" w:hanging="360"/>
      </w:pPr>
      <w:rPr>
        <w:rFonts w:ascii="Sitka Small" w:hAnsi="Sitka Smal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7" w15:restartNumberingAfterBreak="0">
    <w:nsid w:val="696D417C"/>
    <w:multiLevelType w:val="hybridMultilevel"/>
    <w:tmpl w:val="3FECC618"/>
    <w:lvl w:ilvl="0" w:tplc="FE244498">
      <w:start w:val="1"/>
      <w:numFmt w:val="bullet"/>
      <w:lvlText w:val=""/>
      <w:lvlJc w:val="left"/>
      <w:pPr>
        <w:ind w:left="757" w:hanging="360"/>
      </w:pPr>
      <w:rPr>
        <w:rFonts w:ascii="Wingdings" w:hAnsi="Wingdings" w:hint="default"/>
        <w:color w:val="auto"/>
      </w:rPr>
    </w:lvl>
    <w:lvl w:ilvl="1" w:tplc="0C0A0003" w:tentative="1">
      <w:start w:val="1"/>
      <w:numFmt w:val="bullet"/>
      <w:lvlText w:val="o"/>
      <w:lvlJc w:val="left"/>
      <w:pPr>
        <w:ind w:left="1477" w:hanging="360"/>
      </w:pPr>
      <w:rPr>
        <w:rFonts w:ascii="Courier New" w:hAnsi="Courier New" w:cs="Courier New" w:hint="default"/>
      </w:rPr>
    </w:lvl>
    <w:lvl w:ilvl="2" w:tplc="0C0A0005" w:tentative="1">
      <w:start w:val="1"/>
      <w:numFmt w:val="bullet"/>
      <w:lvlText w:val=""/>
      <w:lvlJc w:val="left"/>
      <w:pPr>
        <w:ind w:left="2197" w:hanging="360"/>
      </w:pPr>
      <w:rPr>
        <w:rFonts w:ascii="Wingdings" w:hAnsi="Wingdings" w:hint="default"/>
      </w:rPr>
    </w:lvl>
    <w:lvl w:ilvl="3" w:tplc="0C0A0001" w:tentative="1">
      <w:start w:val="1"/>
      <w:numFmt w:val="bullet"/>
      <w:lvlText w:val=""/>
      <w:lvlJc w:val="left"/>
      <w:pPr>
        <w:ind w:left="2917" w:hanging="360"/>
      </w:pPr>
      <w:rPr>
        <w:rFonts w:ascii="Symbol" w:hAnsi="Symbol" w:hint="default"/>
      </w:rPr>
    </w:lvl>
    <w:lvl w:ilvl="4" w:tplc="0C0A0003" w:tentative="1">
      <w:start w:val="1"/>
      <w:numFmt w:val="bullet"/>
      <w:lvlText w:val="o"/>
      <w:lvlJc w:val="left"/>
      <w:pPr>
        <w:ind w:left="3637" w:hanging="360"/>
      </w:pPr>
      <w:rPr>
        <w:rFonts w:ascii="Courier New" w:hAnsi="Courier New" w:cs="Courier New" w:hint="default"/>
      </w:rPr>
    </w:lvl>
    <w:lvl w:ilvl="5" w:tplc="0C0A0005" w:tentative="1">
      <w:start w:val="1"/>
      <w:numFmt w:val="bullet"/>
      <w:lvlText w:val=""/>
      <w:lvlJc w:val="left"/>
      <w:pPr>
        <w:ind w:left="4357" w:hanging="360"/>
      </w:pPr>
      <w:rPr>
        <w:rFonts w:ascii="Wingdings" w:hAnsi="Wingdings" w:hint="default"/>
      </w:rPr>
    </w:lvl>
    <w:lvl w:ilvl="6" w:tplc="0C0A0001" w:tentative="1">
      <w:start w:val="1"/>
      <w:numFmt w:val="bullet"/>
      <w:lvlText w:val=""/>
      <w:lvlJc w:val="left"/>
      <w:pPr>
        <w:ind w:left="5077" w:hanging="360"/>
      </w:pPr>
      <w:rPr>
        <w:rFonts w:ascii="Symbol" w:hAnsi="Symbol" w:hint="default"/>
      </w:rPr>
    </w:lvl>
    <w:lvl w:ilvl="7" w:tplc="0C0A0003" w:tentative="1">
      <w:start w:val="1"/>
      <w:numFmt w:val="bullet"/>
      <w:lvlText w:val="o"/>
      <w:lvlJc w:val="left"/>
      <w:pPr>
        <w:ind w:left="5797" w:hanging="360"/>
      </w:pPr>
      <w:rPr>
        <w:rFonts w:ascii="Courier New" w:hAnsi="Courier New" w:cs="Courier New" w:hint="default"/>
      </w:rPr>
    </w:lvl>
    <w:lvl w:ilvl="8" w:tplc="0C0A0005" w:tentative="1">
      <w:start w:val="1"/>
      <w:numFmt w:val="bullet"/>
      <w:lvlText w:val=""/>
      <w:lvlJc w:val="left"/>
      <w:pPr>
        <w:ind w:left="6517" w:hanging="360"/>
      </w:pPr>
      <w:rPr>
        <w:rFonts w:ascii="Wingdings" w:hAnsi="Wingdings" w:hint="default"/>
      </w:rPr>
    </w:lvl>
  </w:abstractNum>
  <w:abstractNum w:abstractNumId="118" w15:restartNumberingAfterBreak="0">
    <w:nsid w:val="69FA7643"/>
    <w:multiLevelType w:val="hybridMultilevel"/>
    <w:tmpl w:val="86CE1B9C"/>
    <w:lvl w:ilvl="0" w:tplc="88EEA60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9" w15:restartNumberingAfterBreak="0">
    <w:nsid w:val="6AC43C8D"/>
    <w:multiLevelType w:val="multilevel"/>
    <w:tmpl w:val="588A017A"/>
    <w:styleLink w:val="WWNum73"/>
    <w:lvl w:ilvl="0">
      <w:start w:val="1"/>
      <w:numFmt w:val="upperLetter"/>
      <w:lvlText w:val="%1."/>
      <w:lvlJc w:val="left"/>
      <w:rPr>
        <w:rFonts w:cs="Times New Roman"/>
        <w:b/>
        <w:i w:val="0"/>
        <w:sz w:val="24"/>
        <w:szCs w:val="24"/>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b/>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0" w15:restartNumberingAfterBreak="0">
    <w:nsid w:val="6BAA1AD2"/>
    <w:multiLevelType w:val="hybridMultilevel"/>
    <w:tmpl w:val="56CE7A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1" w15:restartNumberingAfterBreak="0">
    <w:nsid w:val="6BF60D4D"/>
    <w:multiLevelType w:val="hybridMultilevel"/>
    <w:tmpl w:val="092653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2" w15:restartNumberingAfterBreak="0">
    <w:nsid w:val="6DBD2A0D"/>
    <w:multiLevelType w:val="multilevel"/>
    <w:tmpl w:val="D9A4FCC6"/>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3" w15:restartNumberingAfterBreak="0">
    <w:nsid w:val="6E114E31"/>
    <w:multiLevelType w:val="hybridMultilevel"/>
    <w:tmpl w:val="0814382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4" w15:restartNumberingAfterBreak="0">
    <w:nsid w:val="6F165EA9"/>
    <w:multiLevelType w:val="hybridMultilevel"/>
    <w:tmpl w:val="228CD908"/>
    <w:lvl w:ilvl="0" w:tplc="0C0A000B">
      <w:start w:val="1"/>
      <w:numFmt w:val="bullet"/>
      <w:lvlText w:val=""/>
      <w:lvlJc w:val="left"/>
      <w:pPr>
        <w:ind w:left="757" w:hanging="360"/>
      </w:pPr>
      <w:rPr>
        <w:rFonts w:ascii="Wingdings" w:hAnsi="Wingdings" w:hint="default"/>
      </w:rPr>
    </w:lvl>
    <w:lvl w:ilvl="1" w:tplc="0C0A0003" w:tentative="1">
      <w:start w:val="1"/>
      <w:numFmt w:val="bullet"/>
      <w:lvlText w:val="o"/>
      <w:lvlJc w:val="left"/>
      <w:pPr>
        <w:ind w:left="1477" w:hanging="360"/>
      </w:pPr>
      <w:rPr>
        <w:rFonts w:ascii="Courier New" w:hAnsi="Courier New" w:cs="Courier New" w:hint="default"/>
      </w:rPr>
    </w:lvl>
    <w:lvl w:ilvl="2" w:tplc="0C0A0005" w:tentative="1">
      <w:start w:val="1"/>
      <w:numFmt w:val="bullet"/>
      <w:lvlText w:val=""/>
      <w:lvlJc w:val="left"/>
      <w:pPr>
        <w:ind w:left="2197" w:hanging="360"/>
      </w:pPr>
      <w:rPr>
        <w:rFonts w:ascii="Wingdings" w:hAnsi="Wingdings" w:hint="default"/>
      </w:rPr>
    </w:lvl>
    <w:lvl w:ilvl="3" w:tplc="0C0A0001" w:tentative="1">
      <w:start w:val="1"/>
      <w:numFmt w:val="bullet"/>
      <w:lvlText w:val=""/>
      <w:lvlJc w:val="left"/>
      <w:pPr>
        <w:ind w:left="2917" w:hanging="360"/>
      </w:pPr>
      <w:rPr>
        <w:rFonts w:ascii="Symbol" w:hAnsi="Symbol" w:hint="default"/>
      </w:rPr>
    </w:lvl>
    <w:lvl w:ilvl="4" w:tplc="0C0A0003" w:tentative="1">
      <w:start w:val="1"/>
      <w:numFmt w:val="bullet"/>
      <w:lvlText w:val="o"/>
      <w:lvlJc w:val="left"/>
      <w:pPr>
        <w:ind w:left="3637" w:hanging="360"/>
      </w:pPr>
      <w:rPr>
        <w:rFonts w:ascii="Courier New" w:hAnsi="Courier New" w:cs="Courier New" w:hint="default"/>
      </w:rPr>
    </w:lvl>
    <w:lvl w:ilvl="5" w:tplc="0C0A0005" w:tentative="1">
      <w:start w:val="1"/>
      <w:numFmt w:val="bullet"/>
      <w:lvlText w:val=""/>
      <w:lvlJc w:val="left"/>
      <w:pPr>
        <w:ind w:left="4357" w:hanging="360"/>
      </w:pPr>
      <w:rPr>
        <w:rFonts w:ascii="Wingdings" w:hAnsi="Wingdings" w:hint="default"/>
      </w:rPr>
    </w:lvl>
    <w:lvl w:ilvl="6" w:tplc="0C0A0001" w:tentative="1">
      <w:start w:val="1"/>
      <w:numFmt w:val="bullet"/>
      <w:lvlText w:val=""/>
      <w:lvlJc w:val="left"/>
      <w:pPr>
        <w:ind w:left="5077" w:hanging="360"/>
      </w:pPr>
      <w:rPr>
        <w:rFonts w:ascii="Symbol" w:hAnsi="Symbol" w:hint="default"/>
      </w:rPr>
    </w:lvl>
    <w:lvl w:ilvl="7" w:tplc="0C0A0003" w:tentative="1">
      <w:start w:val="1"/>
      <w:numFmt w:val="bullet"/>
      <w:lvlText w:val="o"/>
      <w:lvlJc w:val="left"/>
      <w:pPr>
        <w:ind w:left="5797" w:hanging="360"/>
      </w:pPr>
      <w:rPr>
        <w:rFonts w:ascii="Courier New" w:hAnsi="Courier New" w:cs="Courier New" w:hint="default"/>
      </w:rPr>
    </w:lvl>
    <w:lvl w:ilvl="8" w:tplc="0C0A0005" w:tentative="1">
      <w:start w:val="1"/>
      <w:numFmt w:val="bullet"/>
      <w:lvlText w:val=""/>
      <w:lvlJc w:val="left"/>
      <w:pPr>
        <w:ind w:left="6517" w:hanging="360"/>
      </w:pPr>
      <w:rPr>
        <w:rFonts w:ascii="Wingdings" w:hAnsi="Wingdings" w:hint="default"/>
      </w:rPr>
    </w:lvl>
  </w:abstractNum>
  <w:abstractNum w:abstractNumId="125" w15:restartNumberingAfterBreak="0">
    <w:nsid w:val="6FD646EF"/>
    <w:multiLevelType w:val="multilevel"/>
    <w:tmpl w:val="0510B658"/>
    <w:styleLink w:val="WWNum2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705B1EDD"/>
    <w:multiLevelType w:val="multilevel"/>
    <w:tmpl w:val="67AA6AE8"/>
    <w:lvl w:ilvl="0">
      <w:numFmt w:val="bullet"/>
      <w:lvlText w:val="-"/>
      <w:lvlJc w:val="left"/>
      <w:pPr>
        <w:ind w:left="360" w:hanging="360"/>
      </w:pPr>
      <w:rPr>
        <w:rFonts w:ascii="Calibri" w:eastAsia="Times New Roman" w:hAnsi="Calibri" w:cs="Calibri"/>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7" w15:restartNumberingAfterBreak="0">
    <w:nsid w:val="70996760"/>
    <w:multiLevelType w:val="multilevel"/>
    <w:tmpl w:val="E76A6064"/>
    <w:styleLink w:val="WWNum14"/>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8" w15:restartNumberingAfterBreak="0">
    <w:nsid w:val="70D20637"/>
    <w:multiLevelType w:val="hybridMultilevel"/>
    <w:tmpl w:val="24FA1212"/>
    <w:lvl w:ilvl="0" w:tplc="7F5C8286">
      <w:start w:val="1"/>
      <w:numFmt w:val="bullet"/>
      <w:lvlText w:val=""/>
      <w:lvlJc w:val="left"/>
      <w:pPr>
        <w:ind w:left="0" w:firstLine="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9" w15:restartNumberingAfterBreak="0">
    <w:nsid w:val="716C16C9"/>
    <w:multiLevelType w:val="multilevel"/>
    <w:tmpl w:val="3340945C"/>
    <w:lvl w:ilvl="0">
      <w:start w:val="1"/>
      <w:numFmt w:val="decimal"/>
      <w:lvlText w:val="%1."/>
      <w:lvlJc w:val="left"/>
      <w:pPr>
        <w:tabs>
          <w:tab w:val="num" w:pos="720"/>
        </w:tabs>
        <w:ind w:left="720" w:hanging="360"/>
      </w:pPr>
      <w:rPr>
        <w:b w:val="0"/>
        <w:i w:val="0"/>
        <w:sz w:val="24"/>
        <w:szCs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0" w15:restartNumberingAfterBreak="0">
    <w:nsid w:val="72236651"/>
    <w:multiLevelType w:val="multilevel"/>
    <w:tmpl w:val="1A2EB548"/>
    <w:styleLink w:val="WWNum82"/>
    <w:lvl w:ilvl="0">
      <w:numFmt w:val="bullet"/>
      <w:lvlText w:val=""/>
      <w:lvlJc w:val="left"/>
      <w:rPr>
        <w:rFonts w:ascii="Symbol" w:hAnsi="Symbol" w:cs="Times New Roman"/>
        <w:sz w:val="2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1" w15:restartNumberingAfterBreak="0">
    <w:nsid w:val="72FB6622"/>
    <w:multiLevelType w:val="multilevel"/>
    <w:tmpl w:val="D550EAFC"/>
    <w:styleLink w:val="WW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2" w15:restartNumberingAfterBreak="0">
    <w:nsid w:val="73F606D3"/>
    <w:multiLevelType w:val="multilevel"/>
    <w:tmpl w:val="0C50B940"/>
    <w:styleLink w:val="WWNum7112"/>
    <w:lvl w:ilvl="0">
      <w:start w:val="1"/>
      <w:numFmt w:val="decimal"/>
      <w:lvlText w:val="%1."/>
      <w:lvlJc w:val="left"/>
      <w:pPr>
        <w:ind w:left="720" w:hanging="360"/>
      </w:pPr>
    </w:lvl>
    <w:lvl w:ilvl="1">
      <w:start w:val="5"/>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3" w15:restartNumberingAfterBreak="0">
    <w:nsid w:val="76766264"/>
    <w:multiLevelType w:val="multilevel"/>
    <w:tmpl w:val="AFAAACA4"/>
    <w:styleLink w:val="WWNum10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4" w15:restartNumberingAfterBreak="0">
    <w:nsid w:val="7690384F"/>
    <w:multiLevelType w:val="hybridMultilevel"/>
    <w:tmpl w:val="14FC8D5C"/>
    <w:lvl w:ilvl="0" w:tplc="62EC7702">
      <w:start w:val="1"/>
      <w:numFmt w:val="decimal"/>
      <w:lvlText w:val="%1."/>
      <w:lvlJc w:val="left"/>
      <w:pPr>
        <w:ind w:left="720" w:hanging="360"/>
      </w:pPr>
      <w:rPr>
        <w:b w:val="0"/>
        <w:i w:val="0"/>
        <w:color w:val="auto"/>
      </w:rPr>
    </w:lvl>
    <w:lvl w:ilvl="1" w:tplc="0D0E1B06">
      <w:numFmt w:val="bullet"/>
      <w:lvlText w:val="•"/>
      <w:lvlJc w:val="left"/>
      <w:pPr>
        <w:ind w:left="1788" w:hanging="708"/>
      </w:pPr>
      <w:rPr>
        <w:rFonts w:ascii="Calibri" w:eastAsia="Times New Roman"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5" w15:restartNumberingAfterBreak="0">
    <w:nsid w:val="76AE337A"/>
    <w:multiLevelType w:val="multilevel"/>
    <w:tmpl w:val="07BC0648"/>
    <w:styleLink w:val="WWNum17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6" w15:restartNumberingAfterBreak="0">
    <w:nsid w:val="76E16430"/>
    <w:multiLevelType w:val="hybridMultilevel"/>
    <w:tmpl w:val="A8B48E70"/>
    <w:styleLink w:val="WWNum91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7" w15:restartNumberingAfterBreak="0">
    <w:nsid w:val="77EC5AF0"/>
    <w:multiLevelType w:val="multilevel"/>
    <w:tmpl w:val="D752093E"/>
    <w:styleLink w:val="WWNum1412"/>
    <w:lvl w:ilvl="0">
      <w:start w:val="3"/>
      <w:numFmt w:val="decimal"/>
      <w:lvlText w:val="%1."/>
      <w:lvlJc w:val="left"/>
      <w:pPr>
        <w:ind w:left="720" w:hanging="360"/>
      </w:pPr>
    </w:lvl>
    <w:lvl w:ilvl="1">
      <w:start w:val="2"/>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38" w15:restartNumberingAfterBreak="0">
    <w:nsid w:val="78AF1D45"/>
    <w:multiLevelType w:val="multilevel"/>
    <w:tmpl w:val="4420CC10"/>
    <w:styleLink w:val="WWNum512"/>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9" w15:restartNumberingAfterBreak="0">
    <w:nsid w:val="78E65A66"/>
    <w:multiLevelType w:val="multilevel"/>
    <w:tmpl w:val="81701116"/>
    <w:styleLink w:val="WWNum141"/>
    <w:lvl w:ilvl="0">
      <w:start w:val="3"/>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0" w15:restartNumberingAfterBreak="0">
    <w:nsid w:val="7AAE2844"/>
    <w:multiLevelType w:val="hybridMultilevel"/>
    <w:tmpl w:val="9E14E200"/>
    <w:lvl w:ilvl="0" w:tplc="3B0C957E">
      <w:start w:val="2"/>
      <w:numFmt w:val="bullet"/>
      <w:lvlText w:val="-"/>
      <w:lvlJc w:val="left"/>
      <w:pPr>
        <w:ind w:left="786" w:hanging="360"/>
      </w:pPr>
      <w:rPr>
        <w:rFonts w:ascii="Cambria" w:eastAsia="Times New Roman" w:hAnsi="Cambria" w:hint="default"/>
      </w:rPr>
    </w:lvl>
    <w:lvl w:ilvl="1" w:tplc="0C0A0003" w:tentative="1">
      <w:start w:val="1"/>
      <w:numFmt w:val="bullet"/>
      <w:lvlText w:val="o"/>
      <w:lvlJc w:val="left"/>
      <w:pPr>
        <w:ind w:left="1506" w:hanging="360"/>
      </w:pPr>
      <w:rPr>
        <w:rFonts w:ascii="Courier New" w:hAnsi="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41" w15:restartNumberingAfterBreak="0">
    <w:nsid w:val="7B3154E4"/>
    <w:multiLevelType w:val="multilevel"/>
    <w:tmpl w:val="E320C35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2" w15:restartNumberingAfterBreak="0">
    <w:nsid w:val="7D782EA8"/>
    <w:multiLevelType w:val="multilevel"/>
    <w:tmpl w:val="65E2E430"/>
    <w:styleLink w:val="WWNum21"/>
    <w:lvl w:ilvl="0">
      <w:start w:val="1"/>
      <w:numFmt w:val="decimal"/>
      <w:lvlText w:val="%1."/>
      <w:lvlJc w:val="left"/>
      <w:pPr>
        <w:ind w:left="1064" w:hanging="360"/>
      </w:pPr>
      <w:rPr>
        <w:rFonts w:ascii="Calibri" w:hAnsi="Calibri" w:cs="Times New Roman" w:hint="default"/>
        <w:sz w:val="22"/>
        <w:szCs w:val="22"/>
      </w:rPr>
    </w:lvl>
    <w:lvl w:ilvl="1">
      <w:start w:val="1"/>
      <w:numFmt w:val="decimal"/>
      <w:isLgl/>
      <w:lvlText w:val="%1.%2."/>
      <w:lvlJc w:val="left"/>
      <w:pPr>
        <w:ind w:left="1424" w:hanging="720"/>
      </w:pPr>
      <w:rPr>
        <w:rFonts w:hint="default"/>
      </w:rPr>
    </w:lvl>
    <w:lvl w:ilvl="2">
      <w:start w:val="1"/>
      <w:numFmt w:val="upperLetter"/>
      <w:isLgl/>
      <w:lvlText w:val="%1.%2.%3."/>
      <w:lvlJc w:val="left"/>
      <w:pPr>
        <w:ind w:left="1424" w:hanging="720"/>
      </w:pPr>
      <w:rPr>
        <w:rFonts w:hint="default"/>
      </w:rPr>
    </w:lvl>
    <w:lvl w:ilvl="3">
      <w:start w:val="1"/>
      <w:numFmt w:val="upperLetter"/>
      <w:isLgl/>
      <w:lvlText w:val="%1.%2.%3.%4."/>
      <w:lvlJc w:val="left"/>
      <w:pPr>
        <w:ind w:left="1784" w:hanging="1080"/>
      </w:pPr>
      <w:rPr>
        <w:rFonts w:hint="default"/>
      </w:rPr>
    </w:lvl>
    <w:lvl w:ilvl="4">
      <w:start w:val="1"/>
      <w:numFmt w:val="decimal"/>
      <w:isLgl/>
      <w:lvlText w:val="%1.%2.%3.%4.%5."/>
      <w:lvlJc w:val="left"/>
      <w:pPr>
        <w:ind w:left="1784" w:hanging="1080"/>
      </w:pPr>
      <w:rPr>
        <w:rFonts w:hint="default"/>
      </w:rPr>
    </w:lvl>
    <w:lvl w:ilvl="5">
      <w:start w:val="1"/>
      <w:numFmt w:val="decimal"/>
      <w:isLgl/>
      <w:lvlText w:val="%1.%2.%3.%4.%5.%6."/>
      <w:lvlJc w:val="left"/>
      <w:pPr>
        <w:ind w:left="2144" w:hanging="1440"/>
      </w:pPr>
      <w:rPr>
        <w:rFonts w:hint="default"/>
      </w:rPr>
    </w:lvl>
    <w:lvl w:ilvl="6">
      <w:start w:val="1"/>
      <w:numFmt w:val="decimal"/>
      <w:isLgl/>
      <w:lvlText w:val="%1.%2.%3.%4.%5.%6.%7."/>
      <w:lvlJc w:val="left"/>
      <w:pPr>
        <w:ind w:left="2144" w:hanging="1440"/>
      </w:pPr>
      <w:rPr>
        <w:rFonts w:hint="default"/>
      </w:rPr>
    </w:lvl>
    <w:lvl w:ilvl="7">
      <w:start w:val="1"/>
      <w:numFmt w:val="decimal"/>
      <w:isLgl/>
      <w:lvlText w:val="%1.%2.%3.%4.%5.%6.%7.%8."/>
      <w:lvlJc w:val="left"/>
      <w:pPr>
        <w:ind w:left="2504" w:hanging="1800"/>
      </w:pPr>
      <w:rPr>
        <w:rFonts w:hint="default"/>
      </w:rPr>
    </w:lvl>
    <w:lvl w:ilvl="8">
      <w:start w:val="1"/>
      <w:numFmt w:val="decimal"/>
      <w:isLgl/>
      <w:lvlText w:val="%1.%2.%3.%4.%5.%6.%7.%8.%9."/>
      <w:lvlJc w:val="left"/>
      <w:pPr>
        <w:ind w:left="2504" w:hanging="1800"/>
      </w:pPr>
      <w:rPr>
        <w:rFonts w:hint="default"/>
      </w:rPr>
    </w:lvl>
  </w:abstractNum>
  <w:abstractNum w:abstractNumId="143" w15:restartNumberingAfterBreak="0">
    <w:nsid w:val="7DEE5566"/>
    <w:multiLevelType w:val="multilevel"/>
    <w:tmpl w:val="BDCA87CE"/>
    <w:styleLink w:val="WWNum92"/>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4" w15:restartNumberingAfterBreak="0">
    <w:nsid w:val="7F1A5871"/>
    <w:multiLevelType w:val="hybridMultilevel"/>
    <w:tmpl w:val="F8FC799E"/>
    <w:styleLink w:val="WWNum91"/>
    <w:lvl w:ilvl="0" w:tplc="88EEA60A">
      <w:numFmt w:val="bullet"/>
      <w:lvlText w:val="-"/>
      <w:lvlJc w:val="left"/>
      <w:pPr>
        <w:tabs>
          <w:tab w:val="num" w:pos="900"/>
        </w:tabs>
        <w:ind w:left="90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EDED186">
      <w:start w:val="1"/>
      <w:numFmt w:val="upperLetter"/>
      <w:lvlText w:val="%3."/>
      <w:lvlJc w:val="left"/>
      <w:pPr>
        <w:tabs>
          <w:tab w:val="num" w:pos="2160"/>
        </w:tabs>
        <w:ind w:left="2160" w:hanging="360"/>
      </w:pPr>
      <w:rPr>
        <w:rFont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7F8C050B"/>
    <w:multiLevelType w:val="hybridMultilevel"/>
    <w:tmpl w:val="553EAD1E"/>
    <w:lvl w:ilvl="0" w:tplc="492810D4">
      <w:start w:val="1"/>
      <w:numFmt w:val="bullet"/>
      <w:lvlText w:val=""/>
      <w:lvlJc w:val="left"/>
      <w:pPr>
        <w:ind w:left="0" w:firstLine="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115"/>
  </w:num>
  <w:num w:numId="3">
    <w:abstractNumId w:val="136"/>
  </w:num>
  <w:num w:numId="4">
    <w:abstractNumId w:val="74"/>
  </w:num>
  <w:num w:numId="5">
    <w:abstractNumId w:val="16"/>
  </w:num>
  <w:num w:numId="6">
    <w:abstractNumId w:val="42"/>
  </w:num>
  <w:num w:numId="7">
    <w:abstractNumId w:val="144"/>
  </w:num>
  <w:num w:numId="8">
    <w:abstractNumId w:val="142"/>
  </w:num>
  <w:num w:numId="9">
    <w:abstractNumId w:val="73"/>
  </w:num>
  <w:num w:numId="10">
    <w:abstractNumId w:val="139"/>
  </w:num>
  <w:num w:numId="11">
    <w:abstractNumId w:val="75"/>
  </w:num>
  <w:num w:numId="12">
    <w:abstractNumId w:val="79"/>
  </w:num>
  <w:num w:numId="13">
    <w:abstractNumId w:val="47"/>
  </w:num>
  <w:num w:numId="14">
    <w:abstractNumId w:val="62"/>
  </w:num>
  <w:num w:numId="15">
    <w:abstractNumId w:val="37"/>
  </w:num>
  <w:num w:numId="16">
    <w:abstractNumId w:val="43"/>
  </w:num>
  <w:num w:numId="17">
    <w:abstractNumId w:val="118"/>
  </w:num>
  <w:num w:numId="18">
    <w:abstractNumId w:val="35"/>
  </w:num>
  <w:num w:numId="19">
    <w:abstractNumId w:val="70"/>
  </w:num>
  <w:num w:numId="20">
    <w:abstractNumId w:val="17"/>
  </w:num>
  <w:num w:numId="21">
    <w:abstractNumId w:val="131"/>
  </w:num>
  <w:num w:numId="22">
    <w:abstractNumId w:val="55"/>
  </w:num>
  <w:num w:numId="23">
    <w:abstractNumId w:val="48"/>
  </w:num>
  <w:num w:numId="24">
    <w:abstractNumId w:val="127"/>
  </w:num>
  <w:num w:numId="25">
    <w:abstractNumId w:val="40"/>
  </w:num>
  <w:num w:numId="26">
    <w:abstractNumId w:val="65"/>
  </w:num>
  <w:num w:numId="27">
    <w:abstractNumId w:val="15"/>
  </w:num>
  <w:num w:numId="28">
    <w:abstractNumId w:val="13"/>
  </w:num>
  <w:num w:numId="29">
    <w:abstractNumId w:val="32"/>
  </w:num>
  <w:num w:numId="30">
    <w:abstractNumId w:val="140"/>
  </w:num>
  <w:num w:numId="31">
    <w:abstractNumId w:val="113"/>
  </w:num>
  <w:num w:numId="32">
    <w:abstractNumId w:val="86"/>
  </w:num>
  <w:num w:numId="33">
    <w:abstractNumId w:val="111"/>
  </w:num>
  <w:num w:numId="34">
    <w:abstractNumId w:val="72"/>
  </w:num>
  <w:num w:numId="35">
    <w:abstractNumId w:val="93"/>
  </w:num>
  <w:num w:numId="36">
    <w:abstractNumId w:val="50"/>
  </w:num>
  <w:num w:numId="37">
    <w:abstractNumId w:val="90"/>
  </w:num>
  <w:num w:numId="38">
    <w:abstractNumId w:val="45"/>
  </w:num>
  <w:num w:numId="39">
    <w:abstractNumId w:val="38"/>
  </w:num>
  <w:num w:numId="40">
    <w:abstractNumId w:val="134"/>
  </w:num>
  <w:num w:numId="41">
    <w:abstractNumId w:val="120"/>
  </w:num>
  <w:num w:numId="42">
    <w:abstractNumId w:val="95"/>
  </w:num>
  <w:num w:numId="43">
    <w:abstractNumId w:val="78"/>
  </w:num>
  <w:num w:numId="44">
    <w:abstractNumId w:val="124"/>
  </w:num>
  <w:num w:numId="45">
    <w:abstractNumId w:val="88"/>
  </w:num>
  <w:num w:numId="46">
    <w:abstractNumId w:val="117"/>
  </w:num>
  <w:num w:numId="47">
    <w:abstractNumId w:val="59"/>
  </w:num>
  <w:num w:numId="48">
    <w:abstractNumId w:val="61"/>
  </w:num>
  <w:num w:numId="49">
    <w:abstractNumId w:val="29"/>
  </w:num>
  <w:num w:numId="50">
    <w:abstractNumId w:val="18"/>
  </w:num>
  <w:num w:numId="51">
    <w:abstractNumId w:val="11"/>
  </w:num>
  <w:num w:numId="52">
    <w:abstractNumId w:val="91"/>
  </w:num>
  <w:num w:numId="53">
    <w:abstractNumId w:val="67"/>
  </w:num>
  <w:num w:numId="54">
    <w:abstractNumId w:val="128"/>
  </w:num>
  <w:num w:numId="55">
    <w:abstractNumId w:val="104"/>
  </w:num>
  <w:num w:numId="56">
    <w:abstractNumId w:val="145"/>
  </w:num>
  <w:num w:numId="57">
    <w:abstractNumId w:val="14"/>
  </w:num>
  <w:num w:numId="58">
    <w:abstractNumId w:val="36"/>
  </w:num>
  <w:num w:numId="59">
    <w:abstractNumId w:val="129"/>
  </w:num>
  <w:num w:numId="60">
    <w:abstractNumId w:val="21"/>
  </w:num>
  <w:num w:numId="61">
    <w:abstractNumId w:val="71"/>
  </w:num>
  <w:num w:numId="62">
    <w:abstractNumId w:val="99"/>
  </w:num>
  <w:num w:numId="63">
    <w:abstractNumId w:val="5"/>
  </w:num>
  <w:num w:numId="64">
    <w:abstractNumId w:val="19"/>
  </w:num>
  <w:num w:numId="65">
    <w:abstractNumId w:val="28"/>
  </w:num>
  <w:num w:numId="66">
    <w:abstractNumId w:val="44"/>
  </w:num>
  <w:num w:numId="67">
    <w:abstractNumId w:val="56"/>
  </w:num>
  <w:num w:numId="68">
    <w:abstractNumId w:val="89"/>
  </w:num>
  <w:num w:numId="69">
    <w:abstractNumId w:val="7"/>
  </w:num>
  <w:num w:numId="70">
    <w:abstractNumId w:val="60"/>
  </w:num>
  <w:num w:numId="71">
    <w:abstractNumId w:val="87"/>
  </w:num>
  <w:num w:numId="72">
    <w:abstractNumId w:val="85"/>
  </w:num>
  <w:num w:numId="73">
    <w:abstractNumId w:val="81"/>
  </w:num>
  <w:num w:numId="74">
    <w:abstractNumId w:val="77"/>
  </w:num>
  <w:num w:numId="75">
    <w:abstractNumId w:val="3"/>
  </w:num>
  <w:num w:numId="76">
    <w:abstractNumId w:val="10"/>
  </w:num>
  <w:num w:numId="77">
    <w:abstractNumId w:val="84"/>
  </w:num>
  <w:num w:numId="78">
    <w:abstractNumId w:val="20"/>
  </w:num>
  <w:num w:numId="79">
    <w:abstractNumId w:val="103"/>
  </w:num>
  <w:num w:numId="80">
    <w:abstractNumId w:val="100"/>
  </w:num>
  <w:num w:numId="81">
    <w:abstractNumId w:val="49"/>
  </w:num>
  <w:num w:numId="82">
    <w:abstractNumId w:val="27"/>
  </w:num>
  <w:num w:numId="83">
    <w:abstractNumId w:val="130"/>
  </w:num>
  <w:num w:numId="84">
    <w:abstractNumId w:val="143"/>
  </w:num>
  <w:num w:numId="85">
    <w:abstractNumId w:val="76"/>
  </w:num>
  <w:num w:numId="86">
    <w:abstractNumId w:val="106"/>
  </w:num>
  <w:num w:numId="87">
    <w:abstractNumId w:val="119"/>
  </w:num>
  <w:num w:numId="88">
    <w:abstractNumId w:val="133"/>
  </w:num>
  <w:num w:numId="89">
    <w:abstractNumId w:val="94"/>
  </w:num>
  <w:num w:numId="90">
    <w:abstractNumId w:val="80"/>
  </w:num>
  <w:num w:numId="91">
    <w:abstractNumId w:val="135"/>
  </w:num>
  <w:num w:numId="92">
    <w:abstractNumId w:val="46"/>
  </w:num>
  <w:num w:numId="93">
    <w:abstractNumId w:val="102"/>
  </w:num>
  <w:num w:numId="94">
    <w:abstractNumId w:val="41"/>
  </w:num>
  <w:num w:numId="95">
    <w:abstractNumId w:val="105"/>
  </w:num>
  <w:num w:numId="96">
    <w:abstractNumId w:val="68"/>
  </w:num>
  <w:num w:numId="97">
    <w:abstractNumId w:val="58"/>
  </w:num>
  <w:num w:numId="98">
    <w:abstractNumId w:val="69"/>
  </w:num>
  <w:num w:numId="99">
    <w:abstractNumId w:val="66"/>
  </w:num>
  <w:num w:numId="100">
    <w:abstractNumId w:val="138"/>
  </w:num>
  <w:num w:numId="101">
    <w:abstractNumId w:val="34"/>
  </w:num>
  <w:num w:numId="102">
    <w:abstractNumId w:val="54"/>
  </w:num>
  <w:num w:numId="103">
    <w:abstractNumId w:val="137"/>
  </w:num>
  <w:num w:numId="104">
    <w:abstractNumId w:val="114"/>
  </w:num>
  <w:num w:numId="105">
    <w:abstractNumId w:val="25"/>
  </w:num>
  <w:num w:numId="106">
    <w:abstractNumId w:val="125"/>
  </w:num>
  <w:num w:numId="107">
    <w:abstractNumId w:val="132"/>
  </w:num>
  <w:num w:numId="108">
    <w:abstractNumId w:val="39"/>
  </w:num>
  <w:num w:numId="109">
    <w:abstractNumId w:val="57"/>
  </w:num>
  <w:num w:numId="110">
    <w:abstractNumId w:val="110"/>
  </w:num>
  <w:num w:numId="111">
    <w:abstractNumId w:val="30"/>
  </w:num>
  <w:num w:numId="112">
    <w:abstractNumId w:val="109"/>
  </w:num>
  <w:num w:numId="113">
    <w:abstractNumId w:val="141"/>
  </w:num>
  <w:num w:numId="114">
    <w:abstractNumId w:val="22"/>
  </w:num>
  <w:num w:numId="115">
    <w:abstractNumId w:val="9"/>
  </w:num>
  <w:num w:numId="116">
    <w:abstractNumId w:val="92"/>
  </w:num>
  <w:num w:numId="117">
    <w:abstractNumId w:val="12"/>
  </w:num>
  <w:num w:numId="118">
    <w:abstractNumId w:val="98"/>
  </w:num>
  <w:num w:numId="119">
    <w:abstractNumId w:val="101"/>
  </w:num>
  <w:num w:numId="120">
    <w:abstractNumId w:val="82"/>
  </w:num>
  <w:num w:numId="121">
    <w:abstractNumId w:val="122"/>
  </w:num>
  <w:num w:numId="122">
    <w:abstractNumId w:val="126"/>
  </w:num>
  <w:num w:numId="123">
    <w:abstractNumId w:val="51"/>
  </w:num>
  <w:num w:numId="124">
    <w:abstractNumId w:val="26"/>
  </w:num>
  <w:num w:numId="125">
    <w:abstractNumId w:val="97"/>
  </w:num>
  <w:num w:numId="126">
    <w:abstractNumId w:val="121"/>
  </w:num>
  <w:num w:numId="127">
    <w:abstractNumId w:val="123"/>
  </w:num>
  <w:num w:numId="128">
    <w:abstractNumId w:val="64"/>
  </w:num>
  <w:num w:numId="129">
    <w:abstractNumId w:val="63"/>
  </w:num>
  <w:num w:numId="130">
    <w:abstractNumId w:val="52"/>
  </w:num>
  <w:num w:numId="131">
    <w:abstractNumId w:val="116"/>
  </w:num>
  <w:num w:numId="132">
    <w:abstractNumId w:val="24"/>
  </w:num>
  <w:num w:numId="133">
    <w:abstractNumId w:val="107"/>
  </w:num>
  <w:num w:numId="134">
    <w:abstractNumId w:val="83"/>
  </w:num>
  <w:num w:numId="135">
    <w:abstractNumId w:val="23"/>
  </w:num>
  <w:num w:numId="136">
    <w:abstractNumId w:val="33"/>
  </w:num>
  <w:num w:numId="137">
    <w:abstractNumId w:val="96"/>
  </w:num>
  <w:num w:numId="138">
    <w:abstractNumId w:val="31"/>
  </w:num>
  <w:num w:numId="139">
    <w:abstractNumId w:val="8"/>
  </w:num>
  <w:num w:numId="140">
    <w:abstractNumId w:val="53"/>
  </w:num>
  <w:num w:numId="141">
    <w:abstractNumId w:val="108"/>
  </w:num>
  <w:num w:numId="142">
    <w:abstractNumId w:val="4"/>
  </w:num>
  <w:num w:numId="143">
    <w:abstractNumId w:val="1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isplayBackgroundShape/>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4A528D1-966F-4129-B7A4-FDB47A85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pPr>
      <w:keepNext/>
      <w:keepLines/>
      <w:spacing w:before="40" w:after="0"/>
      <w:ind w:left="284" w:hanging="284"/>
      <w:jc w:val="both"/>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pPr>
      <w:keepNext/>
      <w:keepLines/>
      <w:spacing w:before="40" w:after="0"/>
      <w:outlineLvl w:val="3"/>
    </w:pPr>
    <w:rPr>
      <w:rFonts w:ascii="Calibri Light" w:eastAsia="Times New Roman" w:hAnsi="Calibri Light"/>
      <w:i/>
      <w:iCs/>
      <w:sz w:val="30"/>
      <w:szCs w:val="30"/>
      <w:lang w:eastAsia="es-ES"/>
    </w:rPr>
  </w:style>
  <w:style w:type="paragraph" w:styleId="Ttulo5">
    <w:name w:val="heading 5"/>
    <w:basedOn w:val="Normal"/>
    <w:next w:val="Normal"/>
    <w:link w:val="Ttulo5Car"/>
    <w:uiPriority w:val="9"/>
    <w:semiHidden/>
    <w:unhideWhenUsed/>
    <w:qFormat/>
    <w:pPr>
      <w:keepNext/>
      <w:keepLines/>
      <w:spacing w:before="40" w:after="0"/>
      <w:outlineLvl w:val="4"/>
    </w:pPr>
    <w:rPr>
      <w:rFonts w:ascii="Calibri Light" w:eastAsia="Times New Roman" w:hAnsi="Calibri Light"/>
      <w:sz w:val="28"/>
      <w:szCs w:val="28"/>
      <w:lang w:eastAsia="es-ES"/>
    </w:rPr>
  </w:style>
  <w:style w:type="paragraph" w:styleId="Ttulo6">
    <w:name w:val="heading 6"/>
    <w:basedOn w:val="Normal"/>
    <w:next w:val="Normal"/>
    <w:link w:val="Ttulo6Car"/>
    <w:uiPriority w:val="9"/>
    <w:semiHidden/>
    <w:unhideWhenUsed/>
    <w:qFormat/>
    <w:pPr>
      <w:keepNext/>
      <w:keepLines/>
      <w:spacing w:before="40" w:after="0"/>
      <w:outlineLvl w:val="5"/>
    </w:pPr>
    <w:rPr>
      <w:rFonts w:ascii="Calibri Light" w:eastAsia="Times New Roman" w:hAnsi="Calibri Light"/>
      <w:i/>
      <w:iCs/>
      <w:sz w:val="26"/>
      <w:szCs w:val="26"/>
      <w:lang w:eastAsia="es-ES"/>
    </w:rPr>
  </w:style>
  <w:style w:type="paragraph" w:styleId="Ttulo7">
    <w:name w:val="heading 7"/>
    <w:basedOn w:val="Normal"/>
    <w:next w:val="Normal"/>
    <w:link w:val="Ttulo7Car"/>
    <w:uiPriority w:val="9"/>
    <w:unhideWhenUsed/>
    <w:qFormat/>
    <w:pPr>
      <w:keepNext/>
      <w:keepLines/>
      <w:spacing w:before="200" w:after="0"/>
      <w:outlineLvl w:val="6"/>
    </w:pPr>
    <w:rPr>
      <w:rFonts w:ascii="Cambria" w:eastAsia="Times New Roman" w:hAnsi="Cambria"/>
      <w:i/>
      <w:iCs/>
      <w:color w:val="404040"/>
      <w:sz w:val="20"/>
      <w:szCs w:val="20"/>
    </w:rPr>
  </w:style>
  <w:style w:type="paragraph" w:styleId="Ttulo8">
    <w:name w:val="heading 8"/>
    <w:basedOn w:val="Normal"/>
    <w:next w:val="Normal"/>
    <w:link w:val="Ttulo8Car"/>
    <w:uiPriority w:val="9"/>
    <w:semiHidden/>
    <w:unhideWhenUsed/>
    <w:qFormat/>
    <w:pPr>
      <w:keepNext/>
      <w:keepLines/>
      <w:spacing w:before="40" w:after="0"/>
      <w:outlineLvl w:val="7"/>
    </w:pPr>
    <w:rPr>
      <w:rFonts w:ascii="Calibri Light" w:eastAsia="Times New Roman" w:hAnsi="Calibri Light"/>
      <w:i/>
      <w:iCs/>
      <w:lang w:eastAsia="es-ES"/>
    </w:rPr>
  </w:style>
  <w:style w:type="paragraph" w:styleId="Ttulo9">
    <w:name w:val="heading 9"/>
    <w:basedOn w:val="Normal"/>
    <w:next w:val="Normal"/>
    <w:link w:val="Ttulo9Car"/>
    <w:uiPriority w:val="9"/>
    <w:semiHidden/>
    <w:unhideWhenUsed/>
    <w:qFormat/>
    <w:pPr>
      <w:keepNext/>
      <w:keepLines/>
      <w:spacing w:before="40" w:after="0" w:line="300" w:lineRule="auto"/>
      <w:outlineLvl w:val="8"/>
    </w:pPr>
    <w:rPr>
      <w:rFonts w:eastAsia="Times New Roman"/>
      <w:b/>
      <w:bCs/>
      <w:i/>
      <w:iCs/>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pPr>
      <w:ind w:left="720"/>
      <w:contextualSpacing/>
    </w:pPr>
  </w:style>
  <w:style w:type="character" w:customStyle="1" w:styleId="apple-converted-space">
    <w:name w:val="apple-converted-space"/>
    <w:basedOn w:val="Fuentedeprrafopredeter"/>
  </w:style>
  <w:style w:type="character" w:styleId="nfasis">
    <w:name w:val="Emphasis"/>
    <w:uiPriority w:val="20"/>
    <w:qFormat/>
    <w:rPr>
      <w:i/>
      <w:iCs/>
    </w:rPr>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
    <w:name w:val="Estilo1"/>
    <w:uiPriority w:val="99"/>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paragraph" w:styleId="Sangra3detindependiente">
    <w:name w:val="Body Text Indent 3"/>
    <w:basedOn w:val="Normal"/>
    <w:link w:val="Sangra3detindependienteCar"/>
    <w:unhideWhenUsed/>
    <w:pPr>
      <w:widowControl w:val="0"/>
      <w:suppressAutoHyphens/>
      <w:spacing w:after="120" w:line="240" w:lineRule="auto"/>
      <w:ind w:left="283"/>
    </w:pPr>
    <w:rPr>
      <w:rFonts w:ascii="Times New Roman" w:eastAsia="Arial Unicode MS" w:hAnsi="Times New Roman" w:cs="Mangal"/>
      <w:kern w:val="1"/>
      <w:sz w:val="16"/>
      <w:szCs w:val="14"/>
      <w:lang w:eastAsia="zh-CN" w:bidi="hi-IN"/>
    </w:rPr>
  </w:style>
  <w:style w:type="character" w:customStyle="1" w:styleId="Sangra3detindependienteCar">
    <w:name w:val="Sangría 3 de t. independiente Car"/>
    <w:link w:val="Sangra3detindependiente"/>
    <w:rPr>
      <w:rFonts w:ascii="Times New Roman" w:eastAsia="Arial Unicode MS" w:hAnsi="Times New Roman" w:cs="Mangal"/>
      <w:kern w:val="1"/>
      <w:sz w:val="16"/>
      <w:szCs w:val="14"/>
      <w:lang w:eastAsia="zh-CN" w:bidi="hi-IN"/>
    </w:rPr>
  </w:style>
  <w:style w:type="paragraph" w:customStyle="1" w:styleId="Standard">
    <w:name w:val="Standard"/>
    <w:pPr>
      <w:suppressAutoHyphens/>
      <w:textAlignment w:val="baseline"/>
    </w:pPr>
    <w:rPr>
      <w:rFonts w:ascii="Times New Roman" w:eastAsia="Times New Roman" w:hAnsi="Times New Roman"/>
      <w:kern w:val="1"/>
      <w:sz w:val="24"/>
      <w:szCs w:val="24"/>
      <w:lang w:eastAsia="zh-CN"/>
    </w:rPr>
  </w:style>
  <w:style w:type="paragraph" w:styleId="Textodeglobo">
    <w:name w:val="Balloon Text"/>
    <w:basedOn w:val="Normal"/>
    <w:link w:val="TextodegloboCar"/>
    <w:uiPriority w:val="99"/>
    <w:unhideWhenUsed/>
    <w:pPr>
      <w:spacing w:after="0" w:line="240" w:lineRule="auto"/>
    </w:pPr>
    <w:rPr>
      <w:rFonts w:ascii="Tahoma" w:hAnsi="Tahoma"/>
      <w:sz w:val="16"/>
      <w:szCs w:val="16"/>
    </w:rPr>
  </w:style>
  <w:style w:type="character" w:customStyle="1" w:styleId="TextodegloboCar">
    <w:name w:val="Texto de globo Car"/>
    <w:link w:val="Textodeglobo"/>
    <w:uiPriority w:val="99"/>
    <w:rPr>
      <w:rFonts w:ascii="Tahoma" w:hAnsi="Tahoma" w:cs="Tahoma"/>
      <w:sz w:val="16"/>
      <w:szCs w:val="16"/>
    </w:rPr>
  </w:style>
  <w:style w:type="character" w:customStyle="1" w:styleId="Ttulo7Car">
    <w:name w:val="Título 7 Car"/>
    <w:link w:val="Ttulo7"/>
    <w:uiPriority w:val="9"/>
    <w:rPr>
      <w:rFonts w:ascii="Cambria" w:eastAsia="Times New Roman" w:hAnsi="Cambria" w:cs="Times New Roman"/>
      <w:i/>
      <w:iCs/>
      <w:color w:val="404040"/>
    </w:rPr>
  </w:style>
  <w:style w:type="table" w:styleId="Cuadrculaclara-nfasis4">
    <w:name w:val="Light Grid Accent 4"/>
    <w:basedOn w:val="Tablanormal"/>
    <w:uiPriority w:val="6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styleId="Textoennegrita">
    <w:name w:val="Strong"/>
    <w:uiPriority w:val="22"/>
    <w:qFormat/>
    <w:rPr>
      <w:b/>
      <w:bCs/>
    </w:rPr>
  </w:style>
  <w:style w:type="paragraph" w:styleId="Citadestacada">
    <w:name w:val="Intense Quote"/>
    <w:basedOn w:val="Normal"/>
    <w:next w:val="Normal"/>
    <w:link w:val="CitadestacadaCar"/>
    <w:uiPriority w:val="30"/>
    <w:qFormat/>
    <w:pPr>
      <w:pBdr>
        <w:bottom w:val="single" w:sz="4" w:space="4" w:color="4F81BD"/>
      </w:pBdr>
      <w:spacing w:before="200" w:after="280"/>
      <w:ind w:left="936" w:right="936"/>
    </w:pPr>
    <w:rPr>
      <w:b/>
      <w:bCs/>
      <w:i/>
      <w:iCs/>
      <w:color w:val="4F81BD"/>
      <w:sz w:val="20"/>
      <w:szCs w:val="20"/>
    </w:rPr>
  </w:style>
  <w:style w:type="character" w:customStyle="1" w:styleId="CitadestacadaCar">
    <w:name w:val="Cita destacada Car"/>
    <w:link w:val="Citadestacada"/>
    <w:uiPriority w:val="30"/>
    <w:rPr>
      <w:b/>
      <w:bCs/>
      <w:i/>
      <w:iCs/>
      <w:color w:val="4F81BD"/>
    </w:rPr>
  </w:style>
  <w:style w:type="table" w:styleId="Sombreadomedio1-nfasis2">
    <w:name w:val="Medium Shading 1 Accent 2"/>
    <w:basedOn w:val="Tablanormal"/>
    <w:uiPriority w:val="6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Encabezado">
    <w:name w:val="header"/>
    <w:basedOn w:val="Normal"/>
    <w:link w:val="EncabezadoCar"/>
    <w:uiPriority w:val="99"/>
    <w:unhideWhenUs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table" w:styleId="Sombreadomedio1-nfasis3">
    <w:name w:val="Medium Shading 1 Accent 3"/>
    <w:basedOn w:val="Tablanormal"/>
    <w:uiPriority w:val="6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staclara-nfasis2">
    <w:name w:val="Light List Accent 2"/>
    <w:basedOn w:val="Tablanormal"/>
    <w:uiPriority w:val="6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Sombreadoclaro-nfasis3">
    <w:name w:val="Light Shading Accent 3"/>
    <w:basedOn w:val="Tablanormal"/>
    <w:uiPriority w:val="6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staclara-nfasis3">
    <w:name w:val="Light List Accent 3"/>
    <w:basedOn w:val="Tablanormal"/>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Sombreadomedio2-nfasis3">
    <w:name w:val="Medium Shading 2 Accent 3"/>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vistoso-nfasis3">
    <w:name w:val="Colorful Shading Accent 3"/>
    <w:basedOn w:val="Tablanormal"/>
    <w:uiPriority w:val="7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uadrculamedia3-nfasis3">
    <w:name w:val="Medium Grid 3 Accent 3"/>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Cuadrculamedia2-nfasis3">
    <w:name w:val="Medium Grid 2 Accent 3"/>
    <w:basedOn w:val="Tablanormal"/>
    <w:uiPriority w:val="6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Cuadrculamedia1-nfasis3">
    <w:name w:val="Medium Grid 1 Accent 3"/>
    <w:basedOn w:val="Tablanormal"/>
    <w:uiPriority w:val="6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stamedia2-nfasis3">
    <w:name w:val="Medium List 2 Accent 3"/>
    <w:basedOn w:val="Tablanormal"/>
    <w:uiPriority w:val="6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amedia1-nfasis3">
    <w:name w:val="Medium List 1 Accent 3"/>
    <w:basedOn w:val="Tablanormal"/>
    <w:uiPriority w:val="6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Cuadrculaclara-nfasis3">
    <w:name w:val="Light Grid Accent 3"/>
    <w:basedOn w:val="Tablanormal"/>
    <w:uiPriority w:val="6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stamedia1-nfasis6">
    <w:name w:val="Medium List 1 Accent 6"/>
    <w:basedOn w:val="Tablanormal"/>
    <w:uiPriority w:val="6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Cuadrculamedia1-nfasis6">
    <w:name w:val="Medium Grid 1 Accent 6"/>
    <w:basedOn w:val="Tablanormal"/>
    <w:uiPriority w:val="6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numbering" w:customStyle="1" w:styleId="Estilo2">
    <w:name w:val="Estilo2"/>
    <w:uiPriority w:val="99"/>
  </w:style>
  <w:style w:type="paragraph" w:styleId="Textoindependiente">
    <w:name w:val="Body Text"/>
    <w:basedOn w:val="Normal"/>
    <w:link w:val="TextoindependienteCar"/>
    <w:unhideWhenUsed/>
    <w:pPr>
      <w:spacing w:after="120"/>
    </w:pPr>
  </w:style>
  <w:style w:type="character" w:customStyle="1" w:styleId="TextoindependienteCar">
    <w:name w:val="Texto independiente Car"/>
    <w:basedOn w:val="Fuentedeprrafopredeter"/>
    <w:link w:val="Textoindependiente"/>
  </w:style>
  <w:style w:type="paragraph" w:customStyle="1" w:styleId="ecxmsoplaintext">
    <w:name w:val="ecxmsoplaintext"/>
    <w:basedOn w:val="Normal"/>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ecxmsonormal">
    <w:name w:val="ecxmsonormal"/>
    <w:basedOn w:val="Normal"/>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Encabezado1">
    <w:name w:val="Encabezado1"/>
    <w:basedOn w:val="Normal"/>
    <w:next w:val="Textoindependiente"/>
    <w:pPr>
      <w:keepNext/>
      <w:widowControl w:val="0"/>
      <w:suppressAutoHyphens/>
      <w:spacing w:before="240" w:after="120" w:line="240" w:lineRule="auto"/>
    </w:pPr>
    <w:rPr>
      <w:rFonts w:ascii="Arial" w:eastAsia="Arial Unicode MS" w:hAnsi="Arial" w:cs="Mangal"/>
      <w:kern w:val="1"/>
      <w:sz w:val="28"/>
      <w:szCs w:val="28"/>
      <w:lang w:eastAsia="zh-CN" w:bidi="hi-IN"/>
    </w:rPr>
  </w:style>
  <w:style w:type="paragraph" w:styleId="Textocomentario">
    <w:name w:val="annotation text"/>
    <w:basedOn w:val="Normal"/>
    <w:link w:val="TextocomentarioCar"/>
    <w:uiPriority w:val="99"/>
    <w:unhideWhenUsed/>
    <w:rPr>
      <w:rFonts w:eastAsia="Times New Roman"/>
      <w:sz w:val="20"/>
      <w:szCs w:val="20"/>
    </w:rPr>
  </w:style>
  <w:style w:type="character" w:customStyle="1" w:styleId="TextocomentarioCar">
    <w:name w:val="Texto comentario Car"/>
    <w:link w:val="Textocomentario"/>
    <w:uiPriority w:val="99"/>
    <w:rPr>
      <w:rFonts w:eastAsia="Times New Roman"/>
    </w:rPr>
  </w:style>
  <w:style w:type="table" w:styleId="Sombreadoclaro-nfasis4">
    <w:name w:val="Light Shading Accent 4"/>
    <w:basedOn w:val="Tablanormal"/>
    <w:uiPriority w:val="6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domedio1-nfasis4">
    <w:name w:val="Medium Shading 1 Accent 4"/>
    <w:basedOn w:val="Tablanormal"/>
    <w:uiPriority w:val="6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uadrculamedia1-nfasis4">
    <w:name w:val="Medium Grid 1 Accent 4"/>
    <w:basedOn w:val="Tablanormal"/>
    <w:uiPriority w:val="6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customStyle="1" w:styleId="Ttulo21">
    <w:name w:val="Título 21"/>
    <w:basedOn w:val="Standard"/>
    <w:next w:val="Standard"/>
    <w:pPr>
      <w:keepNext/>
      <w:widowControl w:val="0"/>
      <w:ind w:right="-141"/>
      <w:jc w:val="center"/>
    </w:pPr>
  </w:style>
  <w:style w:type="table" w:styleId="Cuadrculaclara-nfasis2">
    <w:name w:val="Light Grid Accent 2"/>
    <w:basedOn w:val="Tablanormal"/>
    <w:uiPriority w:val="62"/>
    <w:rPr>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
    <w:name w:val="Cuadrícula clara - Énfasis 11"/>
    <w:basedOn w:val="Tablanormal"/>
    <w:uiPriority w:val="6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
    <w:name w:val="Sin lista1"/>
    <w:next w:val="Sinlista"/>
    <w:uiPriority w:val="99"/>
    <w:semiHidden/>
    <w:unhideWhenUsed/>
  </w:style>
  <w:style w:type="paragraph" w:customStyle="1" w:styleId="Piedepgina1">
    <w:name w:val="Pie de página1"/>
    <w:basedOn w:val="Standard"/>
  </w:style>
  <w:style w:type="paragraph" w:styleId="Textoindependiente3">
    <w:name w:val="Body Text 3"/>
    <w:basedOn w:val="Normal"/>
    <w:link w:val="Textoindependiente3Car"/>
    <w:unhideWhenUsed/>
    <w:pPr>
      <w:spacing w:after="120"/>
    </w:pPr>
    <w:rPr>
      <w:sz w:val="16"/>
      <w:szCs w:val="16"/>
    </w:rPr>
  </w:style>
  <w:style w:type="character" w:customStyle="1" w:styleId="Textoindependiente3Car">
    <w:name w:val="Texto independiente 3 Car"/>
    <w:link w:val="Textoindependiente3"/>
    <w:rPr>
      <w:sz w:val="16"/>
      <w:szCs w:val="16"/>
      <w:lang w:eastAsia="en-US"/>
    </w:rPr>
  </w:style>
  <w:style w:type="paragraph" w:customStyle="1" w:styleId="Prrafodelista1">
    <w:name w:val="Párrafo de lista1"/>
    <w:basedOn w:val="Normal"/>
    <w:pPr>
      <w:spacing w:after="0" w:line="240" w:lineRule="auto"/>
      <w:ind w:left="720"/>
    </w:pPr>
    <w:rPr>
      <w:rFonts w:ascii="Times New Roman" w:hAnsi="Times New Roman"/>
      <w:kern w:val="2"/>
      <w:sz w:val="24"/>
      <w:szCs w:val="24"/>
      <w:lang w:eastAsia="zh-CN"/>
    </w:rPr>
  </w:style>
  <w:style w:type="paragraph" w:customStyle="1" w:styleId="Sangra3detindependiente1">
    <w:name w:val="Sangría 3 de t. independiente1"/>
    <w:basedOn w:val="Normal"/>
    <w:pPr>
      <w:suppressAutoHyphens/>
      <w:spacing w:after="120" w:line="240" w:lineRule="auto"/>
      <w:ind w:left="283"/>
    </w:pPr>
    <w:rPr>
      <w:rFonts w:ascii="Times New Roman" w:eastAsia="Times New Roman" w:hAnsi="Times New Roman"/>
      <w:kern w:val="2"/>
      <w:sz w:val="16"/>
      <w:szCs w:val="16"/>
      <w:lang w:eastAsia="zh-CN"/>
    </w:rPr>
  </w:style>
  <w:style w:type="paragraph" w:customStyle="1" w:styleId="Normal1">
    <w:name w:val="Normal1"/>
    <w:pPr>
      <w:suppressAutoHyphens/>
      <w:autoSpaceDE w:val="0"/>
    </w:pPr>
    <w:rPr>
      <w:rFonts w:ascii="Arial" w:eastAsia="Times New Roman" w:hAnsi="Arial" w:cs="Arial"/>
      <w:color w:val="000000"/>
      <w:sz w:val="24"/>
      <w:szCs w:val="24"/>
      <w:lang w:eastAsia="zh-CN"/>
    </w:rPr>
  </w:style>
  <w:style w:type="paragraph" w:styleId="NormalWeb">
    <w:name w:val="Normal (Web)"/>
    <w:basedOn w:val="Normal"/>
    <w:unhideWhenUsed/>
    <w:qFormat/>
    <w:pPr>
      <w:spacing w:before="100" w:beforeAutospacing="1" w:after="100" w:afterAutospacing="1" w:line="240" w:lineRule="auto"/>
    </w:pPr>
    <w:rPr>
      <w:rFonts w:ascii="Times New Roman" w:eastAsia="Times New Roman" w:hAnsi="Times New Roman"/>
      <w:sz w:val="24"/>
      <w:szCs w:val="24"/>
      <w:lang w:eastAsia="es-ES"/>
    </w:rPr>
  </w:style>
  <w:style w:type="table" w:styleId="Sombreadoclaro-nfasis2">
    <w:name w:val="Light Shading Accent 2"/>
    <w:basedOn w:val="Tablanormal"/>
    <w:uiPriority w:val="6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Descripcin">
    <w:name w:val="caption"/>
    <w:basedOn w:val="Normal"/>
    <w:next w:val="Normal"/>
    <w:uiPriority w:val="35"/>
    <w:unhideWhenUsed/>
    <w:qFormat/>
    <w:rPr>
      <w:rFonts w:eastAsia="Times New Roman"/>
      <w:b/>
      <w:bCs/>
      <w:sz w:val="20"/>
      <w:szCs w:val="20"/>
    </w:rPr>
  </w:style>
  <w:style w:type="character" w:styleId="Hipervnculo">
    <w:name w:val="Hyperlink"/>
    <w:basedOn w:val="Fuentedeprrafopredeter"/>
    <w:uiPriority w:val="99"/>
    <w:unhideWhenUsed/>
    <w:rPr>
      <w:rFonts w:cs="Times New Roman"/>
      <w:color w:val="0000FF"/>
      <w:u w:val="single"/>
    </w:rPr>
  </w:style>
  <w:style w:type="table" w:styleId="Sombreadomedio1-nfasis6">
    <w:name w:val="Medium Shading 1 Accent 6"/>
    <w:basedOn w:val="Tablanormal"/>
    <w:uiPriority w:val="6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Cuadrculaclara1">
    <w:name w:val="Cuadrícula clara1"/>
    <w:basedOn w:val="Tablanormal"/>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6">
    <w:name w:val="Light Grid Accent 6"/>
    <w:basedOn w:val="Tablanormal"/>
    <w:uiPriority w:val="6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numbering" w:customStyle="1" w:styleId="WWNum3">
    <w:name w:val="WWNum3"/>
    <w:basedOn w:val="Sinlista"/>
  </w:style>
  <w:style w:type="numbering" w:customStyle="1" w:styleId="WWNum8">
    <w:name w:val="WWNum8"/>
    <w:basedOn w:val="Sinlista"/>
    <w:pPr>
      <w:numPr>
        <w:numId w:val="20"/>
      </w:numPr>
    </w:pPr>
  </w:style>
  <w:style w:type="numbering" w:customStyle="1" w:styleId="WWNum9">
    <w:name w:val="WWNum9"/>
    <w:basedOn w:val="Sinlista"/>
    <w:pPr>
      <w:numPr>
        <w:numId w:val="21"/>
      </w:numPr>
    </w:pPr>
  </w:style>
  <w:style w:type="numbering" w:customStyle="1" w:styleId="WWNum2">
    <w:name w:val="WWNum2"/>
    <w:basedOn w:val="Sinlista"/>
    <w:pPr>
      <w:numPr>
        <w:numId w:val="22"/>
      </w:numPr>
    </w:pPr>
  </w:style>
  <w:style w:type="numbering" w:customStyle="1" w:styleId="WWNum5">
    <w:name w:val="WWNum5"/>
    <w:basedOn w:val="Sinlista"/>
    <w:pPr>
      <w:numPr>
        <w:numId w:val="23"/>
      </w:numPr>
    </w:pPr>
  </w:style>
  <w:style w:type="numbering" w:customStyle="1" w:styleId="WWNum7">
    <w:name w:val="WWNum7"/>
    <w:basedOn w:val="Sinlista"/>
    <w:pPr>
      <w:numPr>
        <w:numId w:val="26"/>
      </w:numPr>
    </w:pPr>
  </w:style>
  <w:style w:type="numbering" w:customStyle="1" w:styleId="WWNum10">
    <w:name w:val="WWNum10"/>
    <w:basedOn w:val="Sinlista"/>
    <w:pPr>
      <w:numPr>
        <w:numId w:val="25"/>
      </w:numPr>
    </w:pPr>
  </w:style>
  <w:style w:type="numbering" w:customStyle="1" w:styleId="WWNum14">
    <w:name w:val="WWNum14"/>
    <w:basedOn w:val="Sinlista"/>
    <w:pPr>
      <w:numPr>
        <w:numId w:val="24"/>
      </w:numPr>
    </w:pPr>
  </w:style>
  <w:style w:type="numbering" w:customStyle="1" w:styleId="WWNum16">
    <w:name w:val="WWNum16"/>
    <w:basedOn w:val="Sinlista"/>
    <w:pPr>
      <w:numPr>
        <w:numId w:val="27"/>
      </w:numPr>
    </w:pPr>
  </w:style>
  <w:style w:type="numbering" w:customStyle="1" w:styleId="WWNum17">
    <w:name w:val="WWNum17"/>
    <w:basedOn w:val="Sinlista"/>
    <w:pPr>
      <w:numPr>
        <w:numId w:val="29"/>
      </w:numPr>
    </w:pPr>
  </w:style>
  <w:style w:type="numbering" w:customStyle="1" w:styleId="WWNum20">
    <w:name w:val="WWNum20"/>
    <w:basedOn w:val="Sinlista"/>
    <w:pPr>
      <w:numPr>
        <w:numId w:val="28"/>
      </w:numPr>
    </w:pPr>
  </w:style>
  <w:style w:type="numbering" w:customStyle="1" w:styleId="WWNum71">
    <w:name w:val="WWNum71"/>
    <w:basedOn w:val="Sinlista"/>
    <w:pPr>
      <w:numPr>
        <w:numId w:val="16"/>
      </w:numPr>
    </w:pPr>
  </w:style>
  <w:style w:type="table" w:customStyle="1" w:styleId="Tablaconcuadrcula211">
    <w:name w:val="Tabla con cuadrícula211"/>
    <w:basedOn w:val="Tablanormal"/>
    <w:uiPriority w:val="39"/>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nhideWhenUsed/>
    <w:rPr>
      <w:color w:val="605E5C"/>
      <w:shd w:val="clear" w:color="auto" w:fill="E1DFDD"/>
    </w:rPr>
  </w:style>
  <w:style w:type="table" w:styleId="Cuadrculamedia2-nfasis6">
    <w:name w:val="Medium Grid 2 Accent 6"/>
    <w:basedOn w:val="Tablanormal"/>
    <w:uiPriority w:val="6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customStyle="1" w:styleId="e24kjd">
    <w:name w:val="e24kjd"/>
    <w:basedOn w:val="Fuentedeprrafopredeter"/>
  </w:style>
  <w:style w:type="character" w:styleId="nfasisintenso">
    <w:name w:val="Intense Emphasis"/>
    <w:basedOn w:val="Fuentedeprrafopredeter"/>
    <w:uiPriority w:val="21"/>
    <w:qFormat/>
    <w:rPr>
      <w:b/>
      <w:bCs/>
      <w:i/>
      <w:iCs/>
      <w:color w:val="4F81BD"/>
    </w:rPr>
  </w:style>
  <w:style w:type="table" w:styleId="Cuadrculamedia3-nfasis6">
    <w:name w:val="Medium Grid 3 Accent 6"/>
    <w:basedOn w:val="Tabla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styleId="Textonotapie">
    <w:name w:val="footnote text"/>
    <w:basedOn w:val="Normal"/>
    <w:link w:val="TextonotapieCar"/>
    <w:uiPriority w:val="99"/>
    <w:pPr>
      <w:autoSpaceDE w:val="0"/>
      <w:autoSpaceDN w:val="0"/>
      <w:spacing w:after="0" w:line="240" w:lineRule="auto"/>
    </w:pPr>
    <w:rPr>
      <w:rFonts w:ascii="Times New Roman" w:eastAsia="Times New Roman" w:hAnsi="Times New Roman"/>
      <w:sz w:val="20"/>
      <w:szCs w:val="20"/>
      <w:lang w:eastAsia="es-ES"/>
    </w:rPr>
  </w:style>
  <w:style w:type="character" w:customStyle="1" w:styleId="TextonotapieCar">
    <w:name w:val="Texto nota pie Car"/>
    <w:basedOn w:val="Fuentedeprrafopredeter"/>
    <w:link w:val="Textonotapie"/>
    <w:uiPriority w:val="99"/>
    <w:rPr>
      <w:rFonts w:ascii="Times New Roman" w:eastAsia="Times New Roman" w:hAnsi="Times New Roman"/>
    </w:rPr>
  </w:style>
  <w:style w:type="character" w:styleId="Refdenotaalpie">
    <w:name w:val="footnote reference"/>
    <w:uiPriority w:val="99"/>
    <w:rPr>
      <w:rFonts w:cs="Times New Roman"/>
      <w:vertAlign w:val="superscript"/>
    </w:rPr>
  </w:style>
  <w:style w:type="character" w:customStyle="1" w:styleId="Ttulo3Car">
    <w:name w:val="Título 3 Car"/>
    <w:basedOn w:val="Fuentedeprrafopredeter"/>
    <w:link w:val="Ttulo3"/>
    <w:uiPriority w:val="9"/>
    <w:rPr>
      <w:rFonts w:asciiTheme="majorHAnsi" w:eastAsiaTheme="majorEastAsia" w:hAnsiTheme="majorHAnsi" w:cstheme="majorBidi"/>
      <w:color w:val="243F60" w:themeColor="accent1" w:themeShade="7F"/>
      <w:sz w:val="24"/>
      <w:szCs w:val="24"/>
      <w:lang w:eastAsia="en-US"/>
    </w:rPr>
  </w:style>
  <w:style w:type="numbering" w:customStyle="1" w:styleId="Sinlista2">
    <w:name w:val="Sin lista2"/>
    <w:next w:val="Sinlista"/>
    <w:uiPriority w:val="99"/>
    <w:semiHidden/>
    <w:unhideWhenUsed/>
  </w:style>
  <w:style w:type="table" w:customStyle="1" w:styleId="Tablaconcuadrcula1">
    <w:name w:val="Tabla con cuadrícula1"/>
    <w:basedOn w:val="Tablanormal"/>
    <w:next w:val="Tablaconcuadrcula"/>
    <w:uiPriority w:val="59"/>
    <w:pPr>
      <w:spacing w:after="200" w:line="276" w:lineRule="auto"/>
      <w:ind w:left="284" w:hanging="284"/>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
    <w:name w:val="Estilo11"/>
    <w:uiPriority w:val="99"/>
  </w:style>
  <w:style w:type="table" w:customStyle="1" w:styleId="Cuadrculaclara-nfasis41">
    <w:name w:val="Cuadrícula clara - Énfasis 41"/>
    <w:basedOn w:val="Tablanormal"/>
    <w:next w:val="Cuadrculaclara-nfasis4"/>
    <w:uiPriority w:val="62"/>
    <w:pPr>
      <w:spacing w:after="200" w:line="276" w:lineRule="auto"/>
      <w:ind w:left="284" w:hanging="284"/>
      <w:jc w:val="both"/>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1">
    <w:name w:val="Sombreado medio 1 - Énfasis 21"/>
    <w:basedOn w:val="Tablanormal"/>
    <w:next w:val="Sombreadomedio1-nfasis2"/>
    <w:uiPriority w:val="63"/>
    <w:pPr>
      <w:spacing w:after="200" w:line="276" w:lineRule="auto"/>
      <w:ind w:left="284" w:hanging="284"/>
      <w:jc w:val="both"/>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1">
    <w:name w:val="Lista clara - Énfasis 21"/>
    <w:basedOn w:val="Tablanormal"/>
    <w:next w:val="Listaclara-nfasis2"/>
    <w:uiPriority w:val="61"/>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1">
    <w:name w:val="Sombreado claro - Énfasis 31"/>
    <w:basedOn w:val="Tablanormal"/>
    <w:next w:val="Sombreadoclaro-nfasis3"/>
    <w:uiPriority w:val="60"/>
    <w:pPr>
      <w:spacing w:after="200" w:line="276" w:lineRule="auto"/>
      <w:ind w:left="284" w:hanging="284"/>
      <w:jc w:val="both"/>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1">
    <w:name w:val="Lista clara - Énfasis 31"/>
    <w:basedOn w:val="Tablanormal"/>
    <w:next w:val="Listaclara-nfasis3"/>
    <w:uiPriority w:val="61"/>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1">
    <w:name w:val="Sombreado medio 2 - Énfasis 31"/>
    <w:basedOn w:val="Tablanormal"/>
    <w:next w:val="Sombreadomedio2-nfasis3"/>
    <w:uiPriority w:val="64"/>
    <w:pPr>
      <w:spacing w:after="200" w:line="276" w:lineRule="auto"/>
      <w:ind w:left="284" w:hanging="284"/>
      <w:jc w:val="both"/>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1">
    <w:name w:val="Sombreado vistoso - Énfasis 31"/>
    <w:basedOn w:val="Tablanormal"/>
    <w:next w:val="Sombreadovistoso-nfasis3"/>
    <w:uiPriority w:val="71"/>
    <w:pPr>
      <w:spacing w:after="200" w:line="276" w:lineRule="auto"/>
      <w:ind w:left="284" w:hanging="284"/>
      <w:jc w:val="both"/>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1">
    <w:name w:val="Cuadrícula media 3 - Énfasis 31"/>
    <w:basedOn w:val="Tablanormal"/>
    <w:next w:val="Cuadrculamedia3-nfasis3"/>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1">
    <w:name w:val="Cuadrícula media 2 - Énfasis 31"/>
    <w:basedOn w:val="Tablanormal"/>
    <w:next w:val="Cuadrculamedia2-nfasis3"/>
    <w:uiPriority w:val="68"/>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1">
    <w:name w:val="Cuadrícula media 1 - Énfasis 31"/>
    <w:basedOn w:val="Tablanormal"/>
    <w:next w:val="Cuadrculamedia1-nfasis3"/>
    <w:uiPriority w:val="67"/>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1">
    <w:name w:val="Lista media 2 - Énfasis 31"/>
    <w:basedOn w:val="Tablanormal"/>
    <w:next w:val="Listamedia2-nfasis3"/>
    <w:uiPriority w:val="66"/>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1">
    <w:name w:val="Lista media 1 - Énfasis 31"/>
    <w:basedOn w:val="Tablanormal"/>
    <w:next w:val="Listamedia1-nfasis3"/>
    <w:uiPriority w:val="65"/>
    <w:pPr>
      <w:spacing w:after="200" w:line="276" w:lineRule="auto"/>
      <w:ind w:left="284" w:hanging="284"/>
      <w:jc w:val="both"/>
    </w:pPr>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1">
    <w:name w:val="Cuadrícula clara - Énfasis 31"/>
    <w:basedOn w:val="Tablanormal"/>
    <w:next w:val="Cuadrculaclara-nfasis3"/>
    <w:uiPriority w:val="62"/>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1">
    <w:name w:val="Lista media 1 - Énfasis 61"/>
    <w:basedOn w:val="Tablanormal"/>
    <w:next w:val="Listamedia1-nfasis6"/>
    <w:uiPriority w:val="65"/>
    <w:pPr>
      <w:spacing w:after="200" w:line="276" w:lineRule="auto"/>
      <w:ind w:left="284" w:hanging="284"/>
      <w:jc w:val="both"/>
    </w:pPr>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1">
    <w:name w:val="Cuadrícula media 1 - Énfasis 61"/>
    <w:basedOn w:val="Tablanormal"/>
    <w:next w:val="Cuadrculamedia1-nfasis6"/>
    <w:uiPriority w:val="67"/>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Sombreadoclaro-nfasis41">
    <w:name w:val="Sombreado claro - Énfasis 41"/>
    <w:basedOn w:val="Tablanormal"/>
    <w:next w:val="Sombreadoclaro-nfasis4"/>
    <w:uiPriority w:val="60"/>
    <w:pPr>
      <w:spacing w:after="200" w:line="276" w:lineRule="auto"/>
      <w:ind w:left="284" w:hanging="284"/>
      <w:jc w:val="both"/>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1">
    <w:name w:val="Sombreado medio 1 - Énfasis 41"/>
    <w:basedOn w:val="Tablanormal"/>
    <w:next w:val="Sombreadomedio1-nfasis4"/>
    <w:uiPriority w:val="63"/>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1">
    <w:name w:val="Cuadrícula media 1 - Énfasis 41"/>
    <w:basedOn w:val="Tablanormal"/>
    <w:next w:val="Cuadrculamedia1-nfasis4"/>
    <w:uiPriority w:val="67"/>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1">
    <w:name w:val="Cuadrícula clara - Énfasis 21"/>
    <w:basedOn w:val="Tablanormal"/>
    <w:next w:val="Cuadrculaclara-nfasis2"/>
    <w:uiPriority w:val="62"/>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1">
    <w:name w:val="Cuadrícula clara - Énfasis 111"/>
    <w:basedOn w:val="Tablanormal"/>
    <w:uiPriority w:val="62"/>
    <w:pPr>
      <w:spacing w:after="200" w:line="276" w:lineRule="auto"/>
      <w:ind w:left="284" w:hanging="284"/>
      <w:jc w:val="both"/>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1">
    <w:name w:val="Sin lista11"/>
    <w:next w:val="Sinlista"/>
    <w:uiPriority w:val="99"/>
    <w:semiHidden/>
    <w:unhideWhenUsed/>
  </w:style>
  <w:style w:type="table" w:customStyle="1" w:styleId="Sombreadoclaro-nfasis21">
    <w:name w:val="Sombreado claro - Énfasis 21"/>
    <w:basedOn w:val="Tablanormal"/>
    <w:next w:val="Sombreadoclaro-nfasis2"/>
    <w:uiPriority w:val="60"/>
    <w:pPr>
      <w:spacing w:after="200" w:line="276" w:lineRule="auto"/>
      <w:ind w:left="284" w:hanging="284"/>
      <w:jc w:val="both"/>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medio1-nfasis61">
    <w:name w:val="Sombreado medio 1 - Énfasis 61"/>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51">
    <w:name w:val="Sombreado medio 1 - Énfasis 51"/>
    <w:basedOn w:val="Tablanormal"/>
    <w:next w:val="Sombreadomedio1-nfasis5"/>
    <w:uiPriority w:val="63"/>
    <w:pPr>
      <w:spacing w:after="200" w:line="276" w:lineRule="auto"/>
      <w:ind w:left="284" w:hanging="284"/>
      <w:jc w:val="both"/>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uadrculaclara11">
    <w:name w:val="Cuadrícula clara11"/>
    <w:basedOn w:val="Tablanormal"/>
    <w:uiPriority w:val="62"/>
    <w:pPr>
      <w:spacing w:after="200" w:line="276" w:lineRule="auto"/>
      <w:ind w:left="284" w:hanging="284"/>
      <w:jc w:val="both"/>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nfasis61">
    <w:name w:val="Cuadrícula clara - Énfasis 61"/>
    <w:basedOn w:val="Tablanormal"/>
    <w:next w:val="Cuadrculaclara-nfasis6"/>
    <w:uiPriority w:val="62"/>
    <w:pPr>
      <w:spacing w:after="200" w:line="276" w:lineRule="auto"/>
      <w:ind w:left="284" w:hanging="284"/>
      <w:jc w:val="both"/>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aconcuadrcula2111">
    <w:name w:val="Tabla con cuadrícula2111"/>
    <w:basedOn w:val="Tablanormal"/>
    <w:uiPriority w:val="39"/>
    <w:pPr>
      <w:spacing w:after="200" w:line="276" w:lineRule="auto"/>
      <w:ind w:left="284" w:hanging="284"/>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nhideWhenUsed/>
    <w:rPr>
      <w:color w:val="605E5C"/>
      <w:shd w:val="clear" w:color="auto" w:fill="E1DFDD"/>
    </w:rPr>
  </w:style>
  <w:style w:type="table" w:customStyle="1" w:styleId="Calendar2">
    <w:name w:val="Calendar 2"/>
    <w:basedOn w:val="Tablanormal"/>
    <w:uiPriority w:val="99"/>
    <w:qFormat/>
    <w:pPr>
      <w:spacing w:after="200" w:line="276" w:lineRule="auto"/>
      <w:ind w:left="284" w:hanging="284"/>
      <w:jc w:val="center"/>
    </w:pPr>
    <w:rPr>
      <w:rFonts w:asciiTheme="minorHAnsi" w:eastAsiaTheme="minorEastAsia" w:hAnsiTheme="minorHAnsi" w:cstheme="minorBidi"/>
      <w:sz w:val="28"/>
      <w:szCs w:val="28"/>
      <w:lang w:eastAsia="en-US"/>
    </w:rPr>
    <w:tblPr>
      <w:tblBorders>
        <w:insideV w:val="single" w:sz="4" w:space="0" w:color="95B3D7" w:themeColor="accent1" w:themeTint="99"/>
      </w:tblBorders>
    </w:tblPr>
    <w:tblStylePr w:type="firstRow">
      <w:rPr>
        <w:rFonts w:asciiTheme="majorHAnsi" w:eastAsiaTheme="majorEastAsia" w:hAnsiTheme="majorHAnsi" w:cstheme="majorBidi"/>
        <w:caps/>
        <w:color w:val="4F81BD" w:themeColor="accent1"/>
        <w:spacing w:val="20"/>
        <w:sz w:val="32"/>
        <w:szCs w:val="32"/>
      </w:rPr>
      <w:tblPr/>
      <w:tcPr>
        <w:tcBorders>
          <w:top w:val="nil"/>
          <w:left w:val="nil"/>
          <w:bottom w:val="nil"/>
          <w:right w:val="nil"/>
          <w:insideH w:val="nil"/>
          <w:insideV w:val="nil"/>
          <w:tl2br w:val="nil"/>
          <w:tr2bl w:val="nil"/>
        </w:tcBorders>
      </w:tcPr>
    </w:tblStylePr>
  </w:style>
  <w:style w:type="table" w:styleId="Cuadrculamedia3-nfasis2">
    <w:name w:val="Medium Grid 3 Accent 2"/>
    <w:basedOn w:val="Tablanormal"/>
    <w:uiPriority w:val="69"/>
    <w:pPr>
      <w:spacing w:after="200" w:line="276" w:lineRule="auto"/>
      <w:ind w:left="284" w:hanging="284"/>
      <w:jc w:val="both"/>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Cuadrculamedia2-nfasis61">
    <w:name w:val="Cuadrícula media 2 - Énfasis 61"/>
    <w:basedOn w:val="Tablanormal"/>
    <w:next w:val="Cuadrculamedia2-nfasis6"/>
    <w:uiPriority w:val="68"/>
    <w:pPr>
      <w:spacing w:after="200" w:line="276" w:lineRule="auto"/>
      <w:ind w:left="284" w:hanging="284"/>
      <w:jc w:val="both"/>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nfasis61">
    <w:name w:val="Cuadrícula media 3 - Énfasis 61"/>
    <w:basedOn w:val="Tablanormal"/>
    <w:next w:val="Cuadrculamedia3-nfasis6"/>
    <w:uiPriority w:val="69"/>
    <w:pPr>
      <w:spacing w:after="200" w:line="276" w:lineRule="auto"/>
      <w:ind w:left="284" w:hanging="284"/>
      <w:jc w:val="both"/>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2-nfasis1">
    <w:name w:val="Medium List 2 Accent 1"/>
    <w:basedOn w:val="Tablanormal"/>
    <w:uiPriority w:val="66"/>
    <w:pPr>
      <w:spacing w:after="200" w:line="276" w:lineRule="auto"/>
      <w:ind w:left="284" w:hanging="284"/>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adecuadrcula4-nfasis61">
    <w:name w:val="Tabla de cuadrícula 4 - Énfasis 61"/>
    <w:basedOn w:val="Tablanormal"/>
    <w:uiPriority w:val="49"/>
    <w:pPr>
      <w:spacing w:after="200" w:line="276" w:lineRule="auto"/>
      <w:ind w:left="284" w:hanging="284"/>
      <w:jc w:val="both"/>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11">
    <w:name w:val="Tabla con cuadrícula11"/>
    <w:basedOn w:val="Tablanormal"/>
    <w:next w:val="Tablaconcuadrcula"/>
    <w:uiPriority w:val="99"/>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next w:val="Descripcin"/>
    <w:qFormat/>
    <w:pPr>
      <w:suppressLineNumbers/>
      <w:suppressAutoHyphens/>
      <w:spacing w:before="120" w:after="120"/>
    </w:pPr>
    <w:rPr>
      <w:rFonts w:cs="Arial"/>
      <w:i/>
      <w:iCs/>
      <w:sz w:val="24"/>
      <w:szCs w:val="24"/>
      <w:lang w:eastAsia="zh-CN"/>
    </w:rPr>
  </w:style>
  <w:style w:type="table" w:customStyle="1" w:styleId="Tablaconcuadrcula2">
    <w:name w:val="Tabla con cuadrícula2"/>
    <w:basedOn w:val="Tablanormal"/>
    <w:next w:val="Tablaconcuadrcul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1">
    <w:name w:val="WWNum31"/>
    <w:basedOn w:val="Sinlista"/>
    <w:pPr>
      <w:numPr>
        <w:numId w:val="19"/>
      </w:numPr>
    </w:pPr>
  </w:style>
  <w:style w:type="paragraph" w:customStyle="1" w:styleId="m5038105030928152606msolistparagraph">
    <w:name w:val="m_5038105030928152606msolistparagraph"/>
    <w:basedOn w:val="Normal"/>
    <w:pPr>
      <w:spacing w:before="100" w:beforeAutospacing="1" w:after="100" w:afterAutospacing="1" w:line="240" w:lineRule="auto"/>
    </w:pPr>
    <w:rPr>
      <w:rFonts w:ascii="Times New Roman" w:eastAsia="Times New Roman" w:hAnsi="Times New Roman"/>
      <w:sz w:val="24"/>
      <w:szCs w:val="24"/>
      <w:lang w:eastAsia="es-ES"/>
    </w:rPr>
  </w:style>
  <w:style w:type="table" w:customStyle="1" w:styleId="Tabladecuadrcula1clara-nfasis61">
    <w:name w:val="Tabla de cuadrícula 1 clara - Énfasis 61"/>
    <w:basedOn w:val="Tabla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62">
    <w:name w:val="Cuadrícula clara - Énfasis 62"/>
    <w:basedOn w:val="Tablanormal"/>
    <w:next w:val="Cuadrculaclara-nfasis6"/>
    <w:uiPriority w:val="6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Cuadrculamedia2-nfasis611">
    <w:name w:val="Cuadrícula media 2 - Énfasis 611"/>
    <w:basedOn w:val="Tablanormal"/>
    <w:next w:val="Cuadrculamedia2-nfasis6"/>
    <w:uiPriority w:val="68"/>
    <w:pPr>
      <w:spacing w:after="200" w:line="276" w:lineRule="auto"/>
      <w:ind w:left="284" w:hanging="284"/>
      <w:jc w:val="both"/>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WWNum32">
    <w:name w:val="WWNum32"/>
    <w:basedOn w:val="Sinlista"/>
  </w:style>
  <w:style w:type="numbering" w:customStyle="1" w:styleId="WWNum33">
    <w:name w:val="WWNum33"/>
    <w:basedOn w:val="Sinlista"/>
  </w:style>
  <w:style w:type="numbering" w:customStyle="1" w:styleId="WWNum34">
    <w:name w:val="WWNum34"/>
    <w:basedOn w:val="Sinlista"/>
  </w:style>
  <w:style w:type="table" w:customStyle="1" w:styleId="Tablaconcuadrcula15">
    <w:name w:val="Tabla con cuadrícula15"/>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unhideWhenUsed/>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rPr>
      <w:rFonts w:ascii="Tahoma" w:hAnsi="Tahoma" w:cs="Tahoma"/>
      <w:sz w:val="16"/>
      <w:szCs w:val="16"/>
      <w:lang w:eastAsia="en-US"/>
    </w:rPr>
  </w:style>
  <w:style w:type="numbering" w:customStyle="1" w:styleId="Sinlista3">
    <w:name w:val="Sin lista3"/>
    <w:next w:val="Sinlista"/>
    <w:uiPriority w:val="99"/>
    <w:semiHidden/>
    <w:unhideWhenUsed/>
  </w:style>
  <w:style w:type="table" w:customStyle="1" w:styleId="Tablaconcuadrcula17">
    <w:name w:val="Tabla con cuadrícula17"/>
    <w:basedOn w:val="Tablanormal"/>
    <w:next w:val="Tablaconcuadrcula"/>
    <w:uiPriority w:val="39"/>
    <w:lock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2">
    <w:name w:val="Estilo12"/>
    <w:uiPriority w:val="99"/>
  </w:style>
  <w:style w:type="table" w:customStyle="1" w:styleId="Cuadrculaclara-nfasis42">
    <w:name w:val="Cuadrícula clara - Énfasis 42"/>
    <w:basedOn w:val="Tablanormal"/>
    <w:next w:val="Cuadrculaclara-nfasis4"/>
    <w:uiPriority w:val="6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2">
    <w:name w:val="Sombreado medio 1 - Énfasis 22"/>
    <w:basedOn w:val="Tablanormal"/>
    <w:next w:val="Sombreadomedio1-nfasis2"/>
    <w:uiPriority w:val="6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2">
    <w:name w:val="Sombreado medio 1 - Énfasis 32"/>
    <w:basedOn w:val="Tablanormal"/>
    <w:next w:val="Sombreadomedio1-nfasis3"/>
    <w:uiPriority w:val="6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2">
    <w:name w:val="Lista clara - Énfasis 22"/>
    <w:basedOn w:val="Tablanormal"/>
    <w:next w:val="Listaclara-nfasis2"/>
    <w:uiPriority w:val="6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2">
    <w:name w:val="Sombreado claro - Énfasis 32"/>
    <w:basedOn w:val="Tablanormal"/>
    <w:next w:val="Sombreadoclaro-nfasis3"/>
    <w:uiPriority w:val="6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2">
    <w:name w:val="Lista clara - Énfasis 32"/>
    <w:basedOn w:val="Tablanormal"/>
    <w:next w:val="Listaclara-nfasis3"/>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2">
    <w:name w:val="Sombreado medio 2 - Énfasis 32"/>
    <w:basedOn w:val="Tablanormal"/>
    <w:next w:val="Sombreadomedio2-nfasis3"/>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2">
    <w:name w:val="Sombreado vistoso - Énfasis 32"/>
    <w:basedOn w:val="Tablanormal"/>
    <w:next w:val="Sombreadovistoso-nfasis3"/>
    <w:uiPriority w:val="7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2">
    <w:name w:val="Cuadrícula media 3 - Énfasis 32"/>
    <w:basedOn w:val="Tablanormal"/>
    <w:next w:val="Cuadrculamedia3-nfasis3"/>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2">
    <w:name w:val="Cuadrícula media 2 - Énfasis 32"/>
    <w:basedOn w:val="Tablanormal"/>
    <w:next w:val="Cuadrculamedia2-nfasis3"/>
    <w:uiPriority w:val="6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2">
    <w:name w:val="Cuadrícula media 1 - Énfasis 32"/>
    <w:basedOn w:val="Tablanormal"/>
    <w:next w:val="Cuadrculamedia1-nfasis3"/>
    <w:uiPriority w:val="6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2">
    <w:name w:val="Lista media 2 - Énfasis 32"/>
    <w:basedOn w:val="Tablanormal"/>
    <w:next w:val="Listamedia2-nfasis3"/>
    <w:uiPriority w:val="6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2">
    <w:name w:val="Lista media 1 - Énfasis 32"/>
    <w:basedOn w:val="Tablanormal"/>
    <w:next w:val="Listamedia1-nfasis3"/>
    <w:uiPriority w:val="6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2">
    <w:name w:val="Cuadrícula clara - Énfasis 32"/>
    <w:basedOn w:val="Tablanormal"/>
    <w:next w:val="Cuadrculaclara-nfasis3"/>
    <w:uiPriority w:val="6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2">
    <w:name w:val="Lista media 1 - Énfasis 62"/>
    <w:basedOn w:val="Tablanormal"/>
    <w:next w:val="Listamedia1-nfasis6"/>
    <w:uiPriority w:val="6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2">
    <w:name w:val="Cuadrícula media 1 - Énfasis 62"/>
    <w:basedOn w:val="Tablanormal"/>
    <w:next w:val="Cuadrculamedia1-nfasis6"/>
    <w:uiPriority w:val="6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numbering" w:customStyle="1" w:styleId="Estilo21">
    <w:name w:val="Estilo21"/>
    <w:uiPriority w:val="99"/>
  </w:style>
  <w:style w:type="table" w:customStyle="1" w:styleId="Sombreadoclaro-nfasis42">
    <w:name w:val="Sombreado claro - Énfasis 42"/>
    <w:basedOn w:val="Tablanormal"/>
    <w:next w:val="Sombreadoclaro-nfasis4"/>
    <w:uiPriority w:val="6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2">
    <w:name w:val="Sombreado medio 1 - Énfasis 42"/>
    <w:basedOn w:val="Tablanormal"/>
    <w:next w:val="Sombreadomedio1-nfasis4"/>
    <w:uiPriority w:val="6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2">
    <w:name w:val="Cuadrícula media 1 - Énfasis 42"/>
    <w:basedOn w:val="Tablanormal"/>
    <w:next w:val="Cuadrculamedia1-nfasis4"/>
    <w:uiPriority w:val="6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2">
    <w:name w:val="Cuadrícula clara - Énfasis 22"/>
    <w:basedOn w:val="Tablanormal"/>
    <w:next w:val="Cuadrculaclara-nfasis2"/>
    <w:uiPriority w:val="62"/>
    <w:rPr>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2">
    <w:name w:val="Cuadrícula clara - Énfasis 112"/>
    <w:basedOn w:val="Tablanormal"/>
    <w:uiPriority w:val="6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2">
    <w:name w:val="Sin lista12"/>
    <w:next w:val="Sinlista"/>
    <w:uiPriority w:val="99"/>
    <w:semiHidden/>
    <w:unhideWhenUsed/>
  </w:style>
  <w:style w:type="table" w:customStyle="1" w:styleId="Sombreadoclaro-nfasis22">
    <w:name w:val="Sombreado claro - Énfasis 22"/>
    <w:basedOn w:val="Tablanormal"/>
    <w:next w:val="Sombreadoclaro-nfasis2"/>
    <w:uiPriority w:val="60"/>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Sombreadomedio1-nfasis62">
    <w:name w:val="Sombreado medio 1 - Énfasis 62"/>
    <w:basedOn w:val="Tablanormal"/>
    <w:next w:val="Sombreadomedio1-nfasis6"/>
    <w:uiPriority w:val="63"/>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Sombreadomedio1-nfasis52">
    <w:name w:val="Sombreado medio 1 - Énfasis 52"/>
    <w:basedOn w:val="Tablanormal"/>
    <w:next w:val="Sombreadomedio1-nfasis5"/>
    <w:uiPriority w:val="63"/>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Cuadrculaclara12">
    <w:name w:val="Cuadrícula clara12"/>
    <w:basedOn w:val="Tablanormal"/>
    <w:uiPriority w:val="6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nfasis63">
    <w:name w:val="Cuadrícula clara - Énfasis 63"/>
    <w:basedOn w:val="Tablanormal"/>
    <w:next w:val="Cuadrculaclara-nfasis6"/>
    <w:uiPriority w:val="62"/>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numbering" w:customStyle="1" w:styleId="WWNum35">
    <w:name w:val="WWNum35"/>
    <w:basedOn w:val="Sinlista"/>
  </w:style>
  <w:style w:type="numbering" w:customStyle="1" w:styleId="WWNum81">
    <w:name w:val="WWNum81"/>
    <w:basedOn w:val="Sinlista"/>
    <w:pPr>
      <w:numPr>
        <w:numId w:val="6"/>
      </w:numPr>
    </w:pPr>
  </w:style>
  <w:style w:type="numbering" w:customStyle="1" w:styleId="WWNum91">
    <w:name w:val="WWNum91"/>
    <w:basedOn w:val="Sinlista"/>
    <w:pPr>
      <w:numPr>
        <w:numId w:val="7"/>
      </w:numPr>
    </w:pPr>
  </w:style>
  <w:style w:type="numbering" w:customStyle="1" w:styleId="WWNum21">
    <w:name w:val="WWNum21"/>
    <w:basedOn w:val="Sinlista"/>
    <w:pPr>
      <w:numPr>
        <w:numId w:val="8"/>
      </w:numPr>
    </w:pPr>
  </w:style>
  <w:style w:type="numbering" w:customStyle="1" w:styleId="WWNum51">
    <w:name w:val="WWNum51"/>
    <w:basedOn w:val="Sinlista"/>
  </w:style>
  <w:style w:type="numbering" w:customStyle="1" w:styleId="WWNum72">
    <w:name w:val="WWNum72"/>
    <w:basedOn w:val="Sinlista"/>
  </w:style>
  <w:style w:type="numbering" w:customStyle="1" w:styleId="WWNum101">
    <w:name w:val="WWNum101"/>
    <w:basedOn w:val="Sinlista"/>
    <w:pPr>
      <w:numPr>
        <w:numId w:val="11"/>
      </w:numPr>
    </w:pPr>
  </w:style>
  <w:style w:type="numbering" w:customStyle="1" w:styleId="WWNum141">
    <w:name w:val="WWNum141"/>
    <w:basedOn w:val="Sinlista"/>
    <w:pPr>
      <w:numPr>
        <w:numId w:val="10"/>
      </w:numPr>
    </w:pPr>
  </w:style>
  <w:style w:type="numbering" w:customStyle="1" w:styleId="WWNum161">
    <w:name w:val="WWNum161"/>
    <w:basedOn w:val="Sinlista"/>
  </w:style>
  <w:style w:type="numbering" w:customStyle="1" w:styleId="WWNum171">
    <w:name w:val="WWNum171"/>
    <w:basedOn w:val="Sinlista"/>
  </w:style>
  <w:style w:type="numbering" w:customStyle="1" w:styleId="WWNum201">
    <w:name w:val="WWNum201"/>
    <w:basedOn w:val="Sinlista"/>
  </w:style>
  <w:style w:type="numbering" w:customStyle="1" w:styleId="WWNum711">
    <w:name w:val="WWNum711"/>
    <w:basedOn w:val="Sinlista"/>
    <w:pPr>
      <w:numPr>
        <w:numId w:val="5"/>
      </w:numPr>
    </w:pPr>
  </w:style>
  <w:style w:type="table" w:customStyle="1" w:styleId="Tablaconcuadrcula2112">
    <w:name w:val="Tabla con cuadrícula2112"/>
    <w:basedOn w:val="Tablanormal"/>
    <w:uiPriority w:val="39"/>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2-nfasis62">
    <w:name w:val="Cuadrícula media 2 - Énfasis 62"/>
    <w:basedOn w:val="Tablanormal"/>
    <w:next w:val="Cuadrculamedia2-nfasis6"/>
    <w:uiPriority w:val="68"/>
    <w:rPr>
      <w:rFonts w:ascii="Calibri Light" w:eastAsia="Times New Roman"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Cuadrculamedia3-nfasis62">
    <w:name w:val="Cuadrícula media 3 - Énfasis 62"/>
    <w:basedOn w:val="Tablanormal"/>
    <w:next w:val="Cuadrculamedia3-nfasis6"/>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numbering" w:customStyle="1" w:styleId="Sinlista21">
    <w:name w:val="Sin lista21"/>
    <w:next w:val="Sinlista"/>
    <w:uiPriority w:val="99"/>
    <w:semiHidden/>
    <w:unhideWhenUsed/>
  </w:style>
  <w:style w:type="table" w:customStyle="1" w:styleId="Tablaconcuadrcula18">
    <w:name w:val="Tabla con cuadrícula18"/>
    <w:basedOn w:val="Tablanormal"/>
    <w:next w:val="Tablaconcuadrcula"/>
    <w:uiPriority w:val="59"/>
    <w:pPr>
      <w:spacing w:after="200" w:line="276" w:lineRule="auto"/>
      <w:ind w:left="284" w:hanging="284"/>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clara-nfasis411">
    <w:name w:val="Cuadrícula clara - Énfasis 411"/>
    <w:basedOn w:val="Tablanormal"/>
    <w:next w:val="Cuadrculaclara-nfasis4"/>
    <w:uiPriority w:val="62"/>
    <w:pPr>
      <w:spacing w:after="200" w:line="276" w:lineRule="auto"/>
      <w:ind w:left="284" w:hanging="284"/>
      <w:jc w:val="both"/>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11">
    <w:name w:val="Sombreado medio 1 - Énfasis 211"/>
    <w:basedOn w:val="Tablanormal"/>
    <w:next w:val="Sombreadomedio1-nfasis2"/>
    <w:uiPriority w:val="63"/>
    <w:pPr>
      <w:spacing w:after="200" w:line="276" w:lineRule="auto"/>
      <w:ind w:left="284" w:hanging="284"/>
      <w:jc w:val="both"/>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11">
    <w:name w:val="Sombreado medio 1 - Énfasis 311"/>
    <w:basedOn w:val="Tablanormal"/>
    <w:next w:val="Sombreadomedio1-nfasis3"/>
    <w:uiPriority w:val="63"/>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11">
    <w:name w:val="Lista clara - Énfasis 211"/>
    <w:basedOn w:val="Tablanormal"/>
    <w:next w:val="Listaclara-nfasis2"/>
    <w:uiPriority w:val="61"/>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11">
    <w:name w:val="Sombreado claro - Énfasis 311"/>
    <w:basedOn w:val="Tablanormal"/>
    <w:next w:val="Sombreadoclaro-nfasis3"/>
    <w:uiPriority w:val="60"/>
    <w:pPr>
      <w:spacing w:after="200" w:line="276" w:lineRule="auto"/>
      <w:ind w:left="284" w:hanging="284"/>
      <w:jc w:val="both"/>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11">
    <w:name w:val="Lista clara - Énfasis 311"/>
    <w:basedOn w:val="Tablanormal"/>
    <w:next w:val="Listaclara-nfasis3"/>
    <w:uiPriority w:val="61"/>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11">
    <w:name w:val="Sombreado medio 2 - Énfasis 311"/>
    <w:basedOn w:val="Tablanormal"/>
    <w:next w:val="Sombreadomedio2-nfasis3"/>
    <w:uiPriority w:val="64"/>
    <w:pPr>
      <w:spacing w:after="200" w:line="276" w:lineRule="auto"/>
      <w:ind w:left="284" w:hanging="284"/>
      <w:jc w:val="both"/>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11">
    <w:name w:val="Sombreado vistoso - Énfasis 311"/>
    <w:basedOn w:val="Tablanormal"/>
    <w:next w:val="Sombreadovistoso-nfasis3"/>
    <w:uiPriority w:val="71"/>
    <w:pPr>
      <w:spacing w:after="200" w:line="276" w:lineRule="auto"/>
      <w:ind w:left="284" w:hanging="284"/>
      <w:jc w:val="both"/>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11">
    <w:name w:val="Cuadrícula media 3 - Énfasis 311"/>
    <w:basedOn w:val="Tablanormal"/>
    <w:next w:val="Cuadrculamedia3-nfasis3"/>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11">
    <w:name w:val="Cuadrícula media 2 - Énfasis 311"/>
    <w:basedOn w:val="Tablanormal"/>
    <w:next w:val="Cuadrculamedia2-nfasis3"/>
    <w:uiPriority w:val="68"/>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11">
    <w:name w:val="Cuadrícula media 1 - Énfasis 311"/>
    <w:basedOn w:val="Tablanormal"/>
    <w:next w:val="Cuadrculamedia1-nfasis3"/>
    <w:uiPriority w:val="67"/>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11">
    <w:name w:val="Lista media 2 - Énfasis 311"/>
    <w:basedOn w:val="Tablanormal"/>
    <w:next w:val="Listamedia2-nfasis3"/>
    <w:uiPriority w:val="66"/>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11">
    <w:name w:val="Lista media 1 - Énfasis 311"/>
    <w:basedOn w:val="Tablanormal"/>
    <w:next w:val="Listamedia1-nfasis3"/>
    <w:uiPriority w:val="65"/>
    <w:pPr>
      <w:spacing w:after="200" w:line="276" w:lineRule="auto"/>
      <w:ind w:left="284" w:hanging="284"/>
      <w:jc w:val="both"/>
    </w:pPr>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11">
    <w:name w:val="Cuadrícula clara - Énfasis 311"/>
    <w:basedOn w:val="Tablanormal"/>
    <w:next w:val="Cuadrculaclara-nfasis3"/>
    <w:uiPriority w:val="62"/>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11">
    <w:name w:val="Lista media 1 - Énfasis 611"/>
    <w:basedOn w:val="Tablanormal"/>
    <w:next w:val="Listamedia1-nfasis6"/>
    <w:uiPriority w:val="65"/>
    <w:pPr>
      <w:spacing w:after="200" w:line="276" w:lineRule="auto"/>
      <w:ind w:left="284" w:hanging="284"/>
      <w:jc w:val="both"/>
    </w:pPr>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11">
    <w:name w:val="Cuadrícula media 1 - Énfasis 611"/>
    <w:basedOn w:val="Tablanormal"/>
    <w:next w:val="Cuadrculamedia1-nfasis6"/>
    <w:uiPriority w:val="67"/>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Sombreadoclaro-nfasis411">
    <w:name w:val="Sombreado claro - Énfasis 411"/>
    <w:basedOn w:val="Tablanormal"/>
    <w:next w:val="Sombreadoclaro-nfasis4"/>
    <w:uiPriority w:val="60"/>
    <w:pPr>
      <w:spacing w:after="200" w:line="276" w:lineRule="auto"/>
      <w:ind w:left="284" w:hanging="284"/>
      <w:jc w:val="both"/>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11">
    <w:name w:val="Sombreado medio 1 - Énfasis 411"/>
    <w:basedOn w:val="Tablanormal"/>
    <w:next w:val="Sombreadomedio1-nfasis4"/>
    <w:uiPriority w:val="63"/>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11">
    <w:name w:val="Cuadrícula media 1 - Énfasis 411"/>
    <w:basedOn w:val="Tablanormal"/>
    <w:next w:val="Cuadrculamedia1-nfasis4"/>
    <w:uiPriority w:val="67"/>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11">
    <w:name w:val="Cuadrícula clara - Énfasis 211"/>
    <w:basedOn w:val="Tablanormal"/>
    <w:next w:val="Cuadrculaclara-nfasis2"/>
    <w:uiPriority w:val="62"/>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11">
    <w:name w:val="Cuadrícula clara - Énfasis 1111"/>
    <w:basedOn w:val="Tablanormal"/>
    <w:uiPriority w:val="62"/>
    <w:pPr>
      <w:spacing w:after="200" w:line="276" w:lineRule="auto"/>
      <w:ind w:left="284" w:hanging="284"/>
      <w:jc w:val="both"/>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11">
    <w:name w:val="Sin lista111"/>
    <w:next w:val="Sinlista"/>
    <w:uiPriority w:val="99"/>
    <w:semiHidden/>
    <w:unhideWhenUsed/>
  </w:style>
  <w:style w:type="table" w:customStyle="1" w:styleId="Sombreadoclaro-nfasis211">
    <w:name w:val="Sombreado claro - Énfasis 211"/>
    <w:basedOn w:val="Tablanormal"/>
    <w:next w:val="Sombreadoclaro-nfasis2"/>
    <w:uiPriority w:val="60"/>
    <w:pPr>
      <w:spacing w:after="200" w:line="276" w:lineRule="auto"/>
      <w:ind w:left="284" w:hanging="284"/>
      <w:jc w:val="both"/>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medio1-nfasis611">
    <w:name w:val="Sombreado medio 1 - Énfasis 611"/>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511">
    <w:name w:val="Sombreado medio 1 - Énfasis 511"/>
    <w:basedOn w:val="Tablanormal"/>
    <w:next w:val="Sombreadomedio1-nfasis5"/>
    <w:uiPriority w:val="63"/>
    <w:pPr>
      <w:spacing w:after="200" w:line="276" w:lineRule="auto"/>
      <w:ind w:left="284" w:hanging="284"/>
      <w:jc w:val="both"/>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uadrculaclara111">
    <w:name w:val="Cuadrícula clara111"/>
    <w:basedOn w:val="Tablanormal"/>
    <w:uiPriority w:val="62"/>
    <w:pPr>
      <w:spacing w:after="200" w:line="276" w:lineRule="auto"/>
      <w:ind w:left="284" w:hanging="284"/>
      <w:jc w:val="both"/>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nfasis611">
    <w:name w:val="Cuadrícula clara - Énfasis 611"/>
    <w:basedOn w:val="Tablanormal"/>
    <w:next w:val="Cuadrculaclara-nfasis6"/>
    <w:uiPriority w:val="62"/>
    <w:pPr>
      <w:spacing w:after="200" w:line="276" w:lineRule="auto"/>
      <w:ind w:left="284" w:hanging="284"/>
      <w:jc w:val="both"/>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aconcuadrcula21111">
    <w:name w:val="Tabla con cuadrícula21111"/>
    <w:basedOn w:val="Tablanormal"/>
    <w:uiPriority w:val="39"/>
    <w:pPr>
      <w:spacing w:after="200" w:line="276" w:lineRule="auto"/>
      <w:ind w:left="284" w:hanging="284"/>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1">
    <w:name w:val="Calendar 21"/>
    <w:basedOn w:val="Tablanormal"/>
    <w:uiPriority w:val="99"/>
    <w:qFormat/>
    <w:pPr>
      <w:spacing w:after="200" w:line="276" w:lineRule="auto"/>
      <w:ind w:left="284" w:hanging="284"/>
      <w:jc w:val="center"/>
    </w:pPr>
    <w:rPr>
      <w:rFonts w:eastAsia="Times New Roman"/>
      <w:sz w:val="28"/>
      <w:szCs w:val="28"/>
      <w:lang w:eastAsia="en-US"/>
    </w:rPr>
    <w:tblPr>
      <w:tblBorders>
        <w:insideV w:val="single" w:sz="4" w:space="0" w:color="9CC2E5"/>
      </w:tblBorders>
    </w:tblPr>
    <w:tblStylePr w:type="firstRow">
      <w:rPr>
        <w:rFonts w:ascii="Calibri Light" w:eastAsia="Times New Roman" w:hAnsi="Calibri Light" w:cs="Times New Roman"/>
        <w:caps/>
        <w:color w:val="5B9BD5"/>
        <w:spacing w:val="20"/>
        <w:sz w:val="32"/>
        <w:szCs w:val="32"/>
      </w:rPr>
      <w:tblPr/>
      <w:tcPr>
        <w:tcBorders>
          <w:top w:val="nil"/>
          <w:left w:val="nil"/>
          <w:bottom w:val="nil"/>
          <w:right w:val="nil"/>
          <w:insideH w:val="nil"/>
          <w:insideV w:val="nil"/>
          <w:tl2br w:val="nil"/>
          <w:tr2bl w:val="nil"/>
        </w:tcBorders>
      </w:tcPr>
    </w:tblStylePr>
  </w:style>
  <w:style w:type="table" w:customStyle="1" w:styleId="Cuadrculamedia3-nfasis21">
    <w:name w:val="Cuadrícula media 3 - Énfasis 21"/>
    <w:basedOn w:val="Tablanormal"/>
    <w:next w:val="Cuadrculamedia3-nfasis2"/>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Cuadrculamedia2-nfasis612">
    <w:name w:val="Cuadrícula media 2 - Énfasis 612"/>
    <w:basedOn w:val="Tablanormal"/>
    <w:next w:val="Cuadrculamedia2-nfasis6"/>
    <w:uiPriority w:val="68"/>
    <w:pPr>
      <w:spacing w:after="200" w:line="276" w:lineRule="auto"/>
      <w:ind w:left="284" w:hanging="284"/>
      <w:jc w:val="both"/>
    </w:pPr>
    <w:rPr>
      <w:rFonts w:ascii="Calibri Light" w:eastAsia="Times New Roman"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Cuadrculamedia3-nfasis611">
    <w:name w:val="Cuadrícula media 3 - Énfasis 611"/>
    <w:basedOn w:val="Tablanormal"/>
    <w:next w:val="Cuadrculamedia3-nfasis6"/>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stamedia2-nfasis11">
    <w:name w:val="Lista media 2 - Énfasis 11"/>
    <w:basedOn w:val="Tablanormal"/>
    <w:next w:val="Listamedia2-nfasis1"/>
    <w:uiPriority w:val="66"/>
    <w:pPr>
      <w:spacing w:after="200" w:line="276" w:lineRule="auto"/>
      <w:ind w:left="284" w:hanging="284"/>
      <w:jc w:val="both"/>
    </w:pPr>
    <w:rPr>
      <w:rFonts w:ascii="Calibri Light" w:eastAsia="Times New Roman"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Tabladecuadrcula4-nfasis611">
    <w:name w:val="Tabla de cuadrícula 4 - Énfasis 611"/>
    <w:basedOn w:val="Tablanormal"/>
    <w:uiPriority w:val="49"/>
    <w:pPr>
      <w:spacing w:after="200" w:line="276" w:lineRule="auto"/>
      <w:ind w:left="284" w:hanging="284"/>
      <w:jc w:val="both"/>
    </w:p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11">
    <w:name w:val="Tabla con cuadrícula111"/>
    <w:basedOn w:val="Tablanormal"/>
    <w:next w:val="Tablaconcuadrcula"/>
    <w:uiPriority w:val="99"/>
    <w:locked/>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lock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11">
    <w:name w:val="WWNum311"/>
    <w:basedOn w:val="Sinlista"/>
    <w:pPr>
      <w:numPr>
        <w:numId w:val="38"/>
      </w:numPr>
    </w:pPr>
  </w:style>
  <w:style w:type="table" w:customStyle="1" w:styleId="Tabladecuadrcula1clara-nfasis611">
    <w:name w:val="Tabla de cuadrícula 1 clara - Énfasis 611"/>
    <w:basedOn w:val="Tablanormal"/>
    <w:uiPriority w:val="46"/>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laconcuadrcula51">
    <w:name w:val="Tabla con cuadrícula5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
    <w:name w:val="Tabla con cuadrícula8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1">
    <w:name w:val="Tabla con cuadrícula101"/>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621">
    <w:name w:val="Cuadrícula clara - Énfasis 621"/>
    <w:basedOn w:val="Tablanormal"/>
    <w:next w:val="Cuadrculaclara-nfasis6"/>
    <w:uiPriority w:val="62"/>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Cuadrculamedia2-nfasis6111">
    <w:name w:val="Cuadrícula media 2 - Énfasis 6111"/>
    <w:basedOn w:val="Tablanormal"/>
    <w:next w:val="Cuadrculamedia2-nfasis6"/>
    <w:uiPriority w:val="68"/>
    <w:pPr>
      <w:spacing w:after="200" w:line="276" w:lineRule="auto"/>
      <w:ind w:left="284" w:hanging="284"/>
      <w:jc w:val="both"/>
    </w:pPr>
    <w:rPr>
      <w:rFonts w:ascii="Calibri Light" w:eastAsia="Times New Roman"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numbering" w:customStyle="1" w:styleId="WWNum321">
    <w:name w:val="WWNum321"/>
    <w:basedOn w:val="Sinlista"/>
  </w:style>
  <w:style w:type="numbering" w:customStyle="1" w:styleId="WWNum331">
    <w:name w:val="WWNum331"/>
    <w:basedOn w:val="Sinlista"/>
  </w:style>
  <w:style w:type="numbering" w:customStyle="1" w:styleId="WWNum341">
    <w:name w:val="WWNum341"/>
    <w:basedOn w:val="Sinlista"/>
  </w:style>
  <w:style w:type="table" w:customStyle="1" w:styleId="Tablaconcuadrcula151">
    <w:name w:val="Tabla con cuadrícula15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s1a">
    <w:name w:val="ls1a"/>
    <w:basedOn w:val="Fuentedeprrafopredeter"/>
  </w:style>
  <w:style w:type="character" w:customStyle="1" w:styleId="ls3">
    <w:name w:val="ls3"/>
    <w:basedOn w:val="Fuentedeprrafopredeter"/>
  </w:style>
  <w:style w:type="character" w:customStyle="1" w:styleId="ls4">
    <w:name w:val="ls4"/>
    <w:basedOn w:val="Fuentedeprrafopredeter"/>
  </w:style>
  <w:style w:type="character" w:customStyle="1" w:styleId="lsd">
    <w:name w:val="lsd"/>
    <w:basedOn w:val="Fuentedeprrafopredeter"/>
  </w:style>
  <w:style w:type="character" w:customStyle="1" w:styleId="ls1b">
    <w:name w:val="ls1b"/>
    <w:basedOn w:val="Fuentedeprrafopredeter"/>
  </w:style>
  <w:style w:type="character" w:customStyle="1" w:styleId="ws3">
    <w:name w:val="ws3"/>
    <w:basedOn w:val="Fuentedeprrafopredeter"/>
  </w:style>
  <w:style w:type="character" w:customStyle="1" w:styleId="ls5">
    <w:name w:val="ls5"/>
    <w:basedOn w:val="Fuentedeprrafopredeter"/>
  </w:style>
  <w:style w:type="table" w:customStyle="1" w:styleId="Tabladecuadrcula1clara1">
    <w:name w:val="Tabla de cuadrícula 1 clara1"/>
    <w:basedOn w:val="Tablanormal"/>
    <w:next w:val="Tabladecuadrcula1clara2"/>
    <w:uiPriority w:val="46"/>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cskcde">
    <w:name w:val="cskcde"/>
    <w:basedOn w:val="Fuentedeprrafopredeter"/>
  </w:style>
  <w:style w:type="character" w:customStyle="1" w:styleId="hgkelc">
    <w:name w:val="hgkelc"/>
    <w:basedOn w:val="Fuentedeprrafopredeter"/>
  </w:style>
  <w:style w:type="table" w:customStyle="1" w:styleId="Tabladecuadrcula1clara2">
    <w:name w:val="Tabla de cuadrícula 1 clara2"/>
    <w:basedOn w:val="Tabla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ombreadomedio1-nfasis612">
    <w:name w:val="Sombreado medio 1 - Énfasis 612"/>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613">
    <w:name w:val="Sombreado medio 1 - Énfasis 613"/>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614">
    <w:name w:val="Sombreado medio 1 - Énfasis 614"/>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aconcuadrcula19">
    <w:name w:val="Tabla con cuadrícula19"/>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39"/>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Listaclara-nfasis11">
    <w:name w:val="Lista clara - Énfasis 11"/>
    <w:basedOn w:val="Tablanormal"/>
    <w:uiPriority w:val="61"/>
    <w:rPr>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aconcuadrcula24">
    <w:name w:val="Tabla con cuadrícula24"/>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011">
    <w:name w:val="WWNum1011"/>
    <w:basedOn w:val="Sinlista"/>
  </w:style>
  <w:style w:type="table" w:customStyle="1" w:styleId="Tablaconcuadrcula25">
    <w:name w:val="Tabla con cuadrícula25"/>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
    <w:name w:val="Tabla con cuadrícula26"/>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
    <w:name w:val="Tabla con cuadrícula29"/>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0">
    <w:name w:val="Tabla con cuadrícula30"/>
    <w:basedOn w:val="Tablanormal"/>
    <w:next w:val="Tablaconcuadrcula"/>
    <w:uiPriority w:val="39"/>
    <w:pPr>
      <w:jc w:val="both"/>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
    <w:name w:val="Tabla con cuadrícula93"/>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4">
    <w:name w:val="Tabla con cuadrícula94"/>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5">
    <w:name w:val="Tabla con cuadrícula95"/>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clara-nfasis111">
    <w:name w:val="Lista clara - Énfasis 111"/>
    <w:basedOn w:val="Tablanormal"/>
    <w:uiPriority w:val="61"/>
    <w:rPr>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aconcuadrcula241">
    <w:name w:val="Tabla con cuadrícula24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unhideWhenUsed/>
  </w:style>
  <w:style w:type="numbering" w:customStyle="1" w:styleId="WWNum811">
    <w:name w:val="WWNum811"/>
    <w:basedOn w:val="Sinlista"/>
  </w:style>
  <w:style w:type="numbering" w:customStyle="1" w:styleId="WWNum911">
    <w:name w:val="WWNum911"/>
    <w:basedOn w:val="Sinlista"/>
    <w:pPr>
      <w:numPr>
        <w:numId w:val="3"/>
      </w:numPr>
    </w:pPr>
  </w:style>
  <w:style w:type="numbering" w:customStyle="1" w:styleId="WWNum1711">
    <w:name w:val="WWNum1711"/>
    <w:basedOn w:val="Sinlista"/>
    <w:pPr>
      <w:numPr>
        <w:numId w:val="4"/>
      </w:numPr>
    </w:pPr>
  </w:style>
  <w:style w:type="numbering" w:customStyle="1" w:styleId="WWNum7111">
    <w:name w:val="WWNum7111"/>
    <w:basedOn w:val="Sinlista"/>
  </w:style>
  <w:style w:type="numbering" w:customStyle="1" w:styleId="WWNum511">
    <w:name w:val="WWNum511"/>
    <w:basedOn w:val="Sinlista"/>
    <w:pPr>
      <w:numPr>
        <w:numId w:val="14"/>
      </w:numPr>
    </w:pPr>
  </w:style>
  <w:style w:type="numbering" w:customStyle="1" w:styleId="WWNum1411">
    <w:name w:val="WWNum1411"/>
    <w:basedOn w:val="Sinlista"/>
    <w:pPr>
      <w:numPr>
        <w:numId w:val="15"/>
      </w:numPr>
    </w:pPr>
  </w:style>
  <w:style w:type="table" w:customStyle="1" w:styleId="Tablaconcuadrcula33">
    <w:name w:val="Tabla con cuadrícula33"/>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
    <w:name w:val="WWNum1"/>
    <w:basedOn w:val="Sinlista"/>
    <w:pPr>
      <w:numPr>
        <w:numId w:val="72"/>
      </w:numPr>
    </w:pPr>
  </w:style>
  <w:style w:type="numbering" w:customStyle="1" w:styleId="Sinlista4">
    <w:name w:val="Sin lista4"/>
    <w:next w:val="Sinlista"/>
    <w:uiPriority w:val="99"/>
    <w:semiHidden/>
    <w:unhideWhenUsed/>
  </w:style>
  <w:style w:type="table" w:customStyle="1" w:styleId="Tablaconcuadrcula34">
    <w:name w:val="Tabla con cuadrícula34"/>
    <w:basedOn w:val="Tablanormal"/>
    <w:next w:val="Tablaconcuadrcul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3">
    <w:name w:val="Estilo13"/>
    <w:uiPriority w:val="99"/>
  </w:style>
  <w:style w:type="table" w:customStyle="1" w:styleId="Cuadrculaclara-nfasis43">
    <w:name w:val="Cuadrícula clara - Énfasis 43"/>
    <w:basedOn w:val="Tablanormal"/>
    <w:next w:val="Cuadrculaclara-nfasis4"/>
    <w:uiPriority w:val="6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3">
    <w:name w:val="Sombreado medio 1 - Énfasis 23"/>
    <w:basedOn w:val="Tablanormal"/>
    <w:next w:val="Sombreadomedio1-nfasis2"/>
    <w:uiPriority w:val="6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3">
    <w:name w:val="Sombreado medio 1 - Énfasis 33"/>
    <w:basedOn w:val="Tablanormal"/>
    <w:next w:val="Sombreadomedio1-nfasis3"/>
    <w:uiPriority w:val="6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3">
    <w:name w:val="Lista clara - Énfasis 23"/>
    <w:basedOn w:val="Tablanormal"/>
    <w:next w:val="Listaclara-nfasis2"/>
    <w:uiPriority w:val="6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3">
    <w:name w:val="Sombreado claro - Énfasis 33"/>
    <w:basedOn w:val="Tablanormal"/>
    <w:next w:val="Sombreadoclaro-nfasis3"/>
    <w:uiPriority w:val="6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3">
    <w:name w:val="Lista clara - Énfasis 33"/>
    <w:basedOn w:val="Tablanormal"/>
    <w:next w:val="Listaclara-nfasis3"/>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3">
    <w:name w:val="Sombreado medio 2 - Énfasis 33"/>
    <w:basedOn w:val="Tablanormal"/>
    <w:next w:val="Sombreadomedio2-nfasis3"/>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3">
    <w:name w:val="Sombreado vistoso - Énfasis 33"/>
    <w:basedOn w:val="Tablanormal"/>
    <w:next w:val="Sombreadovistoso-nfasis3"/>
    <w:uiPriority w:val="7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3">
    <w:name w:val="Cuadrícula media 3 - Énfasis 33"/>
    <w:basedOn w:val="Tablanormal"/>
    <w:next w:val="Cuadrculamedia3-nfasis3"/>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3">
    <w:name w:val="Cuadrícula media 2 - Énfasis 33"/>
    <w:basedOn w:val="Tablanormal"/>
    <w:next w:val="Cuadrculamedia2-nfasis3"/>
    <w:uiPriority w:val="6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3">
    <w:name w:val="Cuadrícula media 1 - Énfasis 33"/>
    <w:basedOn w:val="Tablanormal"/>
    <w:next w:val="Cuadrculamedia1-nfasis3"/>
    <w:uiPriority w:val="6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3">
    <w:name w:val="Lista media 2 - Énfasis 33"/>
    <w:basedOn w:val="Tablanormal"/>
    <w:next w:val="Listamedia2-nfasis3"/>
    <w:uiPriority w:val="6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3">
    <w:name w:val="Lista media 1 - Énfasis 33"/>
    <w:basedOn w:val="Tablanormal"/>
    <w:next w:val="Listamedia1-nfasis3"/>
    <w:uiPriority w:val="6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3">
    <w:name w:val="Cuadrícula clara - Énfasis 33"/>
    <w:basedOn w:val="Tablanormal"/>
    <w:next w:val="Cuadrculaclara-nfasis3"/>
    <w:uiPriority w:val="6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3">
    <w:name w:val="Lista media 1 - Énfasis 63"/>
    <w:basedOn w:val="Tablanormal"/>
    <w:next w:val="Listamedia1-nfasis6"/>
    <w:uiPriority w:val="6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3">
    <w:name w:val="Cuadrícula media 1 - Énfasis 63"/>
    <w:basedOn w:val="Tablanormal"/>
    <w:next w:val="Cuadrculamedia1-nfasis6"/>
    <w:uiPriority w:val="6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numbering" w:customStyle="1" w:styleId="Estilo22">
    <w:name w:val="Estilo22"/>
    <w:uiPriority w:val="99"/>
  </w:style>
  <w:style w:type="table" w:customStyle="1" w:styleId="Sombreadoclaro-nfasis43">
    <w:name w:val="Sombreado claro - Énfasis 43"/>
    <w:basedOn w:val="Tablanormal"/>
    <w:next w:val="Sombreadoclaro-nfasis4"/>
    <w:uiPriority w:val="6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3">
    <w:name w:val="Sombreado medio 1 - Énfasis 43"/>
    <w:basedOn w:val="Tablanormal"/>
    <w:next w:val="Sombreadomedio1-nfasis4"/>
    <w:uiPriority w:val="6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3">
    <w:name w:val="Cuadrícula media 1 - Énfasis 43"/>
    <w:basedOn w:val="Tablanormal"/>
    <w:next w:val="Cuadrculamedia1-nfasis4"/>
    <w:uiPriority w:val="6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3">
    <w:name w:val="Cuadrícula clara - Énfasis 23"/>
    <w:basedOn w:val="Tablanormal"/>
    <w:next w:val="Cuadrculaclara-nfasis2"/>
    <w:uiPriority w:val="62"/>
    <w:rPr>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3">
    <w:name w:val="Cuadrícula clara - Énfasis 113"/>
    <w:basedOn w:val="Tablanormal"/>
    <w:uiPriority w:val="6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3">
    <w:name w:val="Sin lista13"/>
    <w:next w:val="Sinlista"/>
    <w:uiPriority w:val="99"/>
    <w:semiHidden/>
    <w:unhideWhenUsed/>
  </w:style>
  <w:style w:type="table" w:customStyle="1" w:styleId="Sombreadoclaro-nfasis23">
    <w:name w:val="Sombreado claro - Énfasis 23"/>
    <w:basedOn w:val="Tablanormal"/>
    <w:next w:val="Sombreadoclaro-nfasis2"/>
    <w:uiPriority w:val="6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Sombreadomedio1-nfasis63">
    <w:name w:val="Sombreado medio 1 - Énfasis 63"/>
    <w:basedOn w:val="Tablanormal"/>
    <w:next w:val="Sombreadomedio1-nfasis6"/>
    <w:uiPriority w:val="6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1-nfasis53">
    <w:name w:val="Sombreado medio 1 - Énfasis 53"/>
    <w:basedOn w:val="Tablanormal"/>
    <w:next w:val="Sombreadomedio1-nfasis5"/>
    <w:uiPriority w:val="6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Cuadrculaclara13">
    <w:name w:val="Cuadrícula clara13"/>
    <w:basedOn w:val="Tablanormal"/>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64">
    <w:name w:val="Cuadrícula clara - Énfasis 64"/>
    <w:basedOn w:val="Tablanormal"/>
    <w:next w:val="Cuadrculaclara-nfasis6"/>
    <w:uiPriority w:val="6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numbering" w:customStyle="1" w:styleId="WWNum36">
    <w:name w:val="WWNum36"/>
    <w:basedOn w:val="Sinlista"/>
  </w:style>
  <w:style w:type="table" w:customStyle="1" w:styleId="Tablaconcuadrcula2113">
    <w:name w:val="Tabla con cuadrícula2113"/>
    <w:basedOn w:val="Tablanormal"/>
    <w:uiPriority w:val="39"/>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2-nfasis63">
    <w:name w:val="Cuadrícula media 2 - Énfasis 63"/>
    <w:basedOn w:val="Tablanormal"/>
    <w:next w:val="Cuadrculamedia2-nfasis6"/>
    <w:uiPriority w:val="6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nfasis63">
    <w:name w:val="Cuadrícula media 3 - Énfasis 63"/>
    <w:basedOn w:val="Tablanormal"/>
    <w:next w:val="Cuadrculamedia3-nfasis6"/>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numbering" w:customStyle="1" w:styleId="Sinlista22">
    <w:name w:val="Sin lista22"/>
    <w:next w:val="Sinlista"/>
    <w:uiPriority w:val="99"/>
    <w:semiHidden/>
    <w:unhideWhenUsed/>
  </w:style>
  <w:style w:type="table" w:customStyle="1" w:styleId="Tablaconcuadrcula110">
    <w:name w:val="Tabla con cuadrícula110"/>
    <w:basedOn w:val="Tablanormal"/>
    <w:next w:val="Tablaconcuadrcula"/>
    <w:uiPriority w:val="59"/>
    <w:pPr>
      <w:spacing w:after="200" w:line="276" w:lineRule="auto"/>
      <w:ind w:left="284" w:hanging="284"/>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1">
    <w:name w:val="Estilo111"/>
    <w:uiPriority w:val="99"/>
    <w:pPr>
      <w:numPr>
        <w:numId w:val="1"/>
      </w:numPr>
    </w:pPr>
  </w:style>
  <w:style w:type="table" w:customStyle="1" w:styleId="Cuadrculaclara-nfasis412">
    <w:name w:val="Cuadrícula clara - Énfasis 412"/>
    <w:basedOn w:val="Tablanormal"/>
    <w:next w:val="Cuadrculaclara-nfasis4"/>
    <w:uiPriority w:val="62"/>
    <w:pPr>
      <w:spacing w:after="200" w:line="276" w:lineRule="auto"/>
      <w:ind w:left="284" w:hanging="284"/>
      <w:jc w:val="both"/>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12">
    <w:name w:val="Sombreado medio 1 - Énfasis 212"/>
    <w:basedOn w:val="Tablanormal"/>
    <w:next w:val="Sombreadomedio1-nfasis2"/>
    <w:uiPriority w:val="63"/>
    <w:pPr>
      <w:spacing w:after="200" w:line="276" w:lineRule="auto"/>
      <w:ind w:left="284" w:hanging="284"/>
      <w:jc w:val="both"/>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12">
    <w:name w:val="Sombreado medio 1 - Énfasis 312"/>
    <w:basedOn w:val="Tablanormal"/>
    <w:next w:val="Sombreadomedio1-nfasis3"/>
    <w:uiPriority w:val="63"/>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12">
    <w:name w:val="Lista clara - Énfasis 212"/>
    <w:basedOn w:val="Tablanormal"/>
    <w:next w:val="Listaclara-nfasis2"/>
    <w:uiPriority w:val="61"/>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12">
    <w:name w:val="Sombreado claro - Énfasis 312"/>
    <w:basedOn w:val="Tablanormal"/>
    <w:next w:val="Sombreadoclaro-nfasis3"/>
    <w:uiPriority w:val="60"/>
    <w:pPr>
      <w:spacing w:after="200" w:line="276" w:lineRule="auto"/>
      <w:ind w:left="284" w:hanging="284"/>
      <w:jc w:val="both"/>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12">
    <w:name w:val="Lista clara - Énfasis 312"/>
    <w:basedOn w:val="Tablanormal"/>
    <w:next w:val="Listaclara-nfasis3"/>
    <w:uiPriority w:val="61"/>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12">
    <w:name w:val="Sombreado medio 2 - Énfasis 312"/>
    <w:basedOn w:val="Tablanormal"/>
    <w:next w:val="Sombreadomedio2-nfasis3"/>
    <w:uiPriority w:val="64"/>
    <w:pPr>
      <w:spacing w:after="200" w:line="276" w:lineRule="auto"/>
      <w:ind w:left="284" w:hanging="284"/>
      <w:jc w:val="both"/>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12">
    <w:name w:val="Sombreado vistoso - Énfasis 312"/>
    <w:basedOn w:val="Tablanormal"/>
    <w:next w:val="Sombreadovistoso-nfasis3"/>
    <w:uiPriority w:val="71"/>
    <w:pPr>
      <w:spacing w:after="200" w:line="276" w:lineRule="auto"/>
      <w:ind w:left="284" w:hanging="284"/>
      <w:jc w:val="both"/>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12">
    <w:name w:val="Cuadrícula media 3 - Énfasis 312"/>
    <w:basedOn w:val="Tablanormal"/>
    <w:next w:val="Cuadrculamedia3-nfasis3"/>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12">
    <w:name w:val="Cuadrícula media 2 - Énfasis 312"/>
    <w:basedOn w:val="Tablanormal"/>
    <w:next w:val="Cuadrculamedia2-nfasis3"/>
    <w:uiPriority w:val="68"/>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12">
    <w:name w:val="Cuadrícula media 1 - Énfasis 312"/>
    <w:basedOn w:val="Tablanormal"/>
    <w:next w:val="Cuadrculamedia1-nfasis3"/>
    <w:uiPriority w:val="67"/>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12">
    <w:name w:val="Lista media 2 - Énfasis 312"/>
    <w:basedOn w:val="Tablanormal"/>
    <w:next w:val="Listamedia2-nfasis3"/>
    <w:uiPriority w:val="66"/>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12">
    <w:name w:val="Lista media 1 - Énfasis 312"/>
    <w:basedOn w:val="Tablanormal"/>
    <w:next w:val="Listamedia1-nfasis3"/>
    <w:uiPriority w:val="65"/>
    <w:pPr>
      <w:spacing w:after="200" w:line="276" w:lineRule="auto"/>
      <w:ind w:left="284" w:hanging="284"/>
      <w:jc w:val="both"/>
    </w:pPr>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12">
    <w:name w:val="Cuadrícula clara - Énfasis 312"/>
    <w:basedOn w:val="Tablanormal"/>
    <w:next w:val="Cuadrculaclara-nfasis3"/>
    <w:uiPriority w:val="62"/>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12">
    <w:name w:val="Lista media 1 - Énfasis 612"/>
    <w:basedOn w:val="Tablanormal"/>
    <w:next w:val="Listamedia1-nfasis6"/>
    <w:uiPriority w:val="65"/>
    <w:pPr>
      <w:spacing w:after="200" w:line="276" w:lineRule="auto"/>
      <w:ind w:left="284" w:hanging="284"/>
      <w:jc w:val="both"/>
    </w:pPr>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12">
    <w:name w:val="Cuadrícula media 1 - Énfasis 612"/>
    <w:basedOn w:val="Tablanormal"/>
    <w:next w:val="Cuadrculamedia1-nfasis6"/>
    <w:uiPriority w:val="67"/>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Sombreadoclaro-nfasis412">
    <w:name w:val="Sombreado claro - Énfasis 412"/>
    <w:basedOn w:val="Tablanormal"/>
    <w:next w:val="Sombreadoclaro-nfasis4"/>
    <w:uiPriority w:val="60"/>
    <w:pPr>
      <w:spacing w:after="200" w:line="276" w:lineRule="auto"/>
      <w:ind w:left="284" w:hanging="284"/>
      <w:jc w:val="both"/>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12">
    <w:name w:val="Sombreado medio 1 - Énfasis 412"/>
    <w:basedOn w:val="Tablanormal"/>
    <w:next w:val="Sombreadomedio1-nfasis4"/>
    <w:uiPriority w:val="63"/>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12">
    <w:name w:val="Cuadrícula media 1 - Énfasis 412"/>
    <w:basedOn w:val="Tablanormal"/>
    <w:next w:val="Cuadrculamedia1-nfasis4"/>
    <w:uiPriority w:val="67"/>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12">
    <w:name w:val="Cuadrícula clara - Énfasis 212"/>
    <w:basedOn w:val="Tablanormal"/>
    <w:next w:val="Cuadrculaclara-nfasis2"/>
    <w:uiPriority w:val="62"/>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12">
    <w:name w:val="Cuadrícula clara - Énfasis 1112"/>
    <w:basedOn w:val="Tablanormal"/>
    <w:uiPriority w:val="62"/>
    <w:pPr>
      <w:spacing w:after="200" w:line="276" w:lineRule="auto"/>
      <w:ind w:left="284" w:hanging="284"/>
      <w:jc w:val="both"/>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12">
    <w:name w:val="Sin lista112"/>
    <w:next w:val="Sinlista"/>
    <w:uiPriority w:val="99"/>
    <w:semiHidden/>
    <w:unhideWhenUsed/>
  </w:style>
  <w:style w:type="table" w:customStyle="1" w:styleId="Sombreadoclaro-nfasis212">
    <w:name w:val="Sombreado claro - Énfasis 212"/>
    <w:basedOn w:val="Tablanormal"/>
    <w:next w:val="Sombreadoclaro-nfasis2"/>
    <w:uiPriority w:val="60"/>
    <w:pPr>
      <w:spacing w:after="200" w:line="276" w:lineRule="auto"/>
      <w:ind w:left="284" w:hanging="284"/>
      <w:jc w:val="both"/>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medio1-nfasis615">
    <w:name w:val="Sombreado medio 1 - Énfasis 615"/>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512">
    <w:name w:val="Sombreado medio 1 - Énfasis 512"/>
    <w:basedOn w:val="Tablanormal"/>
    <w:next w:val="Sombreadomedio1-nfasis5"/>
    <w:uiPriority w:val="63"/>
    <w:pPr>
      <w:spacing w:after="200" w:line="276" w:lineRule="auto"/>
      <w:ind w:left="284" w:hanging="284"/>
      <w:jc w:val="both"/>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uadrculaclara112">
    <w:name w:val="Cuadrícula clara112"/>
    <w:basedOn w:val="Tablanormal"/>
    <w:uiPriority w:val="62"/>
    <w:pPr>
      <w:spacing w:after="200" w:line="276" w:lineRule="auto"/>
      <w:ind w:left="284" w:hanging="284"/>
      <w:jc w:val="both"/>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nfasis612">
    <w:name w:val="Cuadrícula clara - Énfasis 612"/>
    <w:basedOn w:val="Tablanormal"/>
    <w:next w:val="Cuadrculaclara-nfasis6"/>
    <w:uiPriority w:val="62"/>
    <w:pPr>
      <w:spacing w:after="200" w:line="276" w:lineRule="auto"/>
      <w:ind w:left="284" w:hanging="284"/>
      <w:jc w:val="both"/>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aconcuadrcula21112">
    <w:name w:val="Tabla con cuadrícula21112"/>
    <w:basedOn w:val="Tablanormal"/>
    <w:uiPriority w:val="39"/>
    <w:pPr>
      <w:spacing w:after="200" w:line="276" w:lineRule="auto"/>
      <w:ind w:left="284" w:hanging="284"/>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2">
    <w:name w:val="Calendar 22"/>
    <w:basedOn w:val="Tablanormal"/>
    <w:uiPriority w:val="99"/>
    <w:qFormat/>
    <w:pPr>
      <w:spacing w:after="200" w:line="276" w:lineRule="auto"/>
      <w:ind w:left="284" w:hanging="284"/>
      <w:jc w:val="center"/>
    </w:pPr>
    <w:rPr>
      <w:rFonts w:asciiTheme="minorHAnsi" w:eastAsiaTheme="minorEastAsia" w:hAnsiTheme="minorHAnsi" w:cstheme="minorBidi"/>
      <w:sz w:val="28"/>
      <w:szCs w:val="28"/>
      <w:lang w:eastAsia="en-US"/>
    </w:rPr>
    <w:tblPr>
      <w:tblBorders>
        <w:insideV w:val="single" w:sz="4" w:space="0" w:color="95B3D7" w:themeColor="accent1" w:themeTint="99"/>
      </w:tblBorders>
    </w:tblPr>
    <w:tblStylePr w:type="firstRow">
      <w:rPr>
        <w:rFonts w:asciiTheme="majorHAnsi" w:eastAsiaTheme="majorEastAsia" w:hAnsiTheme="majorHAnsi" w:cstheme="majorBidi"/>
        <w:caps/>
        <w:color w:val="4F81BD"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Cuadrculamedia3-nfasis22">
    <w:name w:val="Cuadrícula media 3 - Énfasis 22"/>
    <w:basedOn w:val="Tablanormal"/>
    <w:next w:val="Cuadrculamedia3-nfasis2"/>
    <w:uiPriority w:val="69"/>
    <w:pPr>
      <w:spacing w:after="200" w:line="276" w:lineRule="auto"/>
      <w:ind w:left="284" w:hanging="284"/>
      <w:jc w:val="both"/>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Cuadrculamedia2-nfasis613">
    <w:name w:val="Cuadrícula media 2 - Énfasis 613"/>
    <w:basedOn w:val="Tablanormal"/>
    <w:next w:val="Cuadrculamedia2-nfasis6"/>
    <w:uiPriority w:val="68"/>
    <w:pPr>
      <w:spacing w:after="200" w:line="276" w:lineRule="auto"/>
      <w:ind w:left="284" w:hanging="284"/>
      <w:jc w:val="both"/>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nfasis612">
    <w:name w:val="Cuadrícula media 3 - Énfasis 612"/>
    <w:basedOn w:val="Tablanormal"/>
    <w:next w:val="Cuadrculamedia3-nfasis6"/>
    <w:uiPriority w:val="69"/>
    <w:pPr>
      <w:spacing w:after="200" w:line="276" w:lineRule="auto"/>
      <w:ind w:left="284" w:hanging="284"/>
      <w:jc w:val="both"/>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2-nfasis12">
    <w:name w:val="Lista media 2 - Énfasis 12"/>
    <w:basedOn w:val="Tablanormal"/>
    <w:next w:val="Listamedia2-nfasis1"/>
    <w:uiPriority w:val="66"/>
    <w:pPr>
      <w:spacing w:after="200" w:line="276" w:lineRule="auto"/>
      <w:ind w:left="284" w:hanging="284"/>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adecuadrcula4-nfasis612">
    <w:name w:val="Tabla de cuadrícula 4 - Énfasis 612"/>
    <w:basedOn w:val="Tablanormal"/>
    <w:uiPriority w:val="49"/>
    <w:pPr>
      <w:spacing w:after="200" w:line="276" w:lineRule="auto"/>
      <w:ind w:left="284" w:hanging="284"/>
      <w:jc w:val="both"/>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112">
    <w:name w:val="Tabla con cuadrícula112"/>
    <w:basedOn w:val="Tablanormal"/>
    <w:next w:val="Tablaconcuadrcula"/>
    <w:uiPriority w:val="99"/>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210"/>
    <w:basedOn w:val="Tablanormal"/>
    <w:next w:val="Tablaconcuadrcul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5">
    <w:name w:val="Tabla con cuadrícula35"/>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nfasis612">
    <w:name w:val="Tabla de cuadrícula 1 clara - Énfasis 612"/>
    <w:basedOn w:val="Tabla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aconcuadrcula52">
    <w:name w:val="Tabla con cuadrícula5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6">
    <w:name w:val="Tabla con cuadrícula96"/>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2">
    <w:name w:val="Tabla con cuadrícula102"/>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2">
    <w:name w:val="Tabla con cuadrícula122"/>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622">
    <w:name w:val="Cuadrícula clara - Énfasis 622"/>
    <w:basedOn w:val="Tablanormal"/>
    <w:next w:val="Cuadrculaclara-nfasis6"/>
    <w:uiPriority w:val="6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Cuadrculamedia2-nfasis6112">
    <w:name w:val="Cuadrícula media 2 - Énfasis 6112"/>
    <w:basedOn w:val="Tablanormal"/>
    <w:next w:val="Cuadrculamedia2-nfasis6"/>
    <w:uiPriority w:val="68"/>
    <w:pPr>
      <w:spacing w:after="200" w:line="276" w:lineRule="auto"/>
      <w:ind w:left="284" w:hanging="284"/>
      <w:jc w:val="both"/>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WWNum322">
    <w:name w:val="WWNum322"/>
    <w:basedOn w:val="Sinlista"/>
  </w:style>
  <w:style w:type="numbering" w:customStyle="1" w:styleId="WWNum332">
    <w:name w:val="WWNum332"/>
    <w:basedOn w:val="Sinlista"/>
  </w:style>
  <w:style w:type="numbering" w:customStyle="1" w:styleId="WWNum342">
    <w:name w:val="WWNum342"/>
    <w:basedOn w:val="Sinlista"/>
  </w:style>
  <w:style w:type="table" w:customStyle="1" w:styleId="Tablaconcuadrcula152">
    <w:name w:val="Tabla con cuadrícula15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
    <w:name w:val="Tabla con cuadrícula16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Sinlista"/>
    <w:uiPriority w:val="99"/>
    <w:semiHidden/>
    <w:unhideWhenUsed/>
  </w:style>
  <w:style w:type="table" w:customStyle="1" w:styleId="Tablaconcuadrcula171">
    <w:name w:val="Tabla con cuadrícula171"/>
    <w:basedOn w:val="Tablanormal"/>
    <w:next w:val="Tablaconcuadrcula"/>
    <w:uiPriority w:val="39"/>
    <w:lock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21">
    <w:name w:val="Estilo121"/>
    <w:uiPriority w:val="99"/>
  </w:style>
  <w:style w:type="table" w:customStyle="1" w:styleId="Cuadrculaclara-nfasis421">
    <w:name w:val="Cuadrícula clara - Énfasis 421"/>
    <w:basedOn w:val="Tablanormal"/>
    <w:next w:val="Cuadrculaclara-nfasis4"/>
    <w:uiPriority w:val="6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21">
    <w:name w:val="Sombreado medio 1 - Énfasis 221"/>
    <w:basedOn w:val="Tablanormal"/>
    <w:next w:val="Sombreadomedio1-nfasis2"/>
    <w:uiPriority w:val="6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21">
    <w:name w:val="Sombreado medio 1 - Énfasis 321"/>
    <w:basedOn w:val="Tablanormal"/>
    <w:next w:val="Sombreadomedio1-nfasis3"/>
    <w:uiPriority w:val="6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21">
    <w:name w:val="Lista clara - Énfasis 221"/>
    <w:basedOn w:val="Tablanormal"/>
    <w:next w:val="Listaclara-nfasis2"/>
    <w:uiPriority w:val="6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21">
    <w:name w:val="Sombreado claro - Énfasis 321"/>
    <w:basedOn w:val="Tablanormal"/>
    <w:next w:val="Sombreadoclaro-nfasis3"/>
    <w:uiPriority w:val="6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21">
    <w:name w:val="Lista clara - Énfasis 321"/>
    <w:basedOn w:val="Tablanormal"/>
    <w:next w:val="Listaclara-nfasis3"/>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21">
    <w:name w:val="Sombreado medio 2 - Énfasis 321"/>
    <w:basedOn w:val="Tablanormal"/>
    <w:next w:val="Sombreadomedio2-nfasis3"/>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21">
    <w:name w:val="Sombreado vistoso - Énfasis 321"/>
    <w:basedOn w:val="Tablanormal"/>
    <w:next w:val="Sombreadovistoso-nfasis3"/>
    <w:uiPriority w:val="7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21">
    <w:name w:val="Cuadrícula media 3 - Énfasis 321"/>
    <w:basedOn w:val="Tablanormal"/>
    <w:next w:val="Cuadrculamedia3-nfasis3"/>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21">
    <w:name w:val="Cuadrícula media 2 - Énfasis 321"/>
    <w:basedOn w:val="Tablanormal"/>
    <w:next w:val="Cuadrculamedia2-nfasis3"/>
    <w:uiPriority w:val="6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21">
    <w:name w:val="Cuadrícula media 1 - Énfasis 321"/>
    <w:basedOn w:val="Tablanormal"/>
    <w:next w:val="Cuadrculamedia1-nfasis3"/>
    <w:uiPriority w:val="6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21">
    <w:name w:val="Lista media 2 - Énfasis 321"/>
    <w:basedOn w:val="Tablanormal"/>
    <w:next w:val="Listamedia2-nfasis3"/>
    <w:uiPriority w:val="6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21">
    <w:name w:val="Lista media 1 - Énfasis 321"/>
    <w:basedOn w:val="Tablanormal"/>
    <w:next w:val="Listamedia1-nfasis3"/>
    <w:uiPriority w:val="6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21">
    <w:name w:val="Cuadrícula clara - Énfasis 321"/>
    <w:basedOn w:val="Tablanormal"/>
    <w:next w:val="Cuadrculaclara-nfasis3"/>
    <w:uiPriority w:val="6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21">
    <w:name w:val="Lista media 1 - Énfasis 621"/>
    <w:basedOn w:val="Tablanormal"/>
    <w:next w:val="Listamedia1-nfasis6"/>
    <w:uiPriority w:val="6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21">
    <w:name w:val="Cuadrícula media 1 - Énfasis 621"/>
    <w:basedOn w:val="Tablanormal"/>
    <w:next w:val="Cuadrculamedia1-nfasis6"/>
    <w:uiPriority w:val="6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numbering" w:customStyle="1" w:styleId="Estilo211">
    <w:name w:val="Estilo211"/>
    <w:uiPriority w:val="99"/>
    <w:pPr>
      <w:numPr>
        <w:numId w:val="2"/>
      </w:numPr>
    </w:pPr>
  </w:style>
  <w:style w:type="table" w:customStyle="1" w:styleId="Sombreadoclaro-nfasis421">
    <w:name w:val="Sombreado claro - Énfasis 421"/>
    <w:basedOn w:val="Tablanormal"/>
    <w:next w:val="Sombreadoclaro-nfasis4"/>
    <w:uiPriority w:val="6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21">
    <w:name w:val="Sombreado medio 1 - Énfasis 421"/>
    <w:basedOn w:val="Tablanormal"/>
    <w:next w:val="Sombreadomedio1-nfasis4"/>
    <w:uiPriority w:val="6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21">
    <w:name w:val="Cuadrícula media 1 - Énfasis 421"/>
    <w:basedOn w:val="Tablanormal"/>
    <w:next w:val="Cuadrculamedia1-nfasis4"/>
    <w:uiPriority w:val="6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21">
    <w:name w:val="Cuadrícula clara - Énfasis 221"/>
    <w:basedOn w:val="Tablanormal"/>
    <w:next w:val="Cuadrculaclara-nfasis2"/>
    <w:uiPriority w:val="62"/>
    <w:rPr>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21">
    <w:name w:val="Cuadrícula clara - Énfasis 1121"/>
    <w:basedOn w:val="Tablanormal"/>
    <w:uiPriority w:val="6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21">
    <w:name w:val="Sin lista121"/>
    <w:next w:val="Sinlista"/>
    <w:uiPriority w:val="99"/>
    <w:semiHidden/>
    <w:unhideWhenUsed/>
  </w:style>
  <w:style w:type="table" w:customStyle="1" w:styleId="Sombreadoclaro-nfasis221">
    <w:name w:val="Sombreado claro - Énfasis 221"/>
    <w:basedOn w:val="Tablanormal"/>
    <w:next w:val="Sombreadoclaro-nfasis2"/>
    <w:uiPriority w:val="60"/>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Sombreadomedio1-nfasis621">
    <w:name w:val="Sombreado medio 1 - Énfasis 621"/>
    <w:basedOn w:val="Tablanormal"/>
    <w:next w:val="Sombreadomedio1-nfasis6"/>
    <w:uiPriority w:val="63"/>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Sombreadomedio1-nfasis521">
    <w:name w:val="Sombreado medio 1 - Énfasis 521"/>
    <w:basedOn w:val="Tablanormal"/>
    <w:next w:val="Sombreadomedio1-nfasis5"/>
    <w:uiPriority w:val="63"/>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Cuadrculaclara121">
    <w:name w:val="Cuadrícula clara121"/>
    <w:basedOn w:val="Tablanormal"/>
    <w:uiPriority w:val="6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nfasis631">
    <w:name w:val="Cuadrícula clara - Énfasis 631"/>
    <w:basedOn w:val="Tablanormal"/>
    <w:next w:val="Cuadrculaclara-nfasis6"/>
    <w:uiPriority w:val="62"/>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numbering" w:customStyle="1" w:styleId="WWNum351">
    <w:name w:val="WWNum351"/>
    <w:basedOn w:val="Sinlista"/>
  </w:style>
  <w:style w:type="numbering" w:customStyle="1" w:styleId="WWNum1012">
    <w:name w:val="WWNum1012"/>
    <w:basedOn w:val="Sinlista"/>
    <w:pPr>
      <w:numPr>
        <w:numId w:val="9"/>
      </w:numPr>
    </w:pPr>
  </w:style>
  <w:style w:type="numbering" w:customStyle="1" w:styleId="WWNum1712">
    <w:name w:val="WWNum1712"/>
    <w:basedOn w:val="Sinlista"/>
    <w:pPr>
      <w:numPr>
        <w:numId w:val="13"/>
      </w:numPr>
    </w:pPr>
  </w:style>
  <w:style w:type="numbering" w:customStyle="1" w:styleId="WWNum2011">
    <w:name w:val="WWNum2011"/>
    <w:basedOn w:val="Sinlista"/>
    <w:pPr>
      <w:numPr>
        <w:numId w:val="12"/>
      </w:numPr>
    </w:pPr>
  </w:style>
  <w:style w:type="table" w:customStyle="1" w:styleId="Tablaconcuadrcula21121">
    <w:name w:val="Tabla con cuadrícula21121"/>
    <w:basedOn w:val="Tablanormal"/>
    <w:uiPriority w:val="39"/>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2-nfasis621">
    <w:name w:val="Cuadrícula media 2 - Énfasis 621"/>
    <w:basedOn w:val="Tablanormal"/>
    <w:next w:val="Cuadrculamedia2-nfasis6"/>
    <w:uiPriority w:val="68"/>
    <w:rPr>
      <w:rFonts w:ascii="Calibri Light" w:eastAsia="Times New Roman"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Cuadrculamedia3-nfasis621">
    <w:name w:val="Cuadrícula media 3 - Énfasis 621"/>
    <w:basedOn w:val="Tablanormal"/>
    <w:next w:val="Cuadrculamedia3-nfasis6"/>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numbering" w:customStyle="1" w:styleId="Sinlista211">
    <w:name w:val="Sin lista211"/>
    <w:next w:val="Sinlista"/>
    <w:uiPriority w:val="99"/>
    <w:semiHidden/>
    <w:unhideWhenUsed/>
  </w:style>
  <w:style w:type="table" w:customStyle="1" w:styleId="Tablaconcuadrcula181">
    <w:name w:val="Tabla con cuadrícula181"/>
    <w:basedOn w:val="Tablanormal"/>
    <w:next w:val="Tablaconcuadrcula"/>
    <w:uiPriority w:val="59"/>
    <w:pPr>
      <w:spacing w:after="200" w:line="276" w:lineRule="auto"/>
      <w:ind w:left="284" w:hanging="284"/>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clara-nfasis4111">
    <w:name w:val="Cuadrícula clara - Énfasis 4111"/>
    <w:basedOn w:val="Tablanormal"/>
    <w:next w:val="Cuadrculaclara-nfasis4"/>
    <w:uiPriority w:val="62"/>
    <w:pPr>
      <w:spacing w:after="200" w:line="276" w:lineRule="auto"/>
      <w:ind w:left="284" w:hanging="284"/>
      <w:jc w:val="both"/>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Sombreadomedio1-nfasis2111">
    <w:name w:val="Sombreado medio 1 - Énfasis 2111"/>
    <w:basedOn w:val="Tablanormal"/>
    <w:next w:val="Sombreadomedio1-nfasis2"/>
    <w:uiPriority w:val="63"/>
    <w:pPr>
      <w:spacing w:after="200" w:line="276" w:lineRule="auto"/>
      <w:ind w:left="284" w:hanging="284"/>
      <w:jc w:val="both"/>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domedio1-nfasis3111">
    <w:name w:val="Sombreado medio 1 - Énfasis 3111"/>
    <w:basedOn w:val="Tablanormal"/>
    <w:next w:val="Sombreadomedio1-nfasis3"/>
    <w:uiPriority w:val="63"/>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staclara-nfasis2111">
    <w:name w:val="Lista clara - Énfasis 2111"/>
    <w:basedOn w:val="Tablanormal"/>
    <w:next w:val="Listaclara-nfasis2"/>
    <w:uiPriority w:val="61"/>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ombreadoclaro-nfasis3111">
    <w:name w:val="Sombreado claro - Énfasis 3111"/>
    <w:basedOn w:val="Tablanormal"/>
    <w:next w:val="Sombreadoclaro-nfasis3"/>
    <w:uiPriority w:val="60"/>
    <w:pPr>
      <w:spacing w:after="200" w:line="276" w:lineRule="auto"/>
      <w:ind w:left="284" w:hanging="284"/>
      <w:jc w:val="both"/>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aclara-nfasis3111">
    <w:name w:val="Lista clara - Énfasis 3111"/>
    <w:basedOn w:val="Tablanormal"/>
    <w:next w:val="Listaclara-nfasis3"/>
    <w:uiPriority w:val="61"/>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2-nfasis3111">
    <w:name w:val="Sombreado medio 2 - Énfasis 3111"/>
    <w:basedOn w:val="Tablanormal"/>
    <w:next w:val="Sombreadomedio2-nfasis3"/>
    <w:uiPriority w:val="64"/>
    <w:pPr>
      <w:spacing w:after="200" w:line="276" w:lineRule="auto"/>
      <w:ind w:left="284" w:hanging="284"/>
      <w:jc w:val="both"/>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vistoso-nfasis3111">
    <w:name w:val="Sombreado vistoso - Énfasis 3111"/>
    <w:basedOn w:val="Tablanormal"/>
    <w:next w:val="Sombreadovistoso-nfasis3"/>
    <w:uiPriority w:val="71"/>
    <w:pPr>
      <w:spacing w:after="200" w:line="276" w:lineRule="auto"/>
      <w:ind w:left="284" w:hanging="284"/>
      <w:jc w:val="both"/>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uadrculamedia3-nfasis3111">
    <w:name w:val="Cuadrícula media 3 - Énfasis 3111"/>
    <w:basedOn w:val="Tablanormal"/>
    <w:next w:val="Cuadrculamedia3-nfasis3"/>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uadrculamedia2-nfasis3111">
    <w:name w:val="Cuadrícula media 2 - Énfasis 3111"/>
    <w:basedOn w:val="Tablanormal"/>
    <w:next w:val="Cuadrculamedia2-nfasis3"/>
    <w:uiPriority w:val="68"/>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uadrculamedia1-nfasis3111">
    <w:name w:val="Cuadrícula media 1 - Énfasis 3111"/>
    <w:basedOn w:val="Tablanormal"/>
    <w:next w:val="Cuadrculamedia1-nfasis3"/>
    <w:uiPriority w:val="67"/>
    <w:pPr>
      <w:spacing w:after="200" w:line="276" w:lineRule="auto"/>
      <w:ind w:left="284" w:hanging="284"/>
      <w:jc w:val="both"/>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stamedia2-nfasis3111">
    <w:name w:val="Lista media 2 - Énfasis 3111"/>
    <w:basedOn w:val="Tablanormal"/>
    <w:next w:val="Listamedia2-nfasis3"/>
    <w:uiPriority w:val="66"/>
    <w:pPr>
      <w:spacing w:after="200" w:line="276" w:lineRule="auto"/>
      <w:ind w:left="284" w:hanging="284"/>
      <w:jc w:val="both"/>
    </w:pPr>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stamedia1-nfasis3111">
    <w:name w:val="Lista media 1 - Énfasis 3111"/>
    <w:basedOn w:val="Tablanormal"/>
    <w:next w:val="Listamedia1-nfasis3"/>
    <w:uiPriority w:val="65"/>
    <w:pPr>
      <w:spacing w:after="200" w:line="276" w:lineRule="auto"/>
      <w:ind w:left="284" w:hanging="284"/>
      <w:jc w:val="both"/>
    </w:pPr>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Cuadrculaclara-nfasis3111">
    <w:name w:val="Cuadrícula clara - Énfasis 3111"/>
    <w:basedOn w:val="Tablanormal"/>
    <w:next w:val="Cuadrculaclara-nfasis3"/>
    <w:uiPriority w:val="62"/>
    <w:pPr>
      <w:spacing w:after="200" w:line="276" w:lineRule="auto"/>
      <w:ind w:left="284" w:hanging="284"/>
      <w:jc w:val="both"/>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stamedia1-nfasis6111">
    <w:name w:val="Lista media 1 - Énfasis 6111"/>
    <w:basedOn w:val="Tablanormal"/>
    <w:next w:val="Listamedia1-nfasis6"/>
    <w:uiPriority w:val="65"/>
    <w:pPr>
      <w:spacing w:after="200" w:line="276" w:lineRule="auto"/>
      <w:ind w:left="284" w:hanging="284"/>
      <w:jc w:val="both"/>
    </w:pPr>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uadrculamedia1-nfasis6111">
    <w:name w:val="Cuadrícula media 1 - Énfasis 6111"/>
    <w:basedOn w:val="Tablanormal"/>
    <w:next w:val="Cuadrculamedia1-nfasis6"/>
    <w:uiPriority w:val="67"/>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Sombreadoclaro-nfasis4111">
    <w:name w:val="Sombreado claro - Énfasis 4111"/>
    <w:basedOn w:val="Tablanormal"/>
    <w:next w:val="Sombreadoclaro-nfasis4"/>
    <w:uiPriority w:val="60"/>
    <w:pPr>
      <w:spacing w:after="200" w:line="276" w:lineRule="auto"/>
      <w:ind w:left="284" w:hanging="284"/>
      <w:jc w:val="both"/>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medio1-nfasis4111">
    <w:name w:val="Sombreado medio 1 - Énfasis 4111"/>
    <w:basedOn w:val="Tablanormal"/>
    <w:next w:val="Sombreadomedio1-nfasis4"/>
    <w:uiPriority w:val="63"/>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Cuadrculamedia1-nfasis4111">
    <w:name w:val="Cuadrícula media 1 - Énfasis 4111"/>
    <w:basedOn w:val="Tablanormal"/>
    <w:next w:val="Cuadrculamedia1-nfasis4"/>
    <w:uiPriority w:val="67"/>
    <w:pPr>
      <w:spacing w:after="200" w:line="276" w:lineRule="auto"/>
      <w:ind w:left="284" w:hanging="284"/>
      <w:jc w:val="both"/>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Cuadrculaclara-nfasis2111">
    <w:name w:val="Cuadrícula clara - Énfasis 2111"/>
    <w:basedOn w:val="Tablanormal"/>
    <w:next w:val="Cuadrculaclara-nfasis2"/>
    <w:uiPriority w:val="62"/>
    <w:pPr>
      <w:spacing w:after="200" w:line="276" w:lineRule="auto"/>
      <w:ind w:left="284" w:hanging="284"/>
      <w:jc w:val="both"/>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uadrculaclara-nfasis11111">
    <w:name w:val="Cuadrícula clara - Énfasis 11111"/>
    <w:basedOn w:val="Tablanormal"/>
    <w:uiPriority w:val="62"/>
    <w:pPr>
      <w:spacing w:after="200" w:line="276" w:lineRule="auto"/>
      <w:ind w:left="284" w:hanging="284"/>
      <w:jc w:val="both"/>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111">
    <w:name w:val="Sin lista1111"/>
    <w:next w:val="Sinlista"/>
    <w:uiPriority w:val="99"/>
    <w:semiHidden/>
    <w:unhideWhenUsed/>
  </w:style>
  <w:style w:type="table" w:customStyle="1" w:styleId="Sombreadoclaro-nfasis2111">
    <w:name w:val="Sombreado claro - Énfasis 2111"/>
    <w:basedOn w:val="Tablanormal"/>
    <w:next w:val="Sombreadoclaro-nfasis2"/>
    <w:uiPriority w:val="60"/>
    <w:pPr>
      <w:spacing w:after="200" w:line="276" w:lineRule="auto"/>
      <w:ind w:left="284" w:hanging="284"/>
      <w:jc w:val="both"/>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medio1-nfasis6111">
    <w:name w:val="Sombreado medio 1 - Énfasis 6111"/>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5111">
    <w:name w:val="Sombreado medio 1 - Énfasis 5111"/>
    <w:basedOn w:val="Tablanormal"/>
    <w:next w:val="Sombreadomedio1-nfasis5"/>
    <w:uiPriority w:val="63"/>
    <w:pPr>
      <w:spacing w:after="200" w:line="276" w:lineRule="auto"/>
      <w:ind w:left="284" w:hanging="284"/>
      <w:jc w:val="both"/>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uadrculaclara1111">
    <w:name w:val="Cuadrícula clara1111"/>
    <w:basedOn w:val="Tablanormal"/>
    <w:uiPriority w:val="62"/>
    <w:pPr>
      <w:spacing w:after="200" w:line="276" w:lineRule="auto"/>
      <w:ind w:left="284" w:hanging="284"/>
      <w:jc w:val="both"/>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uadrculaclara-nfasis6111">
    <w:name w:val="Cuadrícula clara - Énfasis 6111"/>
    <w:basedOn w:val="Tablanormal"/>
    <w:next w:val="Cuadrculaclara-nfasis6"/>
    <w:uiPriority w:val="62"/>
    <w:pPr>
      <w:spacing w:after="200" w:line="276" w:lineRule="auto"/>
      <w:ind w:left="284" w:hanging="284"/>
      <w:jc w:val="both"/>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aconcuadrcula211111">
    <w:name w:val="Tabla con cuadrícula211111"/>
    <w:basedOn w:val="Tablanormal"/>
    <w:uiPriority w:val="39"/>
    <w:pPr>
      <w:spacing w:after="200" w:line="276" w:lineRule="auto"/>
      <w:ind w:left="284" w:hanging="284"/>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11">
    <w:name w:val="Calendar 211"/>
    <w:basedOn w:val="Tablanormal"/>
    <w:uiPriority w:val="99"/>
    <w:qFormat/>
    <w:pPr>
      <w:spacing w:after="200" w:line="276" w:lineRule="auto"/>
      <w:ind w:left="284" w:hanging="284"/>
      <w:jc w:val="center"/>
    </w:pPr>
    <w:rPr>
      <w:rFonts w:eastAsia="Times New Roman"/>
      <w:sz w:val="28"/>
      <w:szCs w:val="28"/>
      <w:lang w:eastAsia="en-US"/>
    </w:rPr>
    <w:tblPr>
      <w:tblBorders>
        <w:insideV w:val="single" w:sz="4" w:space="0" w:color="9CC2E5"/>
      </w:tblBorders>
    </w:tblPr>
    <w:tblStylePr w:type="firstRow">
      <w:rPr>
        <w:rFonts w:ascii="Calibri Light" w:eastAsia="Times New Roman" w:hAnsi="Calibri Light" w:cs="Times New Roman"/>
        <w:caps/>
        <w:color w:val="5B9BD5"/>
        <w:spacing w:val="20"/>
        <w:sz w:val="32"/>
        <w:szCs w:val="32"/>
      </w:rPr>
      <w:tblPr/>
      <w:tcPr>
        <w:tcBorders>
          <w:top w:val="nil"/>
          <w:left w:val="nil"/>
          <w:bottom w:val="nil"/>
          <w:right w:val="nil"/>
          <w:insideH w:val="nil"/>
          <w:insideV w:val="nil"/>
          <w:tl2br w:val="nil"/>
          <w:tr2bl w:val="nil"/>
        </w:tcBorders>
      </w:tcPr>
    </w:tblStylePr>
  </w:style>
  <w:style w:type="table" w:customStyle="1" w:styleId="Cuadrculamedia3-nfasis211">
    <w:name w:val="Cuadrícula media 3 - Énfasis 211"/>
    <w:basedOn w:val="Tablanormal"/>
    <w:next w:val="Cuadrculamedia3-nfasis2"/>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Cuadrculamedia2-nfasis6121">
    <w:name w:val="Cuadrícula media 2 - Énfasis 6121"/>
    <w:basedOn w:val="Tablanormal"/>
    <w:next w:val="Cuadrculamedia2-nfasis6"/>
    <w:uiPriority w:val="68"/>
    <w:pPr>
      <w:spacing w:after="200" w:line="276" w:lineRule="auto"/>
      <w:ind w:left="284" w:hanging="284"/>
      <w:jc w:val="both"/>
    </w:pPr>
    <w:rPr>
      <w:rFonts w:ascii="Calibri Light" w:eastAsia="Times New Roman"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Cuadrculamedia3-nfasis6111">
    <w:name w:val="Cuadrícula media 3 - Énfasis 6111"/>
    <w:basedOn w:val="Tablanormal"/>
    <w:next w:val="Cuadrculamedia3-nfasis6"/>
    <w:uiPriority w:val="69"/>
    <w:pPr>
      <w:spacing w:after="200" w:line="276" w:lineRule="auto"/>
      <w:ind w:left="284" w:hanging="284"/>
      <w:jc w:val="both"/>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stamedia2-nfasis111">
    <w:name w:val="Lista media 2 - Énfasis 111"/>
    <w:basedOn w:val="Tablanormal"/>
    <w:next w:val="Listamedia2-nfasis1"/>
    <w:uiPriority w:val="66"/>
    <w:pPr>
      <w:spacing w:after="200" w:line="276" w:lineRule="auto"/>
      <w:ind w:left="284" w:hanging="284"/>
      <w:jc w:val="both"/>
    </w:pPr>
    <w:rPr>
      <w:rFonts w:ascii="Calibri Light" w:eastAsia="Times New Roman"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Tabladecuadrcula4-nfasis6111">
    <w:name w:val="Tabla de cuadrícula 4 - Énfasis 6111"/>
    <w:basedOn w:val="Tablanormal"/>
    <w:uiPriority w:val="49"/>
    <w:pPr>
      <w:spacing w:after="200" w:line="276" w:lineRule="auto"/>
      <w:ind w:left="284" w:hanging="284"/>
      <w:jc w:val="both"/>
    </w:p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111">
    <w:name w:val="Tabla con cuadrícula1111"/>
    <w:basedOn w:val="Tablanormal"/>
    <w:next w:val="Tablaconcuadrcula"/>
    <w:uiPriority w:val="99"/>
    <w:locked/>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
    <w:name w:val="Tabla con cuadrícula212"/>
    <w:basedOn w:val="Tablanormal"/>
    <w:next w:val="Tablaconcuadrcula"/>
    <w:uiPriority w:val="59"/>
    <w:lock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1">
    <w:name w:val="Tabla con cuadrícula31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nfasis6111">
    <w:name w:val="Tabla de cuadrícula 1 clara - Énfasis 6111"/>
    <w:basedOn w:val="Tablanormal"/>
    <w:uiPriority w:val="46"/>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laconcuadrcula511">
    <w:name w:val="Tabla con cuadrícula51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11">
    <w:name w:val="Tabla con cuadrícula1011"/>
    <w:basedOn w:val="Tablanormal"/>
    <w:next w:val="Tablaconcuadrcula"/>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1">
    <w:name w:val="Tabla con cuadrícula121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1">
    <w:name w:val="Tabla con cuadrícula1411"/>
    <w:basedOn w:val="Tablanormal"/>
    <w:next w:val="Tablaconcuadrcula"/>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6211">
    <w:name w:val="Cuadrícula clara - Énfasis 6211"/>
    <w:basedOn w:val="Tablanormal"/>
    <w:next w:val="Cuadrculaclara-nfasis6"/>
    <w:uiPriority w:val="62"/>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Cuadrculamedia2-nfasis61111">
    <w:name w:val="Cuadrícula media 2 - Énfasis 61111"/>
    <w:basedOn w:val="Tablanormal"/>
    <w:next w:val="Cuadrculamedia2-nfasis6"/>
    <w:uiPriority w:val="68"/>
    <w:pPr>
      <w:spacing w:after="200" w:line="276" w:lineRule="auto"/>
      <w:ind w:left="284" w:hanging="284"/>
      <w:jc w:val="both"/>
    </w:pPr>
    <w:rPr>
      <w:rFonts w:ascii="Calibri Light" w:eastAsia="Times New Roman"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numbering" w:customStyle="1" w:styleId="WWNum3211">
    <w:name w:val="WWNum3211"/>
    <w:basedOn w:val="Sinlista"/>
  </w:style>
  <w:style w:type="numbering" w:customStyle="1" w:styleId="WWNum3311">
    <w:name w:val="WWNum3311"/>
    <w:basedOn w:val="Sinlista"/>
  </w:style>
  <w:style w:type="numbering" w:customStyle="1" w:styleId="WWNum3411">
    <w:name w:val="WWNum3411"/>
    <w:basedOn w:val="Sinlista"/>
  </w:style>
  <w:style w:type="table" w:customStyle="1" w:styleId="Tablaconcuadrcula1511">
    <w:name w:val="Tabla con cuadrícula151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
    <w:name w:val="Tabla con cuadrícula161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11">
    <w:name w:val="Tabla de cuadrícula 1 clara11"/>
    <w:basedOn w:val="Tablanormal"/>
    <w:next w:val="Tabladecuadrcula1clara2"/>
    <w:uiPriority w:val="46"/>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21">
    <w:name w:val="Tabla de cuadrícula 1 clara21"/>
    <w:basedOn w:val="Tabla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ombreadomedio1-nfasis6121">
    <w:name w:val="Sombreado medio 1 - Énfasis 6121"/>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6131">
    <w:name w:val="Sombreado medio 1 - Énfasis 6131"/>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domedio1-nfasis6141">
    <w:name w:val="Sombreado medio 1 - Énfasis 6141"/>
    <w:basedOn w:val="Tablanormal"/>
    <w:next w:val="Sombreadomedio1-nfasis6"/>
    <w:uiPriority w:val="63"/>
    <w:pPr>
      <w:spacing w:after="200" w:line="276" w:lineRule="auto"/>
      <w:ind w:left="284" w:hanging="284"/>
      <w:jc w:val="both"/>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aconcuadrcula191">
    <w:name w:val="Tabla con cuadrícula19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
    <w:name w:val="Tabla con cuadrícula201"/>
    <w:basedOn w:val="Tablanormal"/>
    <w:next w:val="Tablaconcuadrcula"/>
    <w:uiPriority w:val="39"/>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Listaclara-nfasis112">
    <w:name w:val="Lista clara - Énfasis 112"/>
    <w:basedOn w:val="Tablanormal"/>
    <w:uiPriority w:val="61"/>
    <w:rPr>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aconcuadrcula242">
    <w:name w:val="Tabla con cuadrícula24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0111">
    <w:name w:val="WWNum10111"/>
    <w:basedOn w:val="Sinlista"/>
  </w:style>
  <w:style w:type="table" w:customStyle="1" w:styleId="Tablaconcuadrcula251">
    <w:name w:val="Tabla con cuadrícula25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1">
    <w:name w:val="Tabla con cuadrícula29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1">
    <w:name w:val="Tabla con cuadrícula921"/>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01">
    <w:name w:val="Tabla con cuadrícula301"/>
    <w:basedOn w:val="Tablanormal"/>
    <w:next w:val="Tablaconcuadrcula"/>
    <w:uiPriority w:val="39"/>
    <w:pPr>
      <w:jc w:val="both"/>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39"/>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31">
    <w:name w:val="Tabla con cuadrícula931"/>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41">
    <w:name w:val="Tabla con cuadrícula941"/>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51">
    <w:name w:val="Tabla con cuadrícula951"/>
    <w:basedOn w:val="Tablanormal"/>
    <w:uiPriority w:val="59"/>
    <w:pPr>
      <w:suppressAutoHyphens/>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clara-nfasis1111">
    <w:name w:val="Lista clara - Énfasis 1111"/>
    <w:basedOn w:val="Tablanormal"/>
    <w:uiPriority w:val="61"/>
    <w:rPr>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aconcuadrcula2411">
    <w:name w:val="Tabla con cuadrícula2411"/>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pPr>
      <w:spacing w:line="240" w:lineRule="auto"/>
    </w:pPr>
    <w:rPr>
      <w:rFonts w:eastAsia="Calibri"/>
      <w:b/>
      <w:bCs/>
    </w:rPr>
  </w:style>
  <w:style w:type="character" w:customStyle="1" w:styleId="AsuntodelcomentarioCar">
    <w:name w:val="Asunto del comentario Car"/>
    <w:basedOn w:val="TextocomentarioCar"/>
    <w:link w:val="Asuntodelcomentario"/>
    <w:uiPriority w:val="99"/>
    <w:semiHidden/>
    <w:rPr>
      <w:rFonts w:eastAsia="Times New Roman"/>
      <w:b/>
      <w:bCs/>
      <w:lang w:eastAsia="en-US"/>
    </w:rPr>
  </w:style>
  <w:style w:type="table" w:customStyle="1" w:styleId="Tablaconcuadrcula36">
    <w:name w:val="Tabla con cuadrícula36"/>
    <w:basedOn w:val="Tablanormal"/>
    <w:next w:val="Tablaconcuadrcula"/>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
    <w:name w:val="Tabla con cuadrícula113"/>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style>
  <w:style w:type="character" w:styleId="nfasissutil">
    <w:name w:val="Subtle Emphasis"/>
    <w:basedOn w:val="Fuentedeprrafopredeter"/>
    <w:uiPriority w:val="19"/>
    <w:qFormat/>
    <w:rPr>
      <w:i/>
      <w:iCs/>
      <w:color w:val="404040"/>
    </w:rPr>
  </w:style>
  <w:style w:type="numbering" w:customStyle="1" w:styleId="WWNum82">
    <w:name w:val="WWNum82"/>
    <w:basedOn w:val="Sinlista"/>
    <w:pPr>
      <w:numPr>
        <w:numId w:val="83"/>
      </w:numPr>
    </w:pPr>
  </w:style>
  <w:style w:type="numbering" w:customStyle="1" w:styleId="WWNum92">
    <w:name w:val="WWNum92"/>
    <w:basedOn w:val="Sinlista"/>
    <w:pPr>
      <w:numPr>
        <w:numId w:val="84"/>
      </w:numPr>
    </w:pPr>
  </w:style>
  <w:style w:type="numbering" w:customStyle="1" w:styleId="WWNum22">
    <w:name w:val="WWNum22"/>
    <w:basedOn w:val="Sinlista"/>
    <w:pPr>
      <w:numPr>
        <w:numId w:val="85"/>
      </w:numPr>
    </w:pPr>
  </w:style>
  <w:style w:type="numbering" w:customStyle="1" w:styleId="WWNum52">
    <w:name w:val="WWNum52"/>
    <w:basedOn w:val="Sinlista"/>
    <w:pPr>
      <w:numPr>
        <w:numId w:val="86"/>
      </w:numPr>
    </w:pPr>
  </w:style>
  <w:style w:type="numbering" w:customStyle="1" w:styleId="WWNum73">
    <w:name w:val="WWNum73"/>
    <w:basedOn w:val="Sinlista"/>
    <w:pPr>
      <w:numPr>
        <w:numId w:val="87"/>
      </w:numPr>
    </w:pPr>
  </w:style>
  <w:style w:type="numbering" w:customStyle="1" w:styleId="WWNum102">
    <w:name w:val="WWNum102"/>
    <w:basedOn w:val="Sinlista"/>
    <w:pPr>
      <w:numPr>
        <w:numId w:val="88"/>
      </w:numPr>
    </w:pPr>
  </w:style>
  <w:style w:type="numbering" w:customStyle="1" w:styleId="WWNum142">
    <w:name w:val="WWNum142"/>
    <w:basedOn w:val="Sinlista"/>
    <w:pPr>
      <w:numPr>
        <w:numId w:val="89"/>
      </w:numPr>
    </w:pPr>
  </w:style>
  <w:style w:type="numbering" w:customStyle="1" w:styleId="WWNum162">
    <w:name w:val="WWNum162"/>
    <w:basedOn w:val="Sinlista"/>
    <w:pPr>
      <w:numPr>
        <w:numId w:val="90"/>
      </w:numPr>
    </w:pPr>
  </w:style>
  <w:style w:type="numbering" w:customStyle="1" w:styleId="WWNum172">
    <w:name w:val="WWNum172"/>
    <w:basedOn w:val="Sinlista"/>
    <w:pPr>
      <w:numPr>
        <w:numId w:val="91"/>
      </w:numPr>
    </w:pPr>
  </w:style>
  <w:style w:type="numbering" w:customStyle="1" w:styleId="WWNum202">
    <w:name w:val="WWNum202"/>
    <w:basedOn w:val="Sinlista"/>
    <w:pPr>
      <w:numPr>
        <w:numId w:val="92"/>
      </w:numPr>
    </w:pPr>
  </w:style>
  <w:style w:type="numbering" w:customStyle="1" w:styleId="WWNum712">
    <w:name w:val="WWNum712"/>
    <w:basedOn w:val="Sinlista"/>
    <w:pPr>
      <w:numPr>
        <w:numId w:val="93"/>
      </w:numPr>
    </w:pPr>
  </w:style>
  <w:style w:type="numbering" w:customStyle="1" w:styleId="Estilo112">
    <w:name w:val="Estilo112"/>
    <w:basedOn w:val="Sinlista"/>
    <w:pPr>
      <w:numPr>
        <w:numId w:val="94"/>
      </w:numPr>
    </w:pPr>
  </w:style>
  <w:style w:type="numbering" w:customStyle="1" w:styleId="WWNum312">
    <w:name w:val="WWNum312"/>
    <w:basedOn w:val="Sinlista"/>
    <w:pPr>
      <w:numPr>
        <w:numId w:val="95"/>
      </w:numPr>
    </w:pPr>
  </w:style>
  <w:style w:type="numbering" w:customStyle="1" w:styleId="Estilo212">
    <w:name w:val="Estilo212"/>
    <w:basedOn w:val="Sinlista"/>
    <w:pPr>
      <w:numPr>
        <w:numId w:val="96"/>
      </w:numPr>
    </w:pPr>
  </w:style>
  <w:style w:type="numbering" w:customStyle="1" w:styleId="WWNum812">
    <w:name w:val="WWNum812"/>
    <w:basedOn w:val="Sinlista"/>
    <w:pPr>
      <w:numPr>
        <w:numId w:val="97"/>
      </w:numPr>
    </w:pPr>
  </w:style>
  <w:style w:type="numbering" w:customStyle="1" w:styleId="WWNum912">
    <w:name w:val="WWNum912"/>
    <w:basedOn w:val="Sinlista"/>
    <w:pPr>
      <w:numPr>
        <w:numId w:val="98"/>
      </w:numPr>
    </w:pPr>
  </w:style>
  <w:style w:type="numbering" w:customStyle="1" w:styleId="WWNum211">
    <w:name w:val="WWNum211"/>
    <w:basedOn w:val="Sinlista"/>
    <w:pPr>
      <w:numPr>
        <w:numId w:val="99"/>
      </w:numPr>
    </w:pPr>
  </w:style>
  <w:style w:type="numbering" w:customStyle="1" w:styleId="WWNum512">
    <w:name w:val="WWNum512"/>
    <w:basedOn w:val="Sinlista"/>
    <w:pPr>
      <w:numPr>
        <w:numId w:val="100"/>
      </w:numPr>
    </w:pPr>
  </w:style>
  <w:style w:type="numbering" w:customStyle="1" w:styleId="WWNum721">
    <w:name w:val="WWNum721"/>
    <w:basedOn w:val="Sinlista"/>
    <w:pPr>
      <w:numPr>
        <w:numId w:val="101"/>
      </w:numPr>
    </w:pPr>
  </w:style>
  <w:style w:type="numbering" w:customStyle="1" w:styleId="WWNum1013">
    <w:name w:val="WWNum1013"/>
    <w:basedOn w:val="Sinlista"/>
    <w:pPr>
      <w:numPr>
        <w:numId w:val="102"/>
      </w:numPr>
    </w:pPr>
  </w:style>
  <w:style w:type="numbering" w:customStyle="1" w:styleId="WWNum1412">
    <w:name w:val="WWNum1412"/>
    <w:basedOn w:val="Sinlista"/>
    <w:pPr>
      <w:numPr>
        <w:numId w:val="103"/>
      </w:numPr>
    </w:pPr>
  </w:style>
  <w:style w:type="numbering" w:customStyle="1" w:styleId="WWNum1611">
    <w:name w:val="WWNum1611"/>
    <w:basedOn w:val="Sinlista"/>
    <w:pPr>
      <w:numPr>
        <w:numId w:val="104"/>
      </w:numPr>
    </w:pPr>
  </w:style>
  <w:style w:type="numbering" w:customStyle="1" w:styleId="WWNum1713">
    <w:name w:val="WWNum1713"/>
    <w:basedOn w:val="Sinlista"/>
    <w:pPr>
      <w:numPr>
        <w:numId w:val="105"/>
      </w:numPr>
    </w:pPr>
  </w:style>
  <w:style w:type="numbering" w:customStyle="1" w:styleId="WWNum2012">
    <w:name w:val="WWNum2012"/>
    <w:basedOn w:val="Sinlista"/>
    <w:pPr>
      <w:numPr>
        <w:numId w:val="106"/>
      </w:numPr>
    </w:pPr>
  </w:style>
  <w:style w:type="numbering" w:customStyle="1" w:styleId="WWNum7112">
    <w:name w:val="WWNum7112"/>
    <w:basedOn w:val="Sinlista"/>
    <w:pPr>
      <w:numPr>
        <w:numId w:val="107"/>
      </w:numPr>
    </w:pPr>
  </w:style>
  <w:style w:type="numbering" w:customStyle="1" w:styleId="WWNum3111">
    <w:name w:val="WWNum3111"/>
    <w:basedOn w:val="Sinlista"/>
    <w:pPr>
      <w:numPr>
        <w:numId w:val="108"/>
      </w:numPr>
    </w:pPr>
  </w:style>
  <w:style w:type="table" w:customStyle="1" w:styleId="Tablaconcuadrcula37">
    <w:name w:val="Tabla con cuadrícula37"/>
    <w:basedOn w:val="Tablanormal"/>
    <w:next w:val="Tablaconcuadrcula"/>
    <w:uiPriority w:val="3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222">
    <w:name w:val="Tabla con cuadrícula222"/>
    <w:basedOn w:val="Tablanormal"/>
    <w:next w:val="Tablaconcuadrcula"/>
    <w:uiPriority w:val="39"/>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8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Pr>
      <w:rFonts w:asciiTheme="majorHAnsi" w:eastAsiaTheme="majorEastAsia" w:hAnsiTheme="majorHAnsi" w:cstheme="majorBidi"/>
      <w:color w:val="365F91" w:themeColor="accent1" w:themeShade="BF"/>
      <w:sz w:val="32"/>
      <w:szCs w:val="32"/>
      <w:lang w:eastAsia="en-US"/>
    </w:rPr>
  </w:style>
  <w:style w:type="character" w:customStyle="1" w:styleId="Ttulo2Car">
    <w:name w:val="Título 2 Car"/>
    <w:basedOn w:val="Fuentedeprrafopredeter"/>
    <w:link w:val="Ttulo2"/>
    <w:uiPriority w:val="9"/>
    <w:rPr>
      <w:rFonts w:asciiTheme="majorHAnsi" w:eastAsiaTheme="majorEastAsia" w:hAnsiTheme="majorHAnsi" w:cstheme="majorBidi"/>
      <w:color w:val="365F91" w:themeColor="accent1" w:themeShade="BF"/>
      <w:sz w:val="26"/>
      <w:szCs w:val="26"/>
      <w:lang w:eastAsia="en-US"/>
    </w:rPr>
  </w:style>
  <w:style w:type="table" w:customStyle="1" w:styleId="TableNormal2">
    <w:name w:val="Table Normal2"/>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aconcuadrcula38">
    <w:name w:val="Tabla con cuadrícula38"/>
    <w:basedOn w:val="Tablanormal"/>
    <w:next w:val="Tablaconcuadrcula"/>
    <w:uiPriority w:val="3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pPr>
      <w:suppressLineNumbers/>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Ttulo41">
    <w:name w:val="Título 41"/>
    <w:basedOn w:val="Normal"/>
    <w:next w:val="Normal"/>
    <w:uiPriority w:val="9"/>
    <w:unhideWhenUsed/>
    <w:qFormat/>
    <w:pPr>
      <w:keepNext/>
      <w:keepLines/>
      <w:spacing w:before="80" w:after="0" w:line="300" w:lineRule="auto"/>
      <w:outlineLvl w:val="3"/>
    </w:pPr>
    <w:rPr>
      <w:rFonts w:ascii="Calibri Light" w:eastAsia="Times New Roman" w:hAnsi="Calibri Light"/>
      <w:i/>
      <w:iCs/>
      <w:sz w:val="30"/>
      <w:szCs w:val="30"/>
    </w:rPr>
  </w:style>
  <w:style w:type="paragraph" w:customStyle="1" w:styleId="Ttulo51">
    <w:name w:val="Título 51"/>
    <w:basedOn w:val="Normal"/>
    <w:next w:val="Normal"/>
    <w:uiPriority w:val="9"/>
    <w:unhideWhenUsed/>
    <w:qFormat/>
    <w:pPr>
      <w:keepNext/>
      <w:keepLines/>
      <w:spacing w:before="40" w:after="0" w:line="300" w:lineRule="auto"/>
      <w:outlineLvl w:val="4"/>
    </w:pPr>
    <w:rPr>
      <w:rFonts w:ascii="Calibri Light" w:eastAsia="Times New Roman" w:hAnsi="Calibri Light"/>
      <w:sz w:val="28"/>
      <w:szCs w:val="28"/>
    </w:rPr>
  </w:style>
  <w:style w:type="paragraph" w:customStyle="1" w:styleId="Ttulo61">
    <w:name w:val="Título 61"/>
    <w:basedOn w:val="Normal"/>
    <w:next w:val="Normal"/>
    <w:uiPriority w:val="9"/>
    <w:unhideWhenUsed/>
    <w:qFormat/>
    <w:pPr>
      <w:keepNext/>
      <w:keepLines/>
      <w:spacing w:before="40" w:after="0" w:line="300" w:lineRule="auto"/>
      <w:outlineLvl w:val="5"/>
    </w:pPr>
    <w:rPr>
      <w:rFonts w:ascii="Calibri Light" w:eastAsia="Times New Roman" w:hAnsi="Calibri Light"/>
      <w:i/>
      <w:iCs/>
      <w:sz w:val="26"/>
      <w:szCs w:val="26"/>
    </w:rPr>
  </w:style>
  <w:style w:type="paragraph" w:customStyle="1" w:styleId="Ttulo81">
    <w:name w:val="Título 81"/>
    <w:basedOn w:val="Normal"/>
    <w:next w:val="Normal"/>
    <w:uiPriority w:val="9"/>
    <w:unhideWhenUsed/>
    <w:qFormat/>
    <w:pPr>
      <w:keepNext/>
      <w:keepLines/>
      <w:spacing w:before="40" w:after="0" w:line="300" w:lineRule="auto"/>
      <w:outlineLvl w:val="7"/>
    </w:pPr>
    <w:rPr>
      <w:rFonts w:ascii="Calibri Light" w:eastAsia="Times New Roman" w:hAnsi="Calibri Light"/>
      <w:i/>
      <w:iCs/>
    </w:rPr>
  </w:style>
  <w:style w:type="character" w:customStyle="1" w:styleId="Ttulo9Car">
    <w:name w:val="Título 9 Car"/>
    <w:basedOn w:val="Fuentedeprrafopredeter"/>
    <w:link w:val="Ttulo9"/>
    <w:uiPriority w:val="9"/>
    <w:semiHidden/>
    <w:rPr>
      <w:rFonts w:eastAsia="Times New Roman"/>
      <w:b/>
      <w:bCs/>
      <w:i/>
      <w:iCs/>
      <w:sz w:val="21"/>
      <w:szCs w:val="21"/>
      <w:lang w:eastAsia="en-US"/>
    </w:rPr>
  </w:style>
  <w:style w:type="numbering" w:customStyle="1" w:styleId="Sinlista6">
    <w:name w:val="Sin lista6"/>
    <w:next w:val="Sinlista"/>
    <w:uiPriority w:val="99"/>
    <w:semiHidden/>
    <w:unhideWhenUsed/>
  </w:style>
  <w:style w:type="paragraph" w:customStyle="1" w:styleId="TDC11">
    <w:name w:val="TDC 11"/>
    <w:basedOn w:val="Normal"/>
    <w:next w:val="Normal"/>
    <w:autoRedefine/>
    <w:uiPriority w:val="39"/>
    <w:unhideWhenUsed/>
    <w:pPr>
      <w:tabs>
        <w:tab w:val="right" w:leader="dot" w:pos="8494"/>
      </w:tabs>
      <w:spacing w:after="0" w:line="360" w:lineRule="auto"/>
      <w:jc w:val="both"/>
    </w:pPr>
    <w:rPr>
      <w:rFonts w:ascii="Arial" w:eastAsia="Times New Roman" w:hAnsi="Arial" w:cs="Arial"/>
      <w:noProof/>
      <w:color w:val="000000"/>
      <w:sz w:val="24"/>
      <w:szCs w:val="24"/>
      <w:lang w:val="pt-PT"/>
    </w:rPr>
  </w:style>
  <w:style w:type="paragraph" w:styleId="TtuloTDC">
    <w:name w:val="TOC Heading"/>
    <w:basedOn w:val="Ttulo1"/>
    <w:next w:val="Normal"/>
    <w:uiPriority w:val="39"/>
    <w:unhideWhenUsed/>
    <w:qFormat/>
    <w:pPr>
      <w:spacing w:before="320" w:after="80" w:line="240" w:lineRule="auto"/>
      <w:jc w:val="center"/>
      <w:outlineLvl w:val="9"/>
    </w:pPr>
    <w:rPr>
      <w:sz w:val="40"/>
      <w:szCs w:val="40"/>
    </w:rPr>
  </w:style>
  <w:style w:type="table" w:customStyle="1" w:styleId="Tablaconcuadrcula39">
    <w:name w:val="Tabla con cuadrícula39"/>
    <w:basedOn w:val="Tablanormal"/>
    <w:next w:val="Tablaconcuadrcula"/>
    <w:uiPriority w:val="3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41">
    <w:name w:val="Tabla de cuadrícula 2 - Énfasis 41"/>
    <w:basedOn w:val="Tablanormal"/>
    <w:next w:val="Tabladecuadrcula2-nfasis4"/>
    <w:uiPriority w:val="47"/>
    <w:rPr>
      <w:rFonts w:eastAsia="Times New Roman"/>
      <w:sz w:val="21"/>
      <w:szCs w:val="21"/>
      <w:lang w:eastAsia="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styleId="Sinespaciado">
    <w:name w:val="No Spacing"/>
    <w:link w:val="SinespaciadoCar"/>
    <w:uiPriority w:val="1"/>
    <w:qFormat/>
    <w:rPr>
      <w:rFonts w:eastAsia="Times New Roman"/>
      <w:sz w:val="21"/>
      <w:szCs w:val="21"/>
      <w:lang w:eastAsia="en-US"/>
    </w:rPr>
  </w:style>
  <w:style w:type="character" w:customStyle="1" w:styleId="SinespaciadoCar">
    <w:name w:val="Sin espaciado Car"/>
    <w:basedOn w:val="Fuentedeprrafopredeter"/>
    <w:link w:val="Sinespaciado"/>
    <w:uiPriority w:val="1"/>
    <w:rPr>
      <w:rFonts w:eastAsia="Times New Roman"/>
      <w:sz w:val="21"/>
      <w:szCs w:val="21"/>
      <w:lang w:eastAsia="en-US"/>
    </w:rPr>
  </w:style>
  <w:style w:type="paragraph" w:styleId="TDC2">
    <w:name w:val="toc 2"/>
    <w:basedOn w:val="Normal"/>
    <w:next w:val="Normal"/>
    <w:autoRedefine/>
    <w:uiPriority w:val="39"/>
    <w:unhideWhenUsed/>
    <w:pPr>
      <w:spacing w:after="100" w:line="300" w:lineRule="auto"/>
      <w:ind w:left="220"/>
    </w:pPr>
    <w:rPr>
      <w:rFonts w:eastAsia="Times New Roman"/>
      <w:sz w:val="21"/>
      <w:szCs w:val="21"/>
    </w:rPr>
  </w:style>
  <w:style w:type="paragraph" w:styleId="TDC3">
    <w:name w:val="toc 3"/>
    <w:basedOn w:val="Normal"/>
    <w:next w:val="Normal"/>
    <w:autoRedefine/>
    <w:uiPriority w:val="39"/>
    <w:unhideWhenUsed/>
    <w:pPr>
      <w:spacing w:after="100" w:line="259" w:lineRule="auto"/>
      <w:ind w:left="440"/>
    </w:pPr>
    <w:rPr>
      <w:rFonts w:eastAsia="Times New Roman"/>
      <w:sz w:val="21"/>
      <w:szCs w:val="21"/>
      <w:lang w:eastAsia="es-ES"/>
    </w:rPr>
  </w:style>
  <w:style w:type="numbering" w:customStyle="1" w:styleId="Estilo14">
    <w:name w:val="Estilo14"/>
    <w:uiPriority w:val="99"/>
    <w:pPr>
      <w:numPr>
        <w:numId w:val="129"/>
      </w:numPr>
    </w:pPr>
  </w:style>
  <w:style w:type="paragraph" w:styleId="Textonotaalfinal">
    <w:name w:val="endnote text"/>
    <w:basedOn w:val="Normal"/>
    <w:link w:val="TextonotaalfinalCar"/>
    <w:uiPriority w:val="99"/>
    <w:semiHidden/>
    <w:unhideWhenUsed/>
    <w:pPr>
      <w:spacing w:after="0" w:line="240" w:lineRule="auto"/>
    </w:pPr>
    <w:rPr>
      <w:rFonts w:eastAsia="Times New Roman"/>
      <w:sz w:val="20"/>
      <w:szCs w:val="20"/>
    </w:rPr>
  </w:style>
  <w:style w:type="character" w:customStyle="1" w:styleId="TextonotaalfinalCar">
    <w:name w:val="Texto nota al final Car"/>
    <w:basedOn w:val="Fuentedeprrafopredeter"/>
    <w:link w:val="Textonotaalfinal"/>
    <w:uiPriority w:val="99"/>
    <w:semiHidden/>
    <w:rPr>
      <w:rFonts w:eastAsia="Times New Roman"/>
      <w:lang w:eastAsia="en-US"/>
    </w:rPr>
  </w:style>
  <w:style w:type="character" w:styleId="Refdenotaalfinal">
    <w:name w:val="endnote reference"/>
    <w:basedOn w:val="Fuentedeprrafopredeter"/>
    <w:uiPriority w:val="99"/>
    <w:semiHidden/>
    <w:unhideWhenUsed/>
    <w:rPr>
      <w:vertAlign w:val="superscript"/>
    </w:rPr>
  </w:style>
  <w:style w:type="table" w:customStyle="1" w:styleId="Tabladecuadrcula6concolores-nfasis41">
    <w:name w:val="Tabla de cuadrícula 6 con colores - Énfasis 41"/>
    <w:basedOn w:val="Tablanormal"/>
    <w:next w:val="Tabladecuadrcula6concolores-nfasis4"/>
    <w:uiPriority w:val="51"/>
    <w:rPr>
      <w:rFonts w:eastAsia="Times New Roman"/>
      <w:color w:val="BF8F00"/>
      <w:sz w:val="21"/>
      <w:szCs w:val="21"/>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adecuadrcula1clara-nfasis41">
    <w:name w:val="Tabla de cuadrícula 1 clara - Énfasis 41"/>
    <w:basedOn w:val="Tablanormal"/>
    <w:next w:val="Tabladecuadrcula1clara-nfasis4"/>
    <w:uiPriority w:val="46"/>
    <w:rPr>
      <w:rFonts w:eastAsia="Times New Roman"/>
      <w:sz w:val="21"/>
      <w:szCs w:val="21"/>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adecuadrcula1clara-nfasis51">
    <w:name w:val="Tabla de cuadrícula 1 clara - Énfasis 51"/>
    <w:basedOn w:val="Tablanormal"/>
    <w:next w:val="Tabladecuadrcula1clara-nfasis5"/>
    <w:uiPriority w:val="46"/>
    <w:rPr>
      <w:rFonts w:eastAsia="Times New Roman"/>
      <w:sz w:val="21"/>
      <w:szCs w:val="21"/>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aclara-nfasis113">
    <w:name w:val="Lista clara - Énfasis 113"/>
    <w:basedOn w:val="Tablanormal"/>
    <w:uiPriority w:val="61"/>
    <w:rPr>
      <w:rFonts w:eastAsia="Times New Roman"/>
      <w:sz w:val="21"/>
      <w:szCs w:val="21"/>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aconcuadrcula114">
    <w:name w:val="Tabla con cuadrícula114"/>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
    <w:name w:val="Tabla con cuadrícula310"/>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2">
    <w:name w:val="Lista clara - Énfasis 1112"/>
    <w:basedOn w:val="Tablanormal"/>
    <w:uiPriority w:val="61"/>
    <w:rPr>
      <w:rFonts w:eastAsia="Times New Roman"/>
      <w:sz w:val="21"/>
      <w:szCs w:val="21"/>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decuadrcula6concolores-nfasis411">
    <w:name w:val="Tabla de cuadrícula 6 con colores - Énfasis 411"/>
    <w:basedOn w:val="Tablanormal"/>
    <w:next w:val="Tabladecuadrcula6concolores-nfasis4"/>
    <w:uiPriority w:val="51"/>
    <w:rPr>
      <w:rFonts w:eastAsia="Times New Roman"/>
      <w:color w:val="5F497A"/>
      <w:sz w:val="21"/>
      <w:szCs w:val="21"/>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53">
    <w:name w:val="Tabla con cuadrícula53"/>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2">
    <w:name w:val="Tabla de cuadrícula 6 con colores - Énfasis 42"/>
    <w:basedOn w:val="Tablanormal"/>
    <w:next w:val="Tabladecuadrcula6concolores-nfasis4"/>
    <w:uiPriority w:val="51"/>
    <w:rPr>
      <w:rFonts w:eastAsia="Times New Roman"/>
      <w:color w:val="5F497A"/>
      <w:sz w:val="21"/>
      <w:szCs w:val="21"/>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73">
    <w:name w:val="Tabla con cuadrícula73"/>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3">
    <w:name w:val="Tabla de cuadrícula 6 con colores - Énfasis 43"/>
    <w:basedOn w:val="Tablanormal"/>
    <w:next w:val="Tabladecuadrcula6concolores-nfasis4"/>
    <w:uiPriority w:val="51"/>
    <w:rPr>
      <w:rFonts w:eastAsia="Times New Roman"/>
      <w:color w:val="5F497A"/>
      <w:sz w:val="21"/>
      <w:szCs w:val="21"/>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84">
    <w:name w:val="Tabla con cuadrícula84"/>
    <w:basedOn w:val="Tablanormal"/>
    <w:next w:val="Tablaconcuadrcula"/>
    <w:uiPriority w:val="59"/>
    <w:rPr>
      <w:rFonts w:eastAsia="Times New Roman"/>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4">
    <w:name w:val="Tabla de cuadrícula 6 con colores - Énfasis 44"/>
    <w:basedOn w:val="Tablanormal"/>
    <w:next w:val="Tabladecuadrcula6concolores-nfasis4"/>
    <w:uiPriority w:val="51"/>
    <w:rPr>
      <w:rFonts w:eastAsia="Times New Roman"/>
      <w:color w:val="5F497A"/>
      <w:sz w:val="21"/>
      <w:szCs w:val="21"/>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decuadrcula6concolores-nfasis45">
    <w:name w:val="Tabla de cuadrícula 6 con colores - Énfasis 45"/>
    <w:basedOn w:val="Tablanormal"/>
    <w:next w:val="Tabladecuadrcula6concolores-nfasis4"/>
    <w:uiPriority w:val="51"/>
    <w:rPr>
      <w:rFonts w:eastAsia="Times New Roman"/>
      <w:color w:val="5F497A"/>
      <w:sz w:val="21"/>
      <w:szCs w:val="21"/>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decuadrcula6concolores-nfasis46">
    <w:name w:val="Tabla de cuadrícula 6 con colores - Énfasis 46"/>
    <w:basedOn w:val="Tablanormal"/>
    <w:next w:val="Tabladecuadrcula6concolores-nfasis4"/>
    <w:uiPriority w:val="51"/>
    <w:rPr>
      <w:rFonts w:eastAsia="Times New Roman"/>
      <w:color w:val="5F497A"/>
      <w:sz w:val="21"/>
      <w:szCs w:val="21"/>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Ttulo4Car">
    <w:name w:val="Título 4 Car"/>
    <w:basedOn w:val="Fuentedeprrafopredeter"/>
    <w:link w:val="Ttulo4"/>
    <w:uiPriority w:val="9"/>
    <w:rPr>
      <w:rFonts w:ascii="Calibri Light" w:eastAsia="Times New Roman" w:hAnsi="Calibri Light" w:cs="Times New Roman"/>
      <w:i/>
      <w:iCs/>
      <w:sz w:val="30"/>
      <w:szCs w:val="30"/>
    </w:rPr>
  </w:style>
  <w:style w:type="character" w:customStyle="1" w:styleId="Ttulo5Car">
    <w:name w:val="Título 5 Car"/>
    <w:basedOn w:val="Fuentedeprrafopredeter"/>
    <w:link w:val="Ttulo5"/>
    <w:uiPriority w:val="9"/>
    <w:rPr>
      <w:rFonts w:ascii="Calibri Light" w:eastAsia="Times New Roman" w:hAnsi="Calibri Light" w:cs="Times New Roman"/>
      <w:sz w:val="28"/>
      <w:szCs w:val="28"/>
    </w:rPr>
  </w:style>
  <w:style w:type="character" w:customStyle="1" w:styleId="Ttulo6Car">
    <w:name w:val="Título 6 Car"/>
    <w:basedOn w:val="Fuentedeprrafopredeter"/>
    <w:link w:val="Ttulo6"/>
    <w:uiPriority w:val="9"/>
    <w:rPr>
      <w:rFonts w:ascii="Calibri Light" w:eastAsia="Times New Roman" w:hAnsi="Calibri Light" w:cs="Times New Roman"/>
      <w:i/>
      <w:iCs/>
      <w:sz w:val="26"/>
      <w:szCs w:val="26"/>
    </w:rPr>
  </w:style>
  <w:style w:type="character" w:customStyle="1" w:styleId="Ttulo8Car">
    <w:name w:val="Título 8 Car"/>
    <w:basedOn w:val="Fuentedeprrafopredeter"/>
    <w:link w:val="Ttulo8"/>
    <w:uiPriority w:val="9"/>
    <w:rPr>
      <w:rFonts w:ascii="Calibri Light" w:eastAsia="Times New Roman" w:hAnsi="Calibri Light" w:cs="Times New Roman"/>
      <w:i/>
      <w:iCs/>
      <w:sz w:val="22"/>
      <w:szCs w:val="22"/>
    </w:rPr>
  </w:style>
  <w:style w:type="paragraph" w:customStyle="1" w:styleId="Ttulo10">
    <w:name w:val="Título1"/>
    <w:basedOn w:val="Normal"/>
    <w:next w:val="Normal"/>
    <w:uiPriority w:val="10"/>
    <w:qFormat/>
    <w:pPr>
      <w:pBdr>
        <w:top w:val="single" w:sz="6" w:space="8" w:color="A5A5A5"/>
        <w:bottom w:val="single" w:sz="6" w:space="8" w:color="A5A5A5"/>
      </w:pBdr>
      <w:spacing w:after="400" w:line="240" w:lineRule="auto"/>
      <w:contextualSpacing/>
      <w:jc w:val="center"/>
    </w:pPr>
    <w:rPr>
      <w:rFonts w:ascii="Calibri Light" w:eastAsia="Times New Roman" w:hAnsi="Calibri Light"/>
      <w:caps/>
      <w:color w:val="44546A"/>
      <w:spacing w:val="30"/>
      <w:sz w:val="72"/>
      <w:szCs w:val="72"/>
    </w:rPr>
  </w:style>
  <w:style w:type="character" w:customStyle="1" w:styleId="TtuloCar">
    <w:name w:val="Título Car"/>
    <w:basedOn w:val="Fuentedeprrafopredeter"/>
    <w:link w:val="Ttulo"/>
    <w:uiPriority w:val="10"/>
    <w:rPr>
      <w:rFonts w:ascii="Calibri Light" w:eastAsia="Times New Roman" w:hAnsi="Calibri Light" w:cs="Times New Roman"/>
      <w:caps/>
      <w:color w:val="44546A"/>
      <w:spacing w:val="30"/>
      <w:sz w:val="72"/>
      <w:szCs w:val="72"/>
    </w:rPr>
  </w:style>
  <w:style w:type="paragraph" w:customStyle="1" w:styleId="Subttulo1">
    <w:name w:val="Subtítulo1"/>
    <w:basedOn w:val="Normal"/>
    <w:next w:val="Normal"/>
    <w:uiPriority w:val="11"/>
    <w:qFormat/>
    <w:pPr>
      <w:numPr>
        <w:ilvl w:val="1"/>
      </w:numPr>
      <w:spacing w:after="160" w:line="300" w:lineRule="auto"/>
      <w:jc w:val="center"/>
    </w:pPr>
    <w:rPr>
      <w:rFonts w:eastAsia="Times New Roman"/>
      <w:color w:val="44546A"/>
      <w:sz w:val="28"/>
      <w:szCs w:val="28"/>
    </w:rPr>
  </w:style>
  <w:style w:type="character" w:customStyle="1" w:styleId="SubttuloCar">
    <w:name w:val="Subtítulo Car"/>
    <w:basedOn w:val="Fuentedeprrafopredeter"/>
    <w:link w:val="Subttulo"/>
    <w:uiPriority w:val="11"/>
    <w:rPr>
      <w:color w:val="44546A"/>
      <w:sz w:val="28"/>
      <w:szCs w:val="28"/>
    </w:rPr>
  </w:style>
  <w:style w:type="paragraph" w:customStyle="1" w:styleId="Cita1">
    <w:name w:val="Cita1"/>
    <w:basedOn w:val="Normal"/>
    <w:next w:val="Normal"/>
    <w:uiPriority w:val="29"/>
    <w:qFormat/>
    <w:pPr>
      <w:spacing w:before="160" w:after="160" w:line="300" w:lineRule="auto"/>
      <w:ind w:left="720" w:right="720"/>
      <w:jc w:val="center"/>
    </w:pPr>
    <w:rPr>
      <w:rFonts w:eastAsia="Times New Roman"/>
      <w:i/>
      <w:iCs/>
      <w:color w:val="7B7B7B"/>
      <w:sz w:val="24"/>
      <w:szCs w:val="24"/>
    </w:rPr>
  </w:style>
  <w:style w:type="character" w:customStyle="1" w:styleId="CitaCar">
    <w:name w:val="Cita Car"/>
    <w:basedOn w:val="Fuentedeprrafopredeter"/>
    <w:link w:val="Cita"/>
    <w:uiPriority w:val="29"/>
    <w:rPr>
      <w:i/>
      <w:iCs/>
      <w:color w:val="7B7B7B"/>
      <w:sz w:val="24"/>
      <w:szCs w:val="24"/>
    </w:rPr>
  </w:style>
  <w:style w:type="character" w:customStyle="1" w:styleId="Referenciasutil1">
    <w:name w:val="Referencia sutil1"/>
    <w:basedOn w:val="Fuentedeprrafopredeter"/>
    <w:uiPriority w:val="31"/>
    <w:qFormat/>
    <w:rPr>
      <w:caps w:val="0"/>
      <w:smallCaps/>
      <w:color w:val="404040"/>
      <w:spacing w:val="0"/>
      <w:u w:val="single" w:color="7F7F7F"/>
    </w:rPr>
  </w:style>
  <w:style w:type="character" w:styleId="Referenciaintensa">
    <w:name w:val="Intense Reference"/>
    <w:basedOn w:val="Fuentedeprrafopredeter"/>
    <w:uiPriority w:val="32"/>
    <w:qFormat/>
    <w:rPr>
      <w:b/>
      <w:bCs/>
      <w:caps w:val="0"/>
      <w:smallCaps/>
      <w:color w:val="auto"/>
      <w:spacing w:val="0"/>
      <w:u w:val="single"/>
    </w:rPr>
  </w:style>
  <w:style w:type="character" w:styleId="Ttulodellibro">
    <w:name w:val="Book Title"/>
    <w:basedOn w:val="Fuentedeprrafopredeter"/>
    <w:uiPriority w:val="33"/>
    <w:qFormat/>
    <w:rPr>
      <w:b/>
      <w:bCs/>
      <w:caps w:val="0"/>
      <w:smallCaps/>
      <w:spacing w:val="0"/>
    </w:rPr>
  </w:style>
  <w:style w:type="table" w:customStyle="1" w:styleId="Tabladecuadrcula6concolores-nfasis47">
    <w:name w:val="Tabla de cuadrícula 6 con colores - Énfasis 47"/>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97">
    <w:name w:val="Tabla con cuadrícula97"/>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8">
    <w:name w:val="Tabla de cuadrícula 6 con colores - Énfasis 48"/>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03">
    <w:name w:val="Tabla con cuadrícula10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9">
    <w:name w:val="Tabla de cuadrícula 6 con colores - Énfasis 49"/>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15">
    <w:name w:val="Tabla con cuadrícula115"/>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10">
    <w:name w:val="Tabla de cuadrícula 6 con colores - Énfasis 410"/>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23">
    <w:name w:val="Tabla con cuadrícula12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111">
    <w:name w:val="Tabla de cuadrícula 6 con colores - Énfasis 4111"/>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33">
    <w:name w:val="Tabla con cuadrícula13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12">
    <w:name w:val="Tabla de cuadrícula 6 con colores - Énfasis 412"/>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43">
    <w:name w:val="Tabla con cuadrícula14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13">
    <w:name w:val="Tabla de cuadrícula 6 con colores - Énfasis 413"/>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53">
    <w:name w:val="Tabla con cuadrícula15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414">
    <w:name w:val="Tabla de cuadrícula 6 con colores - Énfasis 414"/>
    <w:basedOn w:val="Tablanormal"/>
    <w:next w:val="Tabladecuadrcula6concolores-nfasis4"/>
    <w:uiPriority w:val="51"/>
    <w:rPr>
      <w:color w:val="5F497A"/>
      <w:sz w:val="22"/>
      <w:szCs w:val="22"/>
      <w:lang w:eastAsia="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63">
    <w:name w:val="Tabla con cuadrícula163"/>
    <w:basedOn w:val="Tablanormal"/>
    <w:next w:val="Tablaconcuadrcul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Pr>
      <w:rFonts w:eastAsia="Times New Roman"/>
      <w:sz w:val="21"/>
      <w:szCs w:val="21"/>
      <w:lang w:eastAsia="en-US"/>
    </w:rPr>
  </w:style>
  <w:style w:type="table" w:styleId="Tabladecuadrcula2-nfasis4">
    <w:name w:val="Grid Table 2 Accent 4"/>
    <w:basedOn w:val="Tabla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cuadrcula6concolores-nfasis4">
    <w:name w:val="Grid Table 6 Colorful Accent 4"/>
    <w:basedOn w:val="Tabla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cuadrcula1clara-nfasis4">
    <w:name w:val="Grid Table 1 Light Accent 4"/>
    <w:basedOn w:val="Tabla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decuadrcula1clara-nfasis5">
    <w:name w:val="Grid Table 1 Light Accent 5"/>
    <w:basedOn w:val="Tabla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tulo4Car1">
    <w:name w:val="Título 4 Car1"/>
    <w:basedOn w:val="Fuentedeprrafopredeter"/>
    <w:uiPriority w:val="9"/>
    <w:semiHidden/>
    <w:rPr>
      <w:rFonts w:asciiTheme="majorHAnsi" w:eastAsiaTheme="majorEastAsia" w:hAnsiTheme="majorHAnsi" w:cstheme="majorBidi"/>
      <w:i/>
      <w:iCs/>
      <w:color w:val="365F91" w:themeColor="accent1" w:themeShade="BF"/>
      <w:sz w:val="22"/>
      <w:szCs w:val="22"/>
      <w:lang w:eastAsia="en-US"/>
    </w:rPr>
  </w:style>
  <w:style w:type="character" w:customStyle="1" w:styleId="Ttulo5Car1">
    <w:name w:val="Título 5 Car1"/>
    <w:basedOn w:val="Fuentedeprrafopredeter"/>
    <w:uiPriority w:val="9"/>
    <w:semiHidden/>
    <w:rPr>
      <w:rFonts w:asciiTheme="majorHAnsi" w:eastAsiaTheme="majorEastAsia" w:hAnsiTheme="majorHAnsi" w:cstheme="majorBidi"/>
      <w:color w:val="365F91" w:themeColor="accent1" w:themeShade="BF"/>
      <w:sz w:val="22"/>
      <w:szCs w:val="22"/>
      <w:lang w:eastAsia="en-US"/>
    </w:rPr>
  </w:style>
  <w:style w:type="character" w:customStyle="1" w:styleId="Ttulo6Car1">
    <w:name w:val="Título 6 Car1"/>
    <w:basedOn w:val="Fuentedeprrafopredeter"/>
    <w:uiPriority w:val="9"/>
    <w:semiHidden/>
    <w:rPr>
      <w:rFonts w:asciiTheme="majorHAnsi" w:eastAsiaTheme="majorEastAsia" w:hAnsiTheme="majorHAnsi" w:cstheme="majorBidi"/>
      <w:color w:val="243F60" w:themeColor="accent1" w:themeShade="7F"/>
      <w:sz w:val="22"/>
      <w:szCs w:val="22"/>
      <w:lang w:eastAsia="en-US"/>
    </w:rPr>
  </w:style>
  <w:style w:type="character" w:customStyle="1" w:styleId="Ttulo8Car1">
    <w:name w:val="Título 8 Car1"/>
    <w:basedOn w:val="Fuentedeprrafopredeter"/>
    <w:uiPriority w:val="9"/>
    <w:semiHidden/>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next w:val="Normal"/>
    <w:link w:val="TtuloCar"/>
    <w:uiPriority w:val="10"/>
    <w:qFormat/>
    <w:pPr>
      <w:spacing w:after="0" w:line="240" w:lineRule="auto"/>
      <w:contextualSpacing/>
    </w:pPr>
    <w:rPr>
      <w:rFonts w:ascii="Calibri Light" w:eastAsia="Times New Roman" w:hAnsi="Calibri Light"/>
      <w:caps/>
      <w:color w:val="44546A"/>
      <w:spacing w:val="30"/>
      <w:sz w:val="72"/>
      <w:szCs w:val="72"/>
      <w:lang w:eastAsia="es-ES"/>
    </w:rPr>
  </w:style>
  <w:style w:type="character" w:customStyle="1" w:styleId="TtuloCar1">
    <w:name w:val="Título Car1"/>
    <w:basedOn w:val="Fuentedeprrafopredeter"/>
    <w:uiPriority w:val="10"/>
    <w:rPr>
      <w:rFonts w:asciiTheme="majorHAnsi" w:eastAsiaTheme="majorEastAsia" w:hAnsiTheme="majorHAnsi" w:cstheme="majorBidi"/>
      <w:spacing w:val="-10"/>
      <w:kern w:val="28"/>
      <w:sz w:val="56"/>
      <w:szCs w:val="56"/>
      <w:lang w:eastAsia="en-US"/>
    </w:rPr>
  </w:style>
  <w:style w:type="paragraph" w:styleId="Subttulo">
    <w:name w:val="Subtitle"/>
    <w:basedOn w:val="Normal"/>
    <w:next w:val="Normal"/>
    <w:link w:val="SubttuloCar"/>
    <w:uiPriority w:val="11"/>
    <w:qFormat/>
    <w:pPr>
      <w:numPr>
        <w:ilvl w:val="1"/>
      </w:numPr>
      <w:spacing w:after="160"/>
    </w:pPr>
    <w:rPr>
      <w:color w:val="44546A"/>
      <w:sz w:val="28"/>
      <w:szCs w:val="28"/>
      <w:lang w:eastAsia="es-ES"/>
    </w:rPr>
  </w:style>
  <w:style w:type="character" w:customStyle="1" w:styleId="SubttuloCar1">
    <w:name w:val="Subtítulo Car1"/>
    <w:basedOn w:val="Fuentedeprrafopredeter"/>
    <w:uiPriority w:val="11"/>
    <w:rPr>
      <w:rFonts w:asciiTheme="minorHAnsi" w:eastAsiaTheme="minorEastAsia" w:hAnsiTheme="minorHAnsi" w:cstheme="minorBidi"/>
      <w:color w:val="5A5A5A" w:themeColor="text1" w:themeTint="A5"/>
      <w:spacing w:val="15"/>
      <w:sz w:val="22"/>
      <w:szCs w:val="22"/>
      <w:lang w:eastAsia="en-US"/>
    </w:rPr>
  </w:style>
  <w:style w:type="paragraph" w:styleId="Cita">
    <w:name w:val="Quote"/>
    <w:basedOn w:val="Normal"/>
    <w:next w:val="Normal"/>
    <w:link w:val="CitaCar"/>
    <w:uiPriority w:val="29"/>
    <w:qFormat/>
    <w:pPr>
      <w:spacing w:before="200" w:after="160"/>
      <w:ind w:left="864" w:right="864"/>
      <w:jc w:val="center"/>
    </w:pPr>
    <w:rPr>
      <w:i/>
      <w:iCs/>
      <w:color w:val="7B7B7B"/>
      <w:sz w:val="24"/>
      <w:szCs w:val="24"/>
      <w:lang w:eastAsia="es-ES"/>
    </w:rPr>
  </w:style>
  <w:style w:type="character" w:customStyle="1" w:styleId="CitaCar1">
    <w:name w:val="Cita Car1"/>
    <w:basedOn w:val="Fuentedeprrafopredeter"/>
    <w:uiPriority w:val="29"/>
    <w:rPr>
      <w:i/>
      <w:iCs/>
      <w:color w:val="404040" w:themeColor="text1" w:themeTint="BF"/>
      <w:sz w:val="22"/>
      <w:szCs w:val="22"/>
      <w:lang w:eastAsia="en-US"/>
    </w:rPr>
  </w:style>
  <w:style w:type="character" w:styleId="Referenciasutil">
    <w:name w:val="Subtle Reference"/>
    <w:basedOn w:val="Fuentedeprrafopredeter"/>
    <w:uiPriority w:val="31"/>
    <w:qFormat/>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1388">
      <w:bodyDiv w:val="1"/>
      <w:marLeft w:val="0"/>
      <w:marRight w:val="0"/>
      <w:marTop w:val="0"/>
      <w:marBottom w:val="0"/>
      <w:divBdr>
        <w:top w:val="none" w:sz="0" w:space="0" w:color="auto"/>
        <w:left w:val="none" w:sz="0" w:space="0" w:color="auto"/>
        <w:bottom w:val="none" w:sz="0" w:space="0" w:color="auto"/>
        <w:right w:val="none" w:sz="0" w:space="0" w:color="auto"/>
      </w:divBdr>
    </w:div>
    <w:div w:id="86390428">
      <w:bodyDiv w:val="1"/>
      <w:marLeft w:val="0"/>
      <w:marRight w:val="0"/>
      <w:marTop w:val="0"/>
      <w:marBottom w:val="0"/>
      <w:divBdr>
        <w:top w:val="none" w:sz="0" w:space="0" w:color="auto"/>
        <w:left w:val="none" w:sz="0" w:space="0" w:color="auto"/>
        <w:bottom w:val="none" w:sz="0" w:space="0" w:color="auto"/>
        <w:right w:val="none" w:sz="0" w:space="0" w:color="auto"/>
      </w:divBdr>
    </w:div>
    <w:div w:id="112016756">
      <w:bodyDiv w:val="1"/>
      <w:marLeft w:val="0"/>
      <w:marRight w:val="0"/>
      <w:marTop w:val="0"/>
      <w:marBottom w:val="0"/>
      <w:divBdr>
        <w:top w:val="none" w:sz="0" w:space="0" w:color="auto"/>
        <w:left w:val="none" w:sz="0" w:space="0" w:color="auto"/>
        <w:bottom w:val="none" w:sz="0" w:space="0" w:color="auto"/>
        <w:right w:val="none" w:sz="0" w:space="0" w:color="auto"/>
      </w:divBdr>
    </w:div>
    <w:div w:id="205145332">
      <w:bodyDiv w:val="1"/>
      <w:marLeft w:val="0"/>
      <w:marRight w:val="0"/>
      <w:marTop w:val="0"/>
      <w:marBottom w:val="0"/>
      <w:divBdr>
        <w:top w:val="none" w:sz="0" w:space="0" w:color="auto"/>
        <w:left w:val="none" w:sz="0" w:space="0" w:color="auto"/>
        <w:bottom w:val="none" w:sz="0" w:space="0" w:color="auto"/>
        <w:right w:val="none" w:sz="0" w:space="0" w:color="auto"/>
      </w:divBdr>
    </w:div>
    <w:div w:id="321348971">
      <w:bodyDiv w:val="1"/>
      <w:marLeft w:val="0"/>
      <w:marRight w:val="0"/>
      <w:marTop w:val="0"/>
      <w:marBottom w:val="0"/>
      <w:divBdr>
        <w:top w:val="none" w:sz="0" w:space="0" w:color="auto"/>
        <w:left w:val="none" w:sz="0" w:space="0" w:color="auto"/>
        <w:bottom w:val="none" w:sz="0" w:space="0" w:color="auto"/>
        <w:right w:val="none" w:sz="0" w:space="0" w:color="auto"/>
      </w:divBdr>
    </w:div>
    <w:div w:id="322204315">
      <w:bodyDiv w:val="1"/>
      <w:marLeft w:val="0"/>
      <w:marRight w:val="0"/>
      <w:marTop w:val="0"/>
      <w:marBottom w:val="0"/>
      <w:divBdr>
        <w:top w:val="none" w:sz="0" w:space="0" w:color="auto"/>
        <w:left w:val="none" w:sz="0" w:space="0" w:color="auto"/>
        <w:bottom w:val="none" w:sz="0" w:space="0" w:color="auto"/>
        <w:right w:val="none" w:sz="0" w:space="0" w:color="auto"/>
      </w:divBdr>
    </w:div>
    <w:div w:id="460923481">
      <w:bodyDiv w:val="1"/>
      <w:marLeft w:val="0"/>
      <w:marRight w:val="0"/>
      <w:marTop w:val="0"/>
      <w:marBottom w:val="0"/>
      <w:divBdr>
        <w:top w:val="none" w:sz="0" w:space="0" w:color="auto"/>
        <w:left w:val="none" w:sz="0" w:space="0" w:color="auto"/>
        <w:bottom w:val="none" w:sz="0" w:space="0" w:color="auto"/>
        <w:right w:val="none" w:sz="0" w:space="0" w:color="auto"/>
      </w:divBdr>
    </w:div>
    <w:div w:id="486476008">
      <w:bodyDiv w:val="1"/>
      <w:marLeft w:val="0"/>
      <w:marRight w:val="0"/>
      <w:marTop w:val="0"/>
      <w:marBottom w:val="0"/>
      <w:divBdr>
        <w:top w:val="none" w:sz="0" w:space="0" w:color="auto"/>
        <w:left w:val="none" w:sz="0" w:space="0" w:color="auto"/>
        <w:bottom w:val="none" w:sz="0" w:space="0" w:color="auto"/>
        <w:right w:val="none" w:sz="0" w:space="0" w:color="auto"/>
      </w:divBdr>
    </w:div>
    <w:div w:id="491533453">
      <w:bodyDiv w:val="1"/>
      <w:marLeft w:val="0"/>
      <w:marRight w:val="0"/>
      <w:marTop w:val="0"/>
      <w:marBottom w:val="0"/>
      <w:divBdr>
        <w:top w:val="none" w:sz="0" w:space="0" w:color="auto"/>
        <w:left w:val="none" w:sz="0" w:space="0" w:color="auto"/>
        <w:bottom w:val="none" w:sz="0" w:space="0" w:color="auto"/>
        <w:right w:val="none" w:sz="0" w:space="0" w:color="auto"/>
      </w:divBdr>
    </w:div>
    <w:div w:id="650600695">
      <w:bodyDiv w:val="1"/>
      <w:marLeft w:val="0"/>
      <w:marRight w:val="0"/>
      <w:marTop w:val="0"/>
      <w:marBottom w:val="0"/>
      <w:divBdr>
        <w:top w:val="none" w:sz="0" w:space="0" w:color="auto"/>
        <w:left w:val="none" w:sz="0" w:space="0" w:color="auto"/>
        <w:bottom w:val="none" w:sz="0" w:space="0" w:color="auto"/>
        <w:right w:val="none" w:sz="0" w:space="0" w:color="auto"/>
      </w:divBdr>
    </w:div>
    <w:div w:id="665011249">
      <w:bodyDiv w:val="1"/>
      <w:marLeft w:val="0"/>
      <w:marRight w:val="0"/>
      <w:marTop w:val="0"/>
      <w:marBottom w:val="0"/>
      <w:divBdr>
        <w:top w:val="none" w:sz="0" w:space="0" w:color="auto"/>
        <w:left w:val="none" w:sz="0" w:space="0" w:color="auto"/>
        <w:bottom w:val="none" w:sz="0" w:space="0" w:color="auto"/>
        <w:right w:val="none" w:sz="0" w:space="0" w:color="auto"/>
      </w:divBdr>
    </w:div>
    <w:div w:id="715006351">
      <w:bodyDiv w:val="1"/>
      <w:marLeft w:val="0"/>
      <w:marRight w:val="0"/>
      <w:marTop w:val="0"/>
      <w:marBottom w:val="0"/>
      <w:divBdr>
        <w:top w:val="none" w:sz="0" w:space="0" w:color="auto"/>
        <w:left w:val="none" w:sz="0" w:space="0" w:color="auto"/>
        <w:bottom w:val="none" w:sz="0" w:space="0" w:color="auto"/>
        <w:right w:val="none" w:sz="0" w:space="0" w:color="auto"/>
      </w:divBdr>
    </w:div>
    <w:div w:id="756368384">
      <w:bodyDiv w:val="1"/>
      <w:marLeft w:val="0"/>
      <w:marRight w:val="0"/>
      <w:marTop w:val="0"/>
      <w:marBottom w:val="0"/>
      <w:divBdr>
        <w:top w:val="none" w:sz="0" w:space="0" w:color="auto"/>
        <w:left w:val="none" w:sz="0" w:space="0" w:color="auto"/>
        <w:bottom w:val="none" w:sz="0" w:space="0" w:color="auto"/>
        <w:right w:val="none" w:sz="0" w:space="0" w:color="auto"/>
      </w:divBdr>
    </w:div>
    <w:div w:id="765812048">
      <w:bodyDiv w:val="1"/>
      <w:marLeft w:val="0"/>
      <w:marRight w:val="0"/>
      <w:marTop w:val="0"/>
      <w:marBottom w:val="0"/>
      <w:divBdr>
        <w:top w:val="none" w:sz="0" w:space="0" w:color="auto"/>
        <w:left w:val="none" w:sz="0" w:space="0" w:color="auto"/>
        <w:bottom w:val="none" w:sz="0" w:space="0" w:color="auto"/>
        <w:right w:val="none" w:sz="0" w:space="0" w:color="auto"/>
      </w:divBdr>
      <w:divsChild>
        <w:div w:id="2123498274">
          <w:marLeft w:val="547"/>
          <w:marRight w:val="0"/>
          <w:marTop w:val="0"/>
          <w:marBottom w:val="0"/>
          <w:divBdr>
            <w:top w:val="none" w:sz="0" w:space="0" w:color="auto"/>
            <w:left w:val="none" w:sz="0" w:space="0" w:color="auto"/>
            <w:bottom w:val="none" w:sz="0" w:space="0" w:color="auto"/>
            <w:right w:val="none" w:sz="0" w:space="0" w:color="auto"/>
          </w:divBdr>
        </w:div>
      </w:divsChild>
    </w:div>
    <w:div w:id="869487752">
      <w:bodyDiv w:val="1"/>
      <w:marLeft w:val="0"/>
      <w:marRight w:val="0"/>
      <w:marTop w:val="0"/>
      <w:marBottom w:val="0"/>
      <w:divBdr>
        <w:top w:val="none" w:sz="0" w:space="0" w:color="auto"/>
        <w:left w:val="none" w:sz="0" w:space="0" w:color="auto"/>
        <w:bottom w:val="none" w:sz="0" w:space="0" w:color="auto"/>
        <w:right w:val="none" w:sz="0" w:space="0" w:color="auto"/>
      </w:divBdr>
    </w:div>
    <w:div w:id="934630915">
      <w:bodyDiv w:val="1"/>
      <w:marLeft w:val="0"/>
      <w:marRight w:val="0"/>
      <w:marTop w:val="0"/>
      <w:marBottom w:val="0"/>
      <w:divBdr>
        <w:top w:val="none" w:sz="0" w:space="0" w:color="auto"/>
        <w:left w:val="none" w:sz="0" w:space="0" w:color="auto"/>
        <w:bottom w:val="none" w:sz="0" w:space="0" w:color="auto"/>
        <w:right w:val="none" w:sz="0" w:space="0" w:color="auto"/>
      </w:divBdr>
    </w:div>
    <w:div w:id="972171211">
      <w:bodyDiv w:val="1"/>
      <w:marLeft w:val="0"/>
      <w:marRight w:val="0"/>
      <w:marTop w:val="0"/>
      <w:marBottom w:val="0"/>
      <w:divBdr>
        <w:top w:val="none" w:sz="0" w:space="0" w:color="auto"/>
        <w:left w:val="none" w:sz="0" w:space="0" w:color="auto"/>
        <w:bottom w:val="none" w:sz="0" w:space="0" w:color="auto"/>
        <w:right w:val="none" w:sz="0" w:space="0" w:color="auto"/>
      </w:divBdr>
    </w:div>
    <w:div w:id="993145923">
      <w:bodyDiv w:val="1"/>
      <w:marLeft w:val="0"/>
      <w:marRight w:val="0"/>
      <w:marTop w:val="0"/>
      <w:marBottom w:val="0"/>
      <w:divBdr>
        <w:top w:val="none" w:sz="0" w:space="0" w:color="auto"/>
        <w:left w:val="none" w:sz="0" w:space="0" w:color="auto"/>
        <w:bottom w:val="none" w:sz="0" w:space="0" w:color="auto"/>
        <w:right w:val="none" w:sz="0" w:space="0" w:color="auto"/>
      </w:divBdr>
    </w:div>
    <w:div w:id="1088845235">
      <w:bodyDiv w:val="1"/>
      <w:marLeft w:val="0"/>
      <w:marRight w:val="0"/>
      <w:marTop w:val="0"/>
      <w:marBottom w:val="0"/>
      <w:divBdr>
        <w:top w:val="none" w:sz="0" w:space="0" w:color="auto"/>
        <w:left w:val="none" w:sz="0" w:space="0" w:color="auto"/>
        <w:bottom w:val="none" w:sz="0" w:space="0" w:color="auto"/>
        <w:right w:val="none" w:sz="0" w:space="0" w:color="auto"/>
      </w:divBdr>
    </w:div>
    <w:div w:id="1103502318">
      <w:bodyDiv w:val="1"/>
      <w:marLeft w:val="0"/>
      <w:marRight w:val="0"/>
      <w:marTop w:val="0"/>
      <w:marBottom w:val="0"/>
      <w:divBdr>
        <w:top w:val="none" w:sz="0" w:space="0" w:color="auto"/>
        <w:left w:val="none" w:sz="0" w:space="0" w:color="auto"/>
        <w:bottom w:val="none" w:sz="0" w:space="0" w:color="auto"/>
        <w:right w:val="none" w:sz="0" w:space="0" w:color="auto"/>
      </w:divBdr>
    </w:div>
    <w:div w:id="1145507999">
      <w:bodyDiv w:val="1"/>
      <w:marLeft w:val="0"/>
      <w:marRight w:val="0"/>
      <w:marTop w:val="0"/>
      <w:marBottom w:val="0"/>
      <w:divBdr>
        <w:top w:val="none" w:sz="0" w:space="0" w:color="auto"/>
        <w:left w:val="none" w:sz="0" w:space="0" w:color="auto"/>
        <w:bottom w:val="none" w:sz="0" w:space="0" w:color="auto"/>
        <w:right w:val="none" w:sz="0" w:space="0" w:color="auto"/>
      </w:divBdr>
    </w:div>
    <w:div w:id="1253591501">
      <w:bodyDiv w:val="1"/>
      <w:marLeft w:val="0"/>
      <w:marRight w:val="0"/>
      <w:marTop w:val="0"/>
      <w:marBottom w:val="0"/>
      <w:divBdr>
        <w:top w:val="none" w:sz="0" w:space="0" w:color="auto"/>
        <w:left w:val="none" w:sz="0" w:space="0" w:color="auto"/>
        <w:bottom w:val="none" w:sz="0" w:space="0" w:color="auto"/>
        <w:right w:val="none" w:sz="0" w:space="0" w:color="auto"/>
      </w:divBdr>
    </w:div>
    <w:div w:id="1313294719">
      <w:bodyDiv w:val="1"/>
      <w:marLeft w:val="0"/>
      <w:marRight w:val="0"/>
      <w:marTop w:val="0"/>
      <w:marBottom w:val="0"/>
      <w:divBdr>
        <w:top w:val="none" w:sz="0" w:space="0" w:color="auto"/>
        <w:left w:val="none" w:sz="0" w:space="0" w:color="auto"/>
        <w:bottom w:val="none" w:sz="0" w:space="0" w:color="auto"/>
        <w:right w:val="none" w:sz="0" w:space="0" w:color="auto"/>
      </w:divBdr>
    </w:div>
    <w:div w:id="1314874402">
      <w:bodyDiv w:val="1"/>
      <w:marLeft w:val="0"/>
      <w:marRight w:val="0"/>
      <w:marTop w:val="0"/>
      <w:marBottom w:val="0"/>
      <w:divBdr>
        <w:top w:val="none" w:sz="0" w:space="0" w:color="auto"/>
        <w:left w:val="none" w:sz="0" w:space="0" w:color="auto"/>
        <w:bottom w:val="none" w:sz="0" w:space="0" w:color="auto"/>
        <w:right w:val="none" w:sz="0" w:space="0" w:color="auto"/>
      </w:divBdr>
    </w:div>
    <w:div w:id="1325859306">
      <w:bodyDiv w:val="1"/>
      <w:marLeft w:val="0"/>
      <w:marRight w:val="0"/>
      <w:marTop w:val="0"/>
      <w:marBottom w:val="0"/>
      <w:divBdr>
        <w:top w:val="none" w:sz="0" w:space="0" w:color="auto"/>
        <w:left w:val="none" w:sz="0" w:space="0" w:color="auto"/>
        <w:bottom w:val="none" w:sz="0" w:space="0" w:color="auto"/>
        <w:right w:val="none" w:sz="0" w:space="0" w:color="auto"/>
      </w:divBdr>
    </w:div>
    <w:div w:id="1401320982">
      <w:bodyDiv w:val="1"/>
      <w:marLeft w:val="0"/>
      <w:marRight w:val="0"/>
      <w:marTop w:val="0"/>
      <w:marBottom w:val="0"/>
      <w:divBdr>
        <w:top w:val="none" w:sz="0" w:space="0" w:color="auto"/>
        <w:left w:val="none" w:sz="0" w:space="0" w:color="auto"/>
        <w:bottom w:val="none" w:sz="0" w:space="0" w:color="auto"/>
        <w:right w:val="none" w:sz="0" w:space="0" w:color="auto"/>
      </w:divBdr>
    </w:div>
    <w:div w:id="1460101890">
      <w:bodyDiv w:val="1"/>
      <w:marLeft w:val="0"/>
      <w:marRight w:val="0"/>
      <w:marTop w:val="0"/>
      <w:marBottom w:val="0"/>
      <w:divBdr>
        <w:top w:val="none" w:sz="0" w:space="0" w:color="auto"/>
        <w:left w:val="none" w:sz="0" w:space="0" w:color="auto"/>
        <w:bottom w:val="none" w:sz="0" w:space="0" w:color="auto"/>
        <w:right w:val="none" w:sz="0" w:space="0" w:color="auto"/>
      </w:divBdr>
    </w:div>
    <w:div w:id="1505126455">
      <w:bodyDiv w:val="1"/>
      <w:marLeft w:val="0"/>
      <w:marRight w:val="0"/>
      <w:marTop w:val="0"/>
      <w:marBottom w:val="0"/>
      <w:divBdr>
        <w:top w:val="none" w:sz="0" w:space="0" w:color="auto"/>
        <w:left w:val="none" w:sz="0" w:space="0" w:color="auto"/>
        <w:bottom w:val="none" w:sz="0" w:space="0" w:color="auto"/>
        <w:right w:val="none" w:sz="0" w:space="0" w:color="auto"/>
      </w:divBdr>
    </w:div>
    <w:div w:id="1545288296">
      <w:bodyDiv w:val="1"/>
      <w:marLeft w:val="0"/>
      <w:marRight w:val="0"/>
      <w:marTop w:val="0"/>
      <w:marBottom w:val="0"/>
      <w:divBdr>
        <w:top w:val="none" w:sz="0" w:space="0" w:color="auto"/>
        <w:left w:val="none" w:sz="0" w:space="0" w:color="auto"/>
        <w:bottom w:val="none" w:sz="0" w:space="0" w:color="auto"/>
        <w:right w:val="none" w:sz="0" w:space="0" w:color="auto"/>
      </w:divBdr>
    </w:div>
    <w:div w:id="1677801174">
      <w:bodyDiv w:val="1"/>
      <w:marLeft w:val="0"/>
      <w:marRight w:val="0"/>
      <w:marTop w:val="0"/>
      <w:marBottom w:val="0"/>
      <w:divBdr>
        <w:top w:val="none" w:sz="0" w:space="0" w:color="auto"/>
        <w:left w:val="none" w:sz="0" w:space="0" w:color="auto"/>
        <w:bottom w:val="none" w:sz="0" w:space="0" w:color="auto"/>
        <w:right w:val="none" w:sz="0" w:space="0" w:color="auto"/>
      </w:divBdr>
    </w:div>
    <w:div w:id="1705255025">
      <w:bodyDiv w:val="1"/>
      <w:marLeft w:val="0"/>
      <w:marRight w:val="0"/>
      <w:marTop w:val="0"/>
      <w:marBottom w:val="0"/>
      <w:divBdr>
        <w:top w:val="none" w:sz="0" w:space="0" w:color="auto"/>
        <w:left w:val="none" w:sz="0" w:space="0" w:color="auto"/>
        <w:bottom w:val="none" w:sz="0" w:space="0" w:color="auto"/>
        <w:right w:val="none" w:sz="0" w:space="0" w:color="auto"/>
      </w:divBdr>
    </w:div>
    <w:div w:id="1711539809">
      <w:bodyDiv w:val="1"/>
      <w:marLeft w:val="0"/>
      <w:marRight w:val="0"/>
      <w:marTop w:val="0"/>
      <w:marBottom w:val="0"/>
      <w:divBdr>
        <w:top w:val="none" w:sz="0" w:space="0" w:color="auto"/>
        <w:left w:val="none" w:sz="0" w:space="0" w:color="auto"/>
        <w:bottom w:val="none" w:sz="0" w:space="0" w:color="auto"/>
        <w:right w:val="none" w:sz="0" w:space="0" w:color="auto"/>
      </w:divBdr>
    </w:div>
    <w:div w:id="1805660026">
      <w:bodyDiv w:val="1"/>
      <w:marLeft w:val="0"/>
      <w:marRight w:val="0"/>
      <w:marTop w:val="0"/>
      <w:marBottom w:val="0"/>
      <w:divBdr>
        <w:top w:val="none" w:sz="0" w:space="0" w:color="auto"/>
        <w:left w:val="none" w:sz="0" w:space="0" w:color="auto"/>
        <w:bottom w:val="none" w:sz="0" w:space="0" w:color="auto"/>
        <w:right w:val="none" w:sz="0" w:space="0" w:color="auto"/>
      </w:divBdr>
    </w:div>
    <w:div w:id="1834032186">
      <w:bodyDiv w:val="1"/>
      <w:marLeft w:val="0"/>
      <w:marRight w:val="0"/>
      <w:marTop w:val="0"/>
      <w:marBottom w:val="0"/>
      <w:divBdr>
        <w:top w:val="none" w:sz="0" w:space="0" w:color="auto"/>
        <w:left w:val="none" w:sz="0" w:space="0" w:color="auto"/>
        <w:bottom w:val="none" w:sz="0" w:space="0" w:color="auto"/>
        <w:right w:val="none" w:sz="0" w:space="0" w:color="auto"/>
      </w:divBdr>
    </w:div>
    <w:div w:id="1980575766">
      <w:bodyDiv w:val="1"/>
      <w:marLeft w:val="0"/>
      <w:marRight w:val="0"/>
      <w:marTop w:val="0"/>
      <w:marBottom w:val="0"/>
      <w:divBdr>
        <w:top w:val="none" w:sz="0" w:space="0" w:color="auto"/>
        <w:left w:val="none" w:sz="0" w:space="0" w:color="auto"/>
        <w:bottom w:val="none" w:sz="0" w:space="0" w:color="auto"/>
        <w:right w:val="none" w:sz="0" w:space="0" w:color="auto"/>
      </w:divBdr>
    </w:div>
    <w:div w:id="2061635250">
      <w:bodyDiv w:val="1"/>
      <w:marLeft w:val="0"/>
      <w:marRight w:val="0"/>
      <w:marTop w:val="0"/>
      <w:marBottom w:val="0"/>
      <w:divBdr>
        <w:top w:val="none" w:sz="0" w:space="0" w:color="auto"/>
        <w:left w:val="none" w:sz="0" w:space="0" w:color="auto"/>
        <w:bottom w:val="none" w:sz="0" w:space="0" w:color="auto"/>
        <w:right w:val="none" w:sz="0" w:space="0" w:color="auto"/>
      </w:divBdr>
    </w:div>
    <w:div w:id="2087915982">
      <w:bodyDiv w:val="1"/>
      <w:marLeft w:val="0"/>
      <w:marRight w:val="0"/>
      <w:marTop w:val="0"/>
      <w:marBottom w:val="0"/>
      <w:divBdr>
        <w:top w:val="none" w:sz="0" w:space="0" w:color="auto"/>
        <w:left w:val="none" w:sz="0" w:space="0" w:color="auto"/>
        <w:bottom w:val="none" w:sz="0" w:space="0" w:color="auto"/>
        <w:right w:val="none" w:sz="0" w:space="0" w:color="auto"/>
      </w:divBdr>
    </w:div>
    <w:div w:id="209173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microsoft.com/office/2007/relationships/diagramDrawing" Target="diagrams/drawing1.xml"/><Relationship Id="rId42" Type="http://schemas.openxmlformats.org/officeDocument/2006/relationships/diagramColors" Target="diagrams/colors5.xml"/><Relationship Id="rId47" Type="http://schemas.openxmlformats.org/officeDocument/2006/relationships/diagramColors" Target="diagrams/colors6.xml"/><Relationship Id="rId63" Type="http://schemas.microsoft.com/office/2007/relationships/diagramDrawing" Target="diagrams/drawing9.xml"/><Relationship Id="rId68" Type="http://schemas.openxmlformats.org/officeDocument/2006/relationships/image" Target="media/image5.png"/><Relationship Id="rId84" Type="http://schemas.openxmlformats.org/officeDocument/2006/relationships/chart" Target="charts/chart9.xml"/><Relationship Id="rId89" Type="http://schemas.openxmlformats.org/officeDocument/2006/relationships/chart" Target="charts/chart14.xml"/><Relationship Id="rId16" Type="http://schemas.openxmlformats.org/officeDocument/2006/relationships/chart" Target="charts/chart5.xml"/><Relationship Id="rId107" Type="http://schemas.openxmlformats.org/officeDocument/2006/relationships/fontTable" Target="fontTable.xml"/><Relationship Id="rId11" Type="http://schemas.openxmlformats.org/officeDocument/2006/relationships/hyperlink" Target="https://www.facebook.com/share/1Gk32cyaLw/" TargetMode="External"/><Relationship Id="rId32" Type="http://schemas.openxmlformats.org/officeDocument/2006/relationships/diagramColors" Target="diagrams/colors3.xml"/><Relationship Id="rId37" Type="http://schemas.openxmlformats.org/officeDocument/2006/relationships/diagramColors" Target="diagrams/colors4.xml"/><Relationship Id="rId53" Type="http://schemas.microsoft.com/office/2007/relationships/diagramDrawing" Target="diagrams/drawing7.xml"/><Relationship Id="rId58" Type="http://schemas.microsoft.com/office/2007/relationships/diagramDrawing" Target="diagrams/drawing8.xml"/><Relationship Id="rId74" Type="http://schemas.openxmlformats.org/officeDocument/2006/relationships/image" Target="media/image11.png"/><Relationship Id="rId79" Type="http://schemas.openxmlformats.org/officeDocument/2006/relationships/image" Target="media/image16.png"/><Relationship Id="rId102" Type="http://schemas.openxmlformats.org/officeDocument/2006/relationships/image" Target="media/image32.png"/><Relationship Id="rId5" Type="http://schemas.openxmlformats.org/officeDocument/2006/relationships/webSettings" Target="webSettings.xml"/><Relationship Id="rId90" Type="http://schemas.openxmlformats.org/officeDocument/2006/relationships/chart" Target="charts/chart15.xml"/><Relationship Id="rId95" Type="http://schemas.openxmlformats.org/officeDocument/2006/relationships/image" Target="media/image25.png"/><Relationship Id="rId22" Type="http://schemas.openxmlformats.org/officeDocument/2006/relationships/image" Target="media/image3.png"/><Relationship Id="rId27" Type="http://schemas.openxmlformats.org/officeDocument/2006/relationships/diagramColors" Target="diagrams/colors2.xml"/><Relationship Id="rId43" Type="http://schemas.microsoft.com/office/2007/relationships/diagramDrawing" Target="diagrams/drawing5.xml"/><Relationship Id="rId48" Type="http://schemas.microsoft.com/office/2007/relationships/diagramDrawing" Target="diagrams/drawing6.xml"/><Relationship Id="rId64" Type="http://schemas.openxmlformats.org/officeDocument/2006/relationships/chart" Target="charts/chart6.xml"/><Relationship Id="rId69" Type="http://schemas.openxmlformats.org/officeDocument/2006/relationships/image" Target="media/image6.png"/><Relationship Id="rId80" Type="http://schemas.openxmlformats.org/officeDocument/2006/relationships/image" Target="media/image17.png"/><Relationship Id="rId85" Type="http://schemas.openxmlformats.org/officeDocument/2006/relationships/chart" Target="charts/chart10.xml"/><Relationship Id="rId12" Type="http://schemas.openxmlformats.org/officeDocument/2006/relationships/chart" Target="charts/chart1.xml"/><Relationship Id="rId17" Type="http://schemas.openxmlformats.org/officeDocument/2006/relationships/diagramData" Target="diagrams/data1.xml"/><Relationship Id="rId33" Type="http://schemas.microsoft.com/office/2007/relationships/diagramDrawing" Target="diagrams/drawing3.xml"/><Relationship Id="rId38" Type="http://schemas.microsoft.com/office/2007/relationships/diagramDrawing" Target="diagrams/drawing4.xml"/><Relationship Id="rId59" Type="http://schemas.openxmlformats.org/officeDocument/2006/relationships/diagramData" Target="diagrams/data9.xml"/><Relationship Id="rId103" Type="http://schemas.openxmlformats.org/officeDocument/2006/relationships/image" Target="media/image33.png"/><Relationship Id="rId108" Type="http://schemas.openxmlformats.org/officeDocument/2006/relationships/theme" Target="theme/theme1.xml"/><Relationship Id="rId20" Type="http://schemas.openxmlformats.org/officeDocument/2006/relationships/diagramColors" Target="diagrams/colors1.xml"/><Relationship Id="rId41" Type="http://schemas.openxmlformats.org/officeDocument/2006/relationships/diagramQuickStyle" Target="diagrams/quickStyle5.xml"/><Relationship Id="rId54" Type="http://schemas.openxmlformats.org/officeDocument/2006/relationships/diagramData" Target="diagrams/data8.xml"/><Relationship Id="rId62" Type="http://schemas.openxmlformats.org/officeDocument/2006/relationships/diagramColors" Target="diagrams/colors9.xml"/><Relationship Id="rId70" Type="http://schemas.openxmlformats.org/officeDocument/2006/relationships/image" Target="media/image7.png"/><Relationship Id="rId75" Type="http://schemas.openxmlformats.org/officeDocument/2006/relationships/image" Target="media/image12.png"/><Relationship Id="rId83" Type="http://schemas.openxmlformats.org/officeDocument/2006/relationships/image" Target="media/image20.png"/><Relationship Id="rId88" Type="http://schemas.openxmlformats.org/officeDocument/2006/relationships/chart" Target="charts/chart13.xml"/><Relationship Id="rId91" Type="http://schemas.openxmlformats.org/officeDocument/2006/relationships/image" Target="media/image21.png"/><Relationship Id="rId96" Type="http://schemas.openxmlformats.org/officeDocument/2006/relationships/image" Target="media/image2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microsoft.com/office/2007/relationships/hdphoto" Target="media/hdphoto1.wdp"/><Relationship Id="rId28" Type="http://schemas.microsoft.com/office/2007/relationships/diagramDrawing" Target="diagrams/drawing2.xml"/><Relationship Id="rId36" Type="http://schemas.openxmlformats.org/officeDocument/2006/relationships/diagramQuickStyle" Target="diagrams/quickStyle4.xml"/><Relationship Id="rId49" Type="http://schemas.openxmlformats.org/officeDocument/2006/relationships/diagramData" Target="diagrams/data7.xml"/><Relationship Id="rId57" Type="http://schemas.openxmlformats.org/officeDocument/2006/relationships/diagramColors" Target="diagrams/colors8.xml"/><Relationship Id="rId106" Type="http://schemas.openxmlformats.org/officeDocument/2006/relationships/footer" Target="footer1.xml"/><Relationship Id="rId10" Type="http://schemas.openxmlformats.org/officeDocument/2006/relationships/hyperlink" Target="https://oblatascanarias.com/laspalmas/" TargetMode="External"/><Relationship Id="rId31" Type="http://schemas.openxmlformats.org/officeDocument/2006/relationships/diagramQuickStyle" Target="diagrams/quickStyle3.xml"/><Relationship Id="rId44" Type="http://schemas.openxmlformats.org/officeDocument/2006/relationships/diagramData" Target="diagrams/data6.xml"/><Relationship Id="rId52" Type="http://schemas.openxmlformats.org/officeDocument/2006/relationships/diagramColors" Target="diagrams/colors7.xml"/><Relationship Id="rId60" Type="http://schemas.openxmlformats.org/officeDocument/2006/relationships/diagramLayout" Target="diagrams/layout9.xml"/><Relationship Id="rId65" Type="http://schemas.openxmlformats.org/officeDocument/2006/relationships/chart" Target="charts/chart7.xml"/><Relationship Id="rId73" Type="http://schemas.openxmlformats.org/officeDocument/2006/relationships/image" Target="media/image10.png"/><Relationship Id="rId78" Type="http://schemas.openxmlformats.org/officeDocument/2006/relationships/image" Target="media/image15.png"/><Relationship Id="rId81" Type="http://schemas.openxmlformats.org/officeDocument/2006/relationships/image" Target="media/image18.png"/><Relationship Id="rId86" Type="http://schemas.openxmlformats.org/officeDocument/2006/relationships/chart" Target="charts/chart11.xml"/><Relationship Id="rId94" Type="http://schemas.openxmlformats.org/officeDocument/2006/relationships/image" Target="media/image24.png"/><Relationship Id="rId99" Type="http://schemas.openxmlformats.org/officeDocument/2006/relationships/image" Target="media/image29.png"/><Relationship Id="rId101"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yperlink" Target="mailto:programa.daniela@oblatas.com" TargetMode="External"/><Relationship Id="rId13" Type="http://schemas.openxmlformats.org/officeDocument/2006/relationships/chart" Target="charts/chart2.xml"/><Relationship Id="rId18" Type="http://schemas.openxmlformats.org/officeDocument/2006/relationships/diagramLayout" Target="diagrams/layout1.xml"/><Relationship Id="rId39" Type="http://schemas.openxmlformats.org/officeDocument/2006/relationships/diagramData" Target="diagrams/data5.xml"/><Relationship Id="rId34" Type="http://schemas.openxmlformats.org/officeDocument/2006/relationships/diagramData" Target="diagrams/data4.xml"/><Relationship Id="rId50" Type="http://schemas.openxmlformats.org/officeDocument/2006/relationships/diagramLayout" Target="diagrams/layout7.xml"/><Relationship Id="rId55" Type="http://schemas.openxmlformats.org/officeDocument/2006/relationships/diagramLayout" Target="diagrams/layout8.xml"/><Relationship Id="rId76" Type="http://schemas.openxmlformats.org/officeDocument/2006/relationships/image" Target="media/image13.png"/><Relationship Id="rId97" Type="http://schemas.openxmlformats.org/officeDocument/2006/relationships/image" Target="media/image27.emf"/><Relationship Id="rId104" Type="http://schemas.openxmlformats.org/officeDocument/2006/relationships/image" Target="media/image34.png"/><Relationship Id="rId7" Type="http://schemas.openxmlformats.org/officeDocument/2006/relationships/endnotes" Target="endnotes.xml"/><Relationship Id="rId71" Type="http://schemas.openxmlformats.org/officeDocument/2006/relationships/image" Target="media/image8.png"/><Relationship Id="rId92" Type="http://schemas.openxmlformats.org/officeDocument/2006/relationships/image" Target="media/image22.png"/><Relationship Id="rId2" Type="http://schemas.openxmlformats.org/officeDocument/2006/relationships/numbering" Target="numbering.xml"/><Relationship Id="rId29" Type="http://schemas.openxmlformats.org/officeDocument/2006/relationships/diagramData" Target="diagrams/data3.xml"/><Relationship Id="rId24" Type="http://schemas.openxmlformats.org/officeDocument/2006/relationships/diagramData" Target="diagrams/data2.xml"/><Relationship Id="rId40" Type="http://schemas.openxmlformats.org/officeDocument/2006/relationships/diagramLayout" Target="diagrams/layout5.xml"/><Relationship Id="rId45" Type="http://schemas.openxmlformats.org/officeDocument/2006/relationships/diagramLayout" Target="diagrams/layout6.xml"/><Relationship Id="rId66" Type="http://schemas.openxmlformats.org/officeDocument/2006/relationships/image" Target="media/image4.png"/><Relationship Id="rId87" Type="http://schemas.openxmlformats.org/officeDocument/2006/relationships/chart" Target="charts/chart12.xml"/><Relationship Id="rId61" Type="http://schemas.openxmlformats.org/officeDocument/2006/relationships/diagramQuickStyle" Target="diagrams/quickStyle9.xml"/><Relationship Id="rId82" Type="http://schemas.openxmlformats.org/officeDocument/2006/relationships/image" Target="media/image19.png"/><Relationship Id="rId19" Type="http://schemas.openxmlformats.org/officeDocument/2006/relationships/diagramQuickStyle" Target="diagrams/quickStyle1.xml"/><Relationship Id="rId14" Type="http://schemas.openxmlformats.org/officeDocument/2006/relationships/chart" Target="charts/chart3.xml"/><Relationship Id="rId30" Type="http://schemas.openxmlformats.org/officeDocument/2006/relationships/diagramLayout" Target="diagrams/layout3.xml"/><Relationship Id="rId35" Type="http://schemas.openxmlformats.org/officeDocument/2006/relationships/diagramLayout" Target="diagrams/layout4.xml"/><Relationship Id="rId56" Type="http://schemas.openxmlformats.org/officeDocument/2006/relationships/diagramQuickStyle" Target="diagrams/quickStyle8.xml"/><Relationship Id="rId77" Type="http://schemas.openxmlformats.org/officeDocument/2006/relationships/image" Target="media/image14.png"/><Relationship Id="rId100" Type="http://schemas.openxmlformats.org/officeDocument/2006/relationships/image" Target="media/image30.emf"/><Relationship Id="rId105"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diagramQuickStyle" Target="diagrams/quickStyle7.xml"/><Relationship Id="rId72" Type="http://schemas.openxmlformats.org/officeDocument/2006/relationships/image" Target="media/image9.png"/><Relationship Id="rId93" Type="http://schemas.openxmlformats.org/officeDocument/2006/relationships/image" Target="media/image23.png"/><Relationship Id="rId98" Type="http://schemas.openxmlformats.org/officeDocument/2006/relationships/image" Target="media/image28.emf"/><Relationship Id="rId3" Type="http://schemas.openxmlformats.org/officeDocument/2006/relationships/styles" Target="styles.xml"/><Relationship Id="rId25" Type="http://schemas.openxmlformats.org/officeDocument/2006/relationships/diagramLayout" Target="diagrams/layout2.xml"/><Relationship Id="rId46" Type="http://schemas.openxmlformats.org/officeDocument/2006/relationships/diagramQuickStyle" Target="diagrams/quickStyle6.xml"/><Relationship Id="rId67" Type="http://schemas.openxmlformats.org/officeDocument/2006/relationships/chart" Target="charts/chart8.xml"/></Relationships>
</file>

<file path=word/_rels/header1.xml.rels><?xml version="1.0" encoding="UTF-8" standalone="yes"?>
<Relationships xmlns="http://schemas.openxmlformats.org/package/2006/relationships"><Relationship Id="rId1" Type="http://schemas.openxmlformats.org/officeDocument/2006/relationships/image" Target="media/image3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Mis%20Documentos\Usuario2826\Downloads\grafica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Mis%20Documentos\Usuario2826\Downloads\grafica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Mis%20Documentos\Usuario2826\Downloads\grafica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Mis%20Documentos\Usuario2826\Downloads\grafica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Mis%20Documentos\Usuario2826\Downloads\grafica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Hoja_de_c_lculo_de_Microsoft_Excel.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Hoja_de_c_lculo_de_Microsoft_Excel1.xlsx"/></Relationships>
</file>

<file path=word/charts/_rels/chart8.xml.rels><?xml version="1.0" encoding="UTF-8" standalone="yes"?>
<Relationships xmlns="http://schemas.openxmlformats.org/package/2006/relationships"><Relationship Id="rId3" Type="http://schemas.openxmlformats.org/officeDocument/2006/relationships/package" Target="../embeddings/Hoja_de_c_lculo_de_Microsoft_Excel2.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Hoja_de_c_lculo_de_Microsoft_Excel3.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Hoja_de_c_lculo_de_Microsoft_Excel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s-ES" sz="1400" b="1" i="0" u="none" strike="noStrike" cap="none" baseline="0">
                <a:effectLst/>
              </a:rPr>
              <a:t>PRINCIPAL PROBLEMÁTICA DETECTADA</a:t>
            </a:r>
            <a:endParaRPr lang="en-US"/>
          </a:p>
        </c:rich>
      </c:tx>
      <c:layout>
        <c:manualLayout>
          <c:xMode val="edge"/>
          <c:yMode val="edge"/>
          <c:x val="0.15420844269466316"/>
          <c:y val="2.3148148148148147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s-ES"/>
        </a:p>
      </c:txPr>
    </c:title>
    <c:autoTitleDeleted val="0"/>
    <c:plotArea>
      <c:layout/>
      <c:barChart>
        <c:barDir val="col"/>
        <c:grouping val="clustered"/>
        <c:varyColors val="0"/>
        <c:ser>
          <c:idx val="0"/>
          <c:order val="0"/>
          <c:tx>
            <c:strRef>
              <c:f>Hoja1!$B$1</c:f>
              <c:strCache>
                <c:ptCount val="1"/>
                <c:pt idx="0">
                  <c:v>Número de casos</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Hoja1!$A$2:$A$6</c:f>
              <c:strCache>
                <c:ptCount val="5"/>
                <c:pt idx="0">
                  <c:v>Víctima de trata  con fines de explotación sexual</c:v>
                </c:pt>
                <c:pt idx="1">
                  <c:v>Indicadores de trata</c:v>
                </c:pt>
                <c:pt idx="2">
                  <c:v>Prostitución</c:v>
                </c:pt>
                <c:pt idx="3">
                  <c:v>Víctima de trata con fines de explotación laboral</c:v>
                </c:pt>
                <c:pt idx="4">
                  <c:v>Exclusión social</c:v>
                </c:pt>
              </c:strCache>
            </c:strRef>
          </c:cat>
          <c:val>
            <c:numRef>
              <c:f>Hoja1!$B$2:$B$6</c:f>
              <c:numCache>
                <c:formatCode>General</c:formatCode>
                <c:ptCount val="5"/>
                <c:pt idx="0">
                  <c:v>7</c:v>
                </c:pt>
                <c:pt idx="1">
                  <c:v>2</c:v>
                </c:pt>
                <c:pt idx="2">
                  <c:v>4</c:v>
                </c:pt>
                <c:pt idx="3">
                  <c:v>1</c:v>
                </c:pt>
                <c:pt idx="4">
                  <c:v>1</c:v>
                </c:pt>
              </c:numCache>
            </c:numRef>
          </c:val>
          <c:extLst>
            <c:ext xmlns:c16="http://schemas.microsoft.com/office/drawing/2014/chart" uri="{C3380CC4-5D6E-409C-BE32-E72D297353CC}">
              <c16:uniqueId val="{00000000-9946-4177-84B1-43B8DC398C93}"/>
            </c:ext>
          </c:extLst>
        </c:ser>
        <c:dLbls>
          <c:dLblPos val="inEnd"/>
          <c:showLegendKey val="0"/>
          <c:showVal val="1"/>
          <c:showCatName val="0"/>
          <c:showSerName val="0"/>
          <c:showPercent val="0"/>
          <c:showBubbleSize val="0"/>
        </c:dLbls>
        <c:gapWidth val="100"/>
        <c:overlap val="-24"/>
        <c:axId val="280677040"/>
        <c:axId val="280689936"/>
      </c:barChart>
      <c:catAx>
        <c:axId val="28067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280689936"/>
        <c:crosses val="autoZero"/>
        <c:auto val="1"/>
        <c:lblAlgn val="ctr"/>
        <c:lblOffset val="100"/>
        <c:noMultiLvlLbl val="0"/>
      </c:catAx>
      <c:valAx>
        <c:axId val="28068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280677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s-ES" sz="1800" b="1">
                <a:effectLst/>
              </a:rPr>
              <a:t>PAÍS DE PROCEDENCIA DE LAS MUJERES ATENDIDAS:</a:t>
            </a:r>
            <a:endParaRPr lang="es-ES">
              <a:effectLst/>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stacked"/>
        <c:varyColors val="0"/>
        <c:ser>
          <c:idx val="0"/>
          <c:order val="0"/>
          <c:spPr>
            <a:solidFill>
              <a:schemeClr val="accent1"/>
            </a:solidFill>
            <a:ln>
              <a:noFill/>
            </a:ln>
            <a:effectLst/>
            <a:scene3d>
              <a:camera prst="orthographicFront"/>
              <a:lightRig rig="brightRoom" dir="t"/>
            </a:scene3d>
            <a:sp3d prstMaterial="flat">
              <a:bevelT w="50800" h="101600" prst="angle"/>
              <a:contourClr>
                <a:srgbClr val="000000"/>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Hoja3!$A$1:$A$10</c:f>
              <c:strCache>
                <c:ptCount val="10"/>
                <c:pt idx="0">
                  <c:v>Colombia</c:v>
                </c:pt>
                <c:pt idx="1">
                  <c:v>Venezuela </c:v>
                </c:pt>
                <c:pt idx="2">
                  <c:v>España</c:v>
                </c:pt>
                <c:pt idx="3">
                  <c:v>Honduras</c:v>
                </c:pt>
                <c:pt idx="4">
                  <c:v>Alemania</c:v>
                </c:pt>
                <c:pt idx="5">
                  <c:v>Nigeria</c:v>
                </c:pt>
                <c:pt idx="6">
                  <c:v>Paraguay</c:v>
                </c:pt>
                <c:pt idx="7">
                  <c:v>Gambia</c:v>
                </c:pt>
                <c:pt idx="8">
                  <c:v>Perú</c:v>
                </c:pt>
                <c:pt idx="9">
                  <c:v>Marruecos</c:v>
                </c:pt>
              </c:strCache>
            </c:strRef>
          </c:cat>
          <c:val>
            <c:numRef>
              <c:f>Hoja3!$B$1:$B$10</c:f>
              <c:numCache>
                <c:formatCode>General</c:formatCode>
                <c:ptCount val="10"/>
                <c:pt idx="0">
                  <c:v>5</c:v>
                </c:pt>
                <c:pt idx="1">
                  <c:v>2</c:v>
                </c:pt>
                <c:pt idx="2">
                  <c:v>1</c:v>
                </c:pt>
                <c:pt idx="3">
                  <c:v>1</c:v>
                </c:pt>
                <c:pt idx="4">
                  <c:v>1</c:v>
                </c:pt>
                <c:pt idx="5">
                  <c:v>1</c:v>
                </c:pt>
                <c:pt idx="6">
                  <c:v>1</c:v>
                </c:pt>
                <c:pt idx="7">
                  <c:v>1</c:v>
                </c:pt>
                <c:pt idx="8">
                  <c:v>1</c:v>
                </c:pt>
                <c:pt idx="9">
                  <c:v>1</c:v>
                </c:pt>
              </c:numCache>
            </c:numRef>
          </c:val>
          <c:extLst>
            <c:ext xmlns:c16="http://schemas.microsoft.com/office/drawing/2014/chart" uri="{C3380CC4-5D6E-409C-BE32-E72D297353CC}">
              <c16:uniqueId val="{00000000-5ADC-4C77-827F-5567D36195A1}"/>
            </c:ext>
          </c:extLst>
        </c:ser>
        <c:dLbls>
          <c:showLegendKey val="0"/>
          <c:showVal val="0"/>
          <c:showCatName val="0"/>
          <c:showSerName val="0"/>
          <c:showPercent val="0"/>
          <c:showBubbleSize val="0"/>
        </c:dLbls>
        <c:gapWidth val="150"/>
        <c:overlap val="100"/>
        <c:axId val="253907440"/>
        <c:axId val="253908688"/>
      </c:barChart>
      <c:catAx>
        <c:axId val="2539074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53908688"/>
        <c:crosses val="autoZero"/>
        <c:auto val="1"/>
        <c:lblAlgn val="ctr"/>
        <c:lblOffset val="100"/>
        <c:noMultiLvlLbl val="0"/>
      </c:catAx>
      <c:valAx>
        <c:axId val="25390868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253907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Edad de las mujeres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stacked"/>
        <c:varyColors val="0"/>
        <c:ser>
          <c:idx val="0"/>
          <c:order val="0"/>
          <c:tx>
            <c:strRef>
              <c:f>Hoja5!$B$1</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Hoja5!$A$2:$A$5</c:f>
              <c:strCache>
                <c:ptCount val="4"/>
                <c:pt idx="0">
                  <c:v>18–25 años</c:v>
                </c:pt>
                <c:pt idx="1">
                  <c:v>26–35 años</c:v>
                </c:pt>
                <c:pt idx="2">
                  <c:v>36–45 años </c:v>
                </c:pt>
                <c:pt idx="3">
                  <c:v>46 o más años</c:v>
                </c:pt>
              </c:strCache>
            </c:strRef>
          </c:cat>
          <c:val>
            <c:numRef>
              <c:f>Hoja5!$B$2:$B$5</c:f>
              <c:numCache>
                <c:formatCode>General</c:formatCode>
                <c:ptCount val="4"/>
                <c:pt idx="0">
                  <c:v>7</c:v>
                </c:pt>
                <c:pt idx="1">
                  <c:v>6</c:v>
                </c:pt>
                <c:pt idx="2">
                  <c:v>1</c:v>
                </c:pt>
                <c:pt idx="3">
                  <c:v>1</c:v>
                </c:pt>
              </c:numCache>
            </c:numRef>
          </c:val>
          <c:extLst>
            <c:ext xmlns:c16="http://schemas.microsoft.com/office/drawing/2014/chart" uri="{C3380CC4-5D6E-409C-BE32-E72D297353CC}">
              <c16:uniqueId val="{00000000-7936-475B-A3D6-507AA458A7C6}"/>
            </c:ext>
          </c:extLst>
        </c:ser>
        <c:dLbls>
          <c:dLblPos val="ctr"/>
          <c:showLegendKey val="0"/>
          <c:showVal val="0"/>
          <c:showCatName val="0"/>
          <c:showSerName val="0"/>
          <c:showPercent val="1"/>
          <c:showBubbleSize val="0"/>
        </c:dLbls>
        <c:gapWidth val="150"/>
        <c:overlap val="100"/>
        <c:axId val="486859376"/>
        <c:axId val="486861040"/>
      </c:barChart>
      <c:catAx>
        <c:axId val="48685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6861040"/>
        <c:crosses val="autoZero"/>
        <c:auto val="1"/>
        <c:lblAlgn val="ctr"/>
        <c:lblOffset val="100"/>
        <c:noMultiLvlLbl val="0"/>
      </c:catAx>
      <c:valAx>
        <c:axId val="486861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6859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Estudios realizados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ES"/>
        </a:p>
      </c:txPr>
    </c:title>
    <c:autoTitleDeleted val="0"/>
    <c:plotArea>
      <c:layout/>
      <c:barChart>
        <c:barDir val="col"/>
        <c:grouping val="clustered"/>
        <c:varyColors val="0"/>
        <c:ser>
          <c:idx val="0"/>
          <c:order val="0"/>
          <c:tx>
            <c:strRef>
              <c:f>Hoja7!$B$1</c:f>
              <c:strCache>
                <c:ptCount val="1"/>
                <c:pt idx="0">
                  <c:v>Cantidad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Hoja7!$A$2:$A$6</c:f>
              <c:strCache>
                <c:ptCount val="5"/>
                <c:pt idx="0">
                  <c:v>Primarios</c:v>
                </c:pt>
                <c:pt idx="1">
                  <c:v>Formación Profesional</c:v>
                </c:pt>
                <c:pt idx="2">
                  <c:v>Bachillerato no homologado en España</c:v>
                </c:pt>
                <c:pt idx="3">
                  <c:v>Universitarios</c:v>
                </c:pt>
                <c:pt idx="4">
                  <c:v>NS/NC</c:v>
                </c:pt>
              </c:strCache>
            </c:strRef>
          </c:cat>
          <c:val>
            <c:numRef>
              <c:f>Hoja7!$B$2:$B$6</c:f>
              <c:numCache>
                <c:formatCode>General</c:formatCode>
                <c:ptCount val="5"/>
                <c:pt idx="0">
                  <c:v>1</c:v>
                </c:pt>
                <c:pt idx="1">
                  <c:v>1</c:v>
                </c:pt>
                <c:pt idx="2">
                  <c:v>9</c:v>
                </c:pt>
                <c:pt idx="3">
                  <c:v>1</c:v>
                </c:pt>
                <c:pt idx="4">
                  <c:v>3</c:v>
                </c:pt>
              </c:numCache>
            </c:numRef>
          </c:val>
          <c:extLst>
            <c:ext xmlns:c16="http://schemas.microsoft.com/office/drawing/2014/chart" uri="{C3380CC4-5D6E-409C-BE32-E72D297353CC}">
              <c16:uniqueId val="{00000000-441A-4C85-BE3C-2B14179F46FB}"/>
            </c:ext>
          </c:extLst>
        </c:ser>
        <c:dLbls>
          <c:dLblPos val="inEnd"/>
          <c:showLegendKey val="0"/>
          <c:showVal val="1"/>
          <c:showCatName val="0"/>
          <c:showSerName val="0"/>
          <c:showPercent val="0"/>
          <c:showBubbleSize val="0"/>
        </c:dLbls>
        <c:gapWidth val="100"/>
        <c:overlap val="-24"/>
        <c:axId val="281137520"/>
        <c:axId val="281148336"/>
      </c:barChart>
      <c:catAx>
        <c:axId val="2811375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ES"/>
          </a:p>
        </c:txPr>
        <c:crossAx val="281148336"/>
        <c:crosses val="autoZero"/>
        <c:auto val="1"/>
        <c:lblAlgn val="ctr"/>
        <c:lblOffset val="100"/>
        <c:noMultiLvlLbl val="0"/>
      </c:catAx>
      <c:valAx>
        <c:axId val="28114833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ES"/>
          </a:p>
        </c:txPr>
        <c:crossAx val="281137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E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Cantidad de hijos por mujer</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s-ES"/>
        </a:p>
      </c:txPr>
    </c:title>
    <c:autoTitleDeleted val="0"/>
    <c:plotArea>
      <c:layout/>
      <c:barChart>
        <c:barDir val="bar"/>
        <c:grouping val="clustered"/>
        <c:varyColors val="0"/>
        <c:ser>
          <c:idx val="0"/>
          <c:order val="0"/>
          <c:tx>
            <c:strRef>
              <c:f>Hoja8!$B$1</c:f>
              <c:strCache>
                <c:ptCount val="1"/>
                <c:pt idx="0">
                  <c:v>Cantidad de mujeres</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Hoja8!$A$2:$A$5</c:f>
              <c:strCache>
                <c:ptCount val="4"/>
                <c:pt idx="0">
                  <c:v>0 hijos</c:v>
                </c:pt>
                <c:pt idx="1">
                  <c:v>1 hijo</c:v>
                </c:pt>
                <c:pt idx="2">
                  <c:v>2 hijos</c:v>
                </c:pt>
                <c:pt idx="3">
                  <c:v>3 hijos</c:v>
                </c:pt>
              </c:strCache>
            </c:strRef>
          </c:cat>
          <c:val>
            <c:numRef>
              <c:f>Hoja8!$B$2:$B$5</c:f>
              <c:numCache>
                <c:formatCode>General</c:formatCode>
                <c:ptCount val="4"/>
                <c:pt idx="0">
                  <c:v>3</c:v>
                </c:pt>
                <c:pt idx="1">
                  <c:v>8</c:v>
                </c:pt>
                <c:pt idx="2">
                  <c:v>1</c:v>
                </c:pt>
                <c:pt idx="3">
                  <c:v>3</c:v>
                </c:pt>
              </c:numCache>
            </c:numRef>
          </c:val>
          <c:extLst>
            <c:ext xmlns:c16="http://schemas.microsoft.com/office/drawing/2014/chart" uri="{C3380CC4-5D6E-409C-BE32-E72D297353CC}">
              <c16:uniqueId val="{00000000-C564-457D-A1EE-81261AF1C15C}"/>
            </c:ext>
          </c:extLst>
        </c:ser>
        <c:dLbls>
          <c:dLblPos val="inEnd"/>
          <c:showLegendKey val="0"/>
          <c:showVal val="1"/>
          <c:showCatName val="0"/>
          <c:showSerName val="0"/>
          <c:showPercent val="0"/>
          <c:showBubbleSize val="0"/>
        </c:dLbls>
        <c:gapWidth val="100"/>
        <c:axId val="284698768"/>
        <c:axId val="284700432"/>
      </c:barChart>
      <c:catAx>
        <c:axId val="284698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284700432"/>
        <c:crosses val="autoZero"/>
        <c:auto val="1"/>
        <c:lblAlgn val="ctr"/>
        <c:lblOffset val="100"/>
        <c:noMultiLvlLbl val="0"/>
      </c:catAx>
      <c:valAx>
        <c:axId val="2847004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284698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cap="none" spc="0" baseline="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r>
              <a:rPr lang="en-US" b="0"/>
              <a:t>Hojas de valoración: Media aritmética anual- 2025 </a:t>
            </a:r>
          </a:p>
        </c:rich>
      </c:tx>
      <c:overlay val="0"/>
      <c:spPr>
        <a:noFill/>
        <a:ln>
          <a:noFill/>
        </a:ln>
        <a:effectLst/>
      </c:spPr>
      <c:txPr>
        <a:bodyPr rot="0" spcFirstLastPara="1" vertOverflow="ellipsis" vert="horz" wrap="square" anchor="ctr" anchorCtr="1"/>
        <a:lstStyle/>
        <a:p>
          <a:pPr>
            <a:defRPr sz="1600" b="0" i="0" u="none" strike="noStrike" kern="1200" cap="none" spc="0" baseline="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endParaRPr lang="es-ES"/>
        </a:p>
      </c:txPr>
    </c:title>
    <c:autoTitleDeleted val="0"/>
    <c:plotArea>
      <c:layout/>
      <c:barChart>
        <c:barDir val="bar"/>
        <c:grouping val="clustered"/>
        <c:varyColors val="0"/>
        <c:ser>
          <c:idx val="0"/>
          <c:order val="0"/>
          <c:tx>
            <c:strRef>
              <c:f>Hoja1!$B$1</c:f>
              <c:strCache>
                <c:ptCount val="1"/>
                <c:pt idx="0">
                  <c:v>Media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1500" b="1" i="0" u="none" strike="noStrike" kern="1200" cap="none" spc="0" baseline="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Hoja1!$A$2:$A$12</c:f>
              <c:strCache>
                <c:ptCount val="11"/>
                <c:pt idx="0">
                  <c:v>CONVIVENCIA</c:v>
                </c:pt>
                <c:pt idx="1">
                  <c:v>RELAC. SOCIALES EXTERNAS</c:v>
                </c:pt>
                <c:pt idx="2">
                  <c:v>CUIDADO PERSONAL</c:v>
                </c:pt>
                <c:pt idx="3">
                  <c:v>HIGIENE</c:v>
                </c:pt>
                <c:pt idx="4">
                  <c:v>TAREAS</c:v>
                </c:pt>
                <c:pt idx="5">
                  <c:v>CUIDADO SALUD</c:v>
                </c:pt>
                <c:pt idx="6">
                  <c:v>OCIO</c:v>
                </c:pt>
                <c:pt idx="7">
                  <c:v>ALIMENTACIÓN</c:v>
                </c:pt>
                <c:pt idx="8">
                  <c:v>ESTADO EMOCIONAL</c:v>
                </c:pt>
                <c:pt idx="9">
                  <c:v>MOTIVACION ACADEMICA LABORAL</c:v>
                </c:pt>
                <c:pt idx="10">
                  <c:v>DIMENSION ECONOMICA</c:v>
                </c:pt>
              </c:strCache>
            </c:strRef>
          </c:cat>
          <c:val>
            <c:numRef>
              <c:f>Hoja1!$B$2:$B$12</c:f>
              <c:numCache>
                <c:formatCode>0.00</c:formatCode>
                <c:ptCount val="11"/>
                <c:pt idx="0">
                  <c:v>4.1500000000000004</c:v>
                </c:pt>
                <c:pt idx="1">
                  <c:v>3.88</c:v>
                </c:pt>
                <c:pt idx="2">
                  <c:v>4.66</c:v>
                </c:pt>
                <c:pt idx="3">
                  <c:v>4.74</c:v>
                </c:pt>
                <c:pt idx="4">
                  <c:v>4.21</c:v>
                </c:pt>
                <c:pt idx="5">
                  <c:v>4.3600000000000003</c:v>
                </c:pt>
                <c:pt idx="6">
                  <c:v>4.1399999999999997</c:v>
                </c:pt>
                <c:pt idx="7">
                  <c:v>4.3600000000000003</c:v>
                </c:pt>
                <c:pt idx="8">
                  <c:v>3.86</c:v>
                </c:pt>
                <c:pt idx="9">
                  <c:v>4.4000000000000004</c:v>
                </c:pt>
                <c:pt idx="10">
                  <c:v>4.01</c:v>
                </c:pt>
              </c:numCache>
            </c:numRef>
          </c:val>
          <c:extLst>
            <c:ext xmlns:c16="http://schemas.microsoft.com/office/drawing/2014/chart" uri="{C3380CC4-5D6E-409C-BE32-E72D297353CC}">
              <c16:uniqueId val="{00000000-4E11-4EAB-BCEA-4EA2D76341E3}"/>
            </c:ext>
          </c:extLst>
        </c:ser>
        <c:dLbls>
          <c:dLblPos val="inEnd"/>
          <c:showLegendKey val="0"/>
          <c:showVal val="1"/>
          <c:showCatName val="0"/>
          <c:showSerName val="0"/>
          <c:showPercent val="0"/>
          <c:showBubbleSize val="0"/>
        </c:dLbls>
        <c:gapWidth val="115"/>
        <c:overlap val="-20"/>
        <c:axId val="617274064"/>
        <c:axId val="617274896"/>
      </c:barChart>
      <c:catAx>
        <c:axId val="617274064"/>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100" b="0" i="0" u="none" strike="noStrike" kern="1200" cap="none" spc="0" baseline="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endParaRPr lang="es-ES"/>
          </a:p>
        </c:txPr>
        <c:crossAx val="617274896"/>
        <c:crosses val="autoZero"/>
        <c:auto val="1"/>
        <c:lblAlgn val="ctr"/>
        <c:lblOffset val="100"/>
        <c:noMultiLvlLbl val="0"/>
      </c:catAx>
      <c:valAx>
        <c:axId val="617274896"/>
        <c:scaling>
          <c:orientation val="minMax"/>
        </c:scaling>
        <c:delete val="0"/>
        <c:axPos val="b"/>
        <c:majorGridlines>
          <c:spPr>
            <a:ln w="9525" cap="flat" cmpd="sng" algn="ctr">
              <a:solidFill>
                <a:schemeClr val="accent1">
                  <a:alpha val="8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cap="none" spc="0" baseline="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endParaRPr lang="es-ES"/>
          </a:p>
        </c:txPr>
        <c:crossAx val="61727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endParaRPr lang="es-ES"/>
        </a:p>
      </c:txPr>
    </c:legend>
    <c:plotVisOnly val="1"/>
    <c:dispBlanksAs val="gap"/>
    <c:showDLblsOverMax val="0"/>
  </c:chart>
  <c:spPr>
    <a:solidFill>
      <a:schemeClr val="accent4">
        <a:lumMod val="20000"/>
        <a:lumOff val="80000"/>
      </a:schemeClr>
    </a:solidFill>
    <a:ln w="6350" cap="flat" cmpd="sng" algn="ctr">
      <a:solidFill>
        <a:schemeClr val="accent4"/>
      </a:solidFill>
      <a:prstDash val="solid"/>
      <a:miter lim="800000"/>
    </a:ln>
    <a:effectLst/>
  </c:spPr>
  <c:txPr>
    <a:bodyPr/>
    <a:lstStyle/>
    <a:p>
      <a:pPr>
        <a:defRPr b="1" cap="none" spc="0">
          <a:ln w="9525">
            <a:solidFill>
              <a:sysClr val="windowText" lastClr="000000"/>
            </a:solidFill>
            <a:prstDash val="solid"/>
          </a:ln>
          <a:solidFill>
            <a:schemeClr val="tx1"/>
          </a:solidFill>
          <a:effectLst>
            <a:outerShdw blurRad="12700" dist="38100" dir="2700000" algn="tl" rotWithShape="0">
              <a:schemeClr val="bg1">
                <a:lumMod val="50000"/>
              </a:schemeClr>
            </a:outerShdw>
          </a:effectLst>
          <a:latin typeface="+mn-lt"/>
          <a:ea typeface="+mn-ea"/>
          <a:cs typeface="+mn-cs"/>
        </a:defRPr>
      </a:pPr>
      <a:endParaRPr lang="es-E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Relación materno-filial. Dimensiones educativas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S"/>
        </a:p>
      </c:txPr>
    </c:title>
    <c:autoTitleDeleted val="0"/>
    <c:plotArea>
      <c:layout/>
      <c:barChart>
        <c:barDir val="bar"/>
        <c:grouping val="clustered"/>
        <c:varyColors val="0"/>
        <c:ser>
          <c:idx val="0"/>
          <c:order val="0"/>
          <c:tx>
            <c:strRef>
              <c:f>Hoja1!$B$1</c:f>
              <c:strCache>
                <c:ptCount val="1"/>
                <c:pt idx="0">
                  <c:v>media</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500" b="1" i="0" u="none" strike="noStrike" kern="1200" baseline="0">
                    <a:solidFill>
                      <a:schemeClr val="lt1"/>
                    </a:solidFill>
                    <a:latin typeface="+mn-lt"/>
                    <a:ea typeface="+mn-ea"/>
                    <a:cs typeface="+mn-cs"/>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Hoja1!$A$2:$A$10</c:f>
              <c:strCache>
                <c:ptCount val="9"/>
                <c:pt idx="0">
                  <c:v>HIGIENE</c:v>
                </c:pt>
                <c:pt idx="1">
                  <c:v>CUIDADO PERSONAL</c:v>
                </c:pt>
                <c:pt idx="2">
                  <c:v>CUIDADO DE LA SALUD</c:v>
                </c:pt>
                <c:pt idx="3">
                  <c:v>TIEMPO DE OCIO</c:v>
                </c:pt>
                <c:pt idx="4">
                  <c:v>HÁBITOS ALIMENTICIOS</c:v>
                </c:pt>
                <c:pt idx="5">
                  <c:v>ESTABLECIMIENTO DE LÍMITES</c:v>
                </c:pt>
                <c:pt idx="6">
                  <c:v>MUESTRAS DE AFECTO</c:v>
                </c:pt>
                <c:pt idx="7">
                  <c:v>CUMPLIMIENTO HORARIOS DEL MENOR</c:v>
                </c:pt>
                <c:pt idx="8">
                  <c:v>IMPLICACIÓN EN PROCESO ESCOLAR DEL MENOR</c:v>
                </c:pt>
              </c:strCache>
            </c:strRef>
          </c:cat>
          <c:val>
            <c:numRef>
              <c:f>Hoja1!$B$2:$B$10</c:f>
              <c:numCache>
                <c:formatCode>0.00</c:formatCode>
                <c:ptCount val="9"/>
                <c:pt idx="0">
                  <c:v>3.75</c:v>
                </c:pt>
                <c:pt idx="1">
                  <c:v>3.71</c:v>
                </c:pt>
                <c:pt idx="2">
                  <c:v>4.17</c:v>
                </c:pt>
                <c:pt idx="3">
                  <c:v>2.92</c:v>
                </c:pt>
                <c:pt idx="4">
                  <c:v>3.27</c:v>
                </c:pt>
                <c:pt idx="5">
                  <c:v>3.29</c:v>
                </c:pt>
                <c:pt idx="6">
                  <c:v>3.87</c:v>
                </c:pt>
                <c:pt idx="7">
                  <c:v>3.75</c:v>
                </c:pt>
                <c:pt idx="8">
                  <c:v>3.88</c:v>
                </c:pt>
              </c:numCache>
            </c:numRef>
          </c:val>
          <c:extLst>
            <c:ext xmlns:c16="http://schemas.microsoft.com/office/drawing/2014/chart" uri="{C3380CC4-5D6E-409C-BE32-E72D297353CC}">
              <c16:uniqueId val="{00000000-134A-404A-885A-E874923AB95A}"/>
            </c:ext>
          </c:extLst>
        </c:ser>
        <c:dLbls>
          <c:dLblPos val="inEnd"/>
          <c:showLegendKey val="0"/>
          <c:showVal val="1"/>
          <c:showCatName val="0"/>
          <c:showSerName val="0"/>
          <c:showPercent val="0"/>
          <c:showBubbleSize val="0"/>
        </c:dLbls>
        <c:gapWidth val="65"/>
        <c:axId val="352689648"/>
        <c:axId val="352691312"/>
      </c:barChart>
      <c:catAx>
        <c:axId val="3526896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es-ES"/>
          </a:p>
        </c:txPr>
        <c:crossAx val="352691312"/>
        <c:crosses val="autoZero"/>
        <c:auto val="1"/>
        <c:lblAlgn val="ctr"/>
        <c:lblOffset val="100"/>
        <c:noMultiLvlLbl val="0"/>
      </c:catAx>
      <c:valAx>
        <c:axId val="35269131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crossAx val="35268964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MUJERES ASESORADAS JURÍDICAMENTE 2025</c:v>
                </c:pt>
              </c:strCache>
            </c:strRef>
          </c:tx>
          <c:spPr>
            <a:solidFill>
              <a:schemeClr val="accent1"/>
            </a:solidFill>
            <a:ln>
              <a:noFill/>
            </a:ln>
            <a:effectLst/>
          </c:spPr>
          <c:invertIfNegative val="0"/>
          <c:cat>
            <c:strRef>
              <c:f>Hoja1!$A$2:$A$5</c:f>
              <c:strCache>
                <c:ptCount val="4"/>
                <c:pt idx="0">
                  <c:v>MUJERES IDENTIFICADAS VTSH FINES EXPLOTACIÓN SEXUAL</c:v>
                </c:pt>
                <c:pt idx="1">
                  <c:v>MUJERES CON INDICADORES VTSH</c:v>
                </c:pt>
                <c:pt idx="2">
                  <c:v>MUJERES VT EXLOTACIÓN LABORAL</c:v>
                </c:pt>
                <c:pt idx="3">
                  <c:v>OTRAS FORMAS VIOLENCIA GÉNERO</c:v>
                </c:pt>
              </c:strCache>
            </c:strRef>
          </c:cat>
          <c:val>
            <c:numRef>
              <c:f>Hoja1!$B$2:$B$5</c:f>
              <c:numCache>
                <c:formatCode>General</c:formatCode>
                <c:ptCount val="4"/>
                <c:pt idx="0">
                  <c:v>7</c:v>
                </c:pt>
                <c:pt idx="1">
                  <c:v>2</c:v>
                </c:pt>
                <c:pt idx="2">
                  <c:v>1</c:v>
                </c:pt>
                <c:pt idx="3">
                  <c:v>5</c:v>
                </c:pt>
              </c:numCache>
            </c:numRef>
          </c:val>
          <c:extLst>
            <c:ext xmlns:c16="http://schemas.microsoft.com/office/drawing/2014/chart" uri="{C3380CC4-5D6E-409C-BE32-E72D297353CC}">
              <c16:uniqueId val="{00000000-9320-433F-A0B6-C5CB524FDCAF}"/>
            </c:ext>
          </c:extLst>
        </c:ser>
        <c:dLbls>
          <c:showLegendKey val="0"/>
          <c:showVal val="0"/>
          <c:showCatName val="0"/>
          <c:showSerName val="0"/>
          <c:showPercent val="0"/>
          <c:showBubbleSize val="0"/>
        </c:dLbls>
        <c:gapWidth val="219"/>
        <c:overlap val="-27"/>
        <c:axId val="495974560"/>
        <c:axId val="495976640"/>
      </c:barChart>
      <c:catAx>
        <c:axId val="49597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ES"/>
          </a:p>
        </c:txPr>
        <c:crossAx val="495976640"/>
        <c:crosses val="autoZero"/>
        <c:auto val="1"/>
        <c:lblAlgn val="ctr"/>
        <c:lblOffset val="100"/>
        <c:noMultiLvlLbl val="0"/>
      </c:catAx>
      <c:valAx>
        <c:axId val="495976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959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lang="es-ES" sz="1400" b="1" i="0" u="none" strike="noStrike" kern="1200" spc="0" baseline="0">
                <a:solidFill>
                  <a:srgbClr val="000000"/>
                </a:solidFill>
                <a:latin typeface="Calibri"/>
              </a:defRPr>
            </a:pPr>
            <a:r>
              <a:rPr lang="es-ES" sz="1400" b="1" i="0" u="none" strike="noStrike" kern="1200" cap="none" spc="0" baseline="0">
                <a:solidFill>
                  <a:srgbClr val="000000"/>
                </a:solidFill>
                <a:uFillTx/>
                <a:latin typeface="Calibri"/>
              </a:rPr>
              <a:t>MUNICIPIOS / FORMACIÓN</a:t>
            </a:r>
          </a:p>
        </c:rich>
      </c:tx>
      <c:overlay val="0"/>
      <c:spPr>
        <a:noFill/>
        <a:ln>
          <a:noFill/>
        </a:ln>
      </c:spPr>
    </c:title>
    <c:autoTitleDeleted val="0"/>
    <c:plotArea>
      <c:layout/>
      <c:barChart>
        <c:barDir val="col"/>
        <c:grouping val="clustered"/>
        <c:varyColors val="0"/>
        <c:ser>
          <c:idx val="0"/>
          <c:order val="0"/>
          <c:tx>
            <c:v>MUNICIPIOS</c:v>
          </c:tx>
          <c:spPr>
            <a:solidFill>
              <a:srgbClr val="FFC000"/>
            </a:solidFill>
            <a:ln>
              <a:noFill/>
            </a:ln>
          </c:spPr>
          <c:invertIfNegative val="0"/>
          <c:dPt>
            <c:idx val="0"/>
            <c:invertIfNegative val="0"/>
            <c:bubble3D val="0"/>
            <c:extLst>
              <c:ext xmlns:c16="http://schemas.microsoft.com/office/drawing/2014/chart" uri="{C3380CC4-5D6E-409C-BE32-E72D297353CC}">
                <c16:uniqueId val="{00000000-14EC-4FA6-B05C-66435213CACA}"/>
              </c:ext>
            </c:extLst>
          </c:dPt>
          <c:dPt>
            <c:idx val="1"/>
            <c:invertIfNegative val="0"/>
            <c:bubble3D val="0"/>
            <c:extLst>
              <c:ext xmlns:c16="http://schemas.microsoft.com/office/drawing/2014/chart" uri="{C3380CC4-5D6E-409C-BE32-E72D297353CC}">
                <c16:uniqueId val="{00000001-14EC-4FA6-B05C-66435213CACA}"/>
              </c:ext>
            </c:extLst>
          </c:dPt>
          <c:dPt>
            <c:idx val="2"/>
            <c:invertIfNegative val="0"/>
            <c:bubble3D val="0"/>
            <c:extLst>
              <c:ext xmlns:c16="http://schemas.microsoft.com/office/drawing/2014/chart" uri="{C3380CC4-5D6E-409C-BE32-E72D297353CC}">
                <c16:uniqueId val="{00000002-14EC-4FA6-B05C-66435213CACA}"/>
              </c:ext>
            </c:extLst>
          </c:dPt>
          <c:dPt>
            <c:idx val="3"/>
            <c:invertIfNegative val="0"/>
            <c:bubble3D val="0"/>
            <c:extLst>
              <c:ext xmlns:c16="http://schemas.microsoft.com/office/drawing/2014/chart" uri="{C3380CC4-5D6E-409C-BE32-E72D297353CC}">
                <c16:uniqueId val="{00000003-14EC-4FA6-B05C-66435213CACA}"/>
              </c:ext>
            </c:extLst>
          </c:dPt>
          <c:dPt>
            <c:idx val="4"/>
            <c:invertIfNegative val="0"/>
            <c:bubble3D val="0"/>
            <c:extLst>
              <c:ext xmlns:c16="http://schemas.microsoft.com/office/drawing/2014/chart" uri="{C3380CC4-5D6E-409C-BE32-E72D297353CC}">
                <c16:uniqueId val="{00000004-14EC-4FA6-B05C-66435213CACA}"/>
              </c:ext>
            </c:extLst>
          </c:dPt>
          <c:dLbls>
            <c:dLbl>
              <c:idx val="0"/>
              <c:tx>
                <c:rich>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000000"/>
                        </a:solidFill>
                        <a:latin typeface="Calibri"/>
                      </a:defRPr>
                    </a:pPr>
                    <a:r>
                      <a:rPr lang="en-US" sz="900" b="1" i="0" u="none" strike="noStrike" kern="1200" cap="none" spc="0" baseline="0">
                        <a:solidFill>
                          <a:srgbClr val="000000"/>
                        </a:solidFill>
                        <a:uFillTx/>
                        <a:latin typeface="Calibri"/>
                      </a:rPr>
                      <a:t>58,33%</a:t>
                    </a:r>
                  </a:p>
                </c:rich>
              </c:tx>
              <c:spPr>
                <a:noFill/>
                <a:ln>
                  <a:noFill/>
                </a:ln>
                <a:effectLst/>
              </c:spPr>
              <c:showLegendKey val="0"/>
              <c:showVal val="1"/>
              <c:showCatName val="0"/>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14EC-4FA6-B05C-66435213CACA}"/>
                </c:ext>
              </c:extLst>
            </c:dLbl>
            <c:dLbl>
              <c:idx val="1"/>
              <c:layout>
                <c:manualLayout>
                  <c:x val="-1.8502591788782607E-2"/>
                  <c:y val="4.2824595810282085E-2"/>
                </c:manualLayout>
              </c:layout>
              <c:tx>
                <c:rich>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000000"/>
                        </a:solidFill>
                        <a:latin typeface="Calibri"/>
                      </a:defRPr>
                    </a:pPr>
                    <a:r>
                      <a:rPr lang="en-US" sz="900" b="1" i="0" u="none" strike="noStrike" kern="1200" cap="none" spc="0" baseline="0">
                        <a:solidFill>
                          <a:srgbClr val="000000"/>
                        </a:solidFill>
                        <a:uFillTx/>
                        <a:latin typeface="Calibri"/>
                      </a:rPr>
                      <a:t>8,33%</a:t>
                    </a:r>
                  </a:p>
                </c:rich>
              </c:tx>
              <c:spPr>
                <a:noFill/>
                <a:ln>
                  <a:noFill/>
                </a:ln>
                <a:effectLst/>
              </c:spPr>
              <c:showLegendKey val="0"/>
              <c:showVal val="1"/>
              <c:showCatName val="0"/>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14EC-4FA6-B05C-66435213CACA}"/>
                </c:ext>
              </c:extLst>
            </c:dLbl>
            <c:dLbl>
              <c:idx val="2"/>
              <c:layout>
                <c:manualLayout>
                  <c:x val="-1.7703531648521176E-2"/>
                  <c:y val="0.10411751505039557"/>
                </c:manualLayout>
              </c:layout>
              <c:tx>
                <c:rich>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000000"/>
                        </a:solidFill>
                        <a:latin typeface="Calibri"/>
                      </a:defRPr>
                    </a:pPr>
                    <a:r>
                      <a:rPr lang="en-US" sz="900" b="1" i="0" u="none" strike="noStrike" kern="1200" cap="none" spc="0" baseline="0">
                        <a:solidFill>
                          <a:srgbClr val="000000"/>
                        </a:solidFill>
                        <a:uFillTx/>
                        <a:latin typeface="Calibri"/>
                      </a:rPr>
                      <a:t>16,77%</a:t>
                    </a:r>
                  </a:p>
                </c:rich>
              </c:tx>
              <c:spPr>
                <a:noFill/>
                <a:ln>
                  <a:noFill/>
                </a:ln>
                <a:effectLst/>
              </c:spPr>
              <c:showLegendKey val="0"/>
              <c:showVal val="1"/>
              <c:showCatName val="0"/>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14EC-4FA6-B05C-66435213CACA}"/>
                </c:ext>
              </c:extLst>
            </c:dLbl>
            <c:dLbl>
              <c:idx val="3"/>
              <c:layout>
                <c:manualLayout>
                  <c:x val="-1.707598694240664E-2"/>
                  <c:y val="4.2824595810282085E-2"/>
                </c:manualLayout>
              </c:layout>
              <c:tx>
                <c:rich>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000000"/>
                        </a:solidFill>
                        <a:latin typeface="Calibri"/>
                      </a:defRPr>
                    </a:pPr>
                    <a:r>
                      <a:rPr lang="en-US" sz="900" b="1" i="0" u="none" strike="noStrike" kern="1200" cap="none" spc="0" baseline="0">
                        <a:solidFill>
                          <a:srgbClr val="000000"/>
                        </a:solidFill>
                        <a:uFillTx/>
                        <a:latin typeface="Calibri"/>
                      </a:rPr>
                      <a:t>8,33%</a:t>
                    </a:r>
                  </a:p>
                </c:rich>
              </c:tx>
              <c:spPr>
                <a:noFill/>
                <a:ln>
                  <a:noFill/>
                </a:ln>
                <a:effectLst/>
              </c:spPr>
              <c:showLegendKey val="0"/>
              <c:showVal val="1"/>
              <c:showCatName val="0"/>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14EC-4FA6-B05C-66435213CACA}"/>
                </c:ext>
              </c:extLst>
            </c:dLbl>
            <c:dLbl>
              <c:idx val="4"/>
              <c:layout>
                <c:manualLayout>
                  <c:x val="-1.2803571108281231E-2"/>
                  <c:y val="4.2824595810282085E-2"/>
                </c:manualLayout>
              </c:layout>
              <c:tx>
                <c:rich>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000000"/>
                        </a:solidFill>
                        <a:latin typeface="Calibri"/>
                      </a:defRPr>
                    </a:pPr>
                    <a:r>
                      <a:rPr lang="en-US" sz="900" b="1" i="0" u="none" strike="noStrike" kern="1200" cap="none" spc="0" baseline="0">
                        <a:solidFill>
                          <a:srgbClr val="000000"/>
                        </a:solidFill>
                        <a:uFillTx/>
                        <a:latin typeface="Calibri"/>
                      </a:rPr>
                      <a:t>8,33%</a:t>
                    </a:r>
                  </a:p>
                </c:rich>
              </c:tx>
              <c:spPr>
                <a:noFill/>
                <a:ln>
                  <a:noFill/>
                </a:ln>
                <a:effectLst/>
              </c:spPr>
              <c:showLegendKey val="0"/>
              <c:showVal val="1"/>
              <c:showCatName val="0"/>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14EC-4FA6-B05C-66435213CACA}"/>
                </c:ext>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404040"/>
                    </a:solidFill>
                    <a:latin typeface="Calibri"/>
                  </a:defRPr>
                </a:pPr>
                <a:endParaRPr lang="es-E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ext>
            </c:extLst>
          </c:dLbls>
          <c:cat>
            <c:strLit>
              <c:ptCount val="5"/>
              <c:pt idx="0">
                <c:v>LPGC</c:v>
              </c:pt>
              <c:pt idx="1">
                <c:v>SANTA LUCÍA</c:v>
              </c:pt>
              <c:pt idx="2">
                <c:v>FUERTEVENTURA  PUERTO DEL ROSARIO</c:v>
              </c:pt>
              <c:pt idx="3">
                <c:v>TELDE</c:v>
              </c:pt>
              <c:pt idx="4">
                <c:v>ONLINE CANARIAS</c:v>
              </c:pt>
            </c:strLit>
          </c:cat>
          <c:val>
            <c:numLit>
              <c:formatCode>General</c:formatCode>
              <c:ptCount val="5"/>
              <c:pt idx="0">
                <c:v>7</c:v>
              </c:pt>
              <c:pt idx="1">
                <c:v>1</c:v>
              </c:pt>
              <c:pt idx="2">
                <c:v>2</c:v>
              </c:pt>
              <c:pt idx="3">
                <c:v>1</c:v>
              </c:pt>
              <c:pt idx="4">
                <c:v>1</c:v>
              </c:pt>
            </c:numLit>
          </c:val>
          <c:extLst>
            <c:ext xmlns:c16="http://schemas.microsoft.com/office/drawing/2014/chart" uri="{C3380CC4-5D6E-409C-BE32-E72D297353CC}">
              <c16:uniqueId val="{00000005-14EC-4FA6-B05C-66435213CACA}"/>
            </c:ext>
          </c:extLst>
        </c:ser>
        <c:dLbls>
          <c:showLegendKey val="0"/>
          <c:showVal val="0"/>
          <c:showCatName val="0"/>
          <c:showSerName val="0"/>
          <c:showPercent val="0"/>
          <c:showBubbleSize val="0"/>
        </c:dLbls>
        <c:gapWidth val="219"/>
        <c:overlap val="-27"/>
        <c:axId val="707531424"/>
        <c:axId val="707551392"/>
      </c:barChart>
      <c:valAx>
        <c:axId val="707551392"/>
        <c:scaling>
          <c:orientation val="minMax"/>
        </c:scaling>
        <c:delete val="1"/>
        <c:axPos val="l"/>
        <c:majorGridlines>
          <c:spPr>
            <a:ln w="9528" cap="flat">
              <a:solidFill>
                <a:srgbClr val="D9D9D9"/>
              </a:solidFill>
              <a:prstDash val="solid"/>
              <a:round/>
            </a:ln>
          </c:spPr>
        </c:majorGridlines>
        <c:numFmt formatCode="General" sourceLinked="0"/>
        <c:majorTickMark val="none"/>
        <c:minorTickMark val="none"/>
        <c:tickLblPos val="nextTo"/>
        <c:crossAx val="707531424"/>
        <c:crosses val="autoZero"/>
        <c:crossBetween val="between"/>
      </c:valAx>
      <c:catAx>
        <c:axId val="707531424"/>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900" b="0" i="0" u="none" strike="noStrike" kern="1200" baseline="0">
                <a:solidFill>
                  <a:srgbClr val="000000"/>
                </a:solidFill>
                <a:latin typeface="Calibri"/>
              </a:defRPr>
            </a:pPr>
            <a:endParaRPr lang="es-ES"/>
          </a:p>
        </c:txPr>
        <c:crossAx val="707551392"/>
        <c:crosses val="autoZero"/>
        <c:auto val="1"/>
        <c:lblAlgn val="ctr"/>
        <c:lblOffset val="100"/>
        <c:noMultiLvlLbl val="0"/>
      </c:catAx>
      <c:spPr>
        <a:noFill/>
        <a:ln>
          <a:noFill/>
        </a:ln>
      </c:spPr>
    </c:plotArea>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1000" b="1" i="0" u="none" strike="noStrike" kern="1200" baseline="0">
          <a:solidFill>
            <a:srgbClr val="000000"/>
          </a:solidFill>
          <a:latin typeface="Calibri"/>
        </a:defRPr>
      </a:pPr>
      <a:endParaRPr lang="es-E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lang="es-ES" sz="1440" b="1" i="0" u="none" strike="noStrike" kern="1200" baseline="0">
                <a:solidFill>
                  <a:srgbClr val="000000"/>
                </a:solidFill>
                <a:latin typeface="Calibri"/>
              </a:defRPr>
            </a:pPr>
            <a:r>
              <a:rPr lang="es-ES" sz="1440" b="1" i="0" u="none" strike="noStrike" kern="1200" cap="none" spc="0" baseline="0">
                <a:solidFill>
                  <a:srgbClr val="000000"/>
                </a:solidFill>
                <a:uFillTx/>
                <a:latin typeface="Calibri"/>
              </a:rPr>
              <a:t>GÉNERO Y PARTICIPACIÓN</a:t>
            </a:r>
          </a:p>
        </c:rich>
      </c:tx>
      <c:layout>
        <c:manualLayout>
          <c:xMode val="edge"/>
          <c:yMode val="edge"/>
          <c:x val="1.1596546674621214E-3"/>
          <c:y val="3.7189787101718066E-2"/>
        </c:manualLayout>
      </c:layout>
      <c:overlay val="0"/>
      <c:spPr>
        <a:noFill/>
        <a:ln>
          <a:noFill/>
        </a:ln>
      </c:spPr>
    </c:title>
    <c:autoTitleDeleted val="0"/>
    <c:plotArea>
      <c:layout/>
      <c:pieChart>
        <c:varyColors val="1"/>
        <c:ser>
          <c:idx val="0"/>
          <c:order val="0"/>
          <c:tx>
            <c:v>Ventas</c:v>
          </c:tx>
          <c:dPt>
            <c:idx val="0"/>
            <c:bubble3D val="0"/>
            <c:spPr>
              <a:solidFill>
                <a:srgbClr val="D39E00"/>
              </a:solidFill>
              <a:ln>
                <a:noFill/>
              </a:ln>
            </c:spPr>
            <c:extLst>
              <c:ext xmlns:c16="http://schemas.microsoft.com/office/drawing/2014/chart" uri="{C3380CC4-5D6E-409C-BE32-E72D297353CC}">
                <c16:uniqueId val="{00000001-B045-4F51-9F97-EA9DB0B1C9F2}"/>
              </c:ext>
            </c:extLst>
          </c:dPt>
          <c:dPt>
            <c:idx val="1"/>
            <c:bubble3D val="0"/>
            <c:spPr>
              <a:solidFill>
                <a:srgbClr val="FFC000"/>
              </a:solidFill>
              <a:ln>
                <a:noFill/>
              </a:ln>
            </c:spPr>
            <c:extLst>
              <c:ext xmlns:c16="http://schemas.microsoft.com/office/drawing/2014/chart" uri="{C3380CC4-5D6E-409C-BE32-E72D297353CC}">
                <c16:uniqueId val="{00000003-B045-4F51-9F97-EA9DB0B1C9F2}"/>
              </c:ext>
            </c:extLst>
          </c:dPt>
          <c:dPt>
            <c:idx val="2"/>
            <c:bubble3D val="0"/>
            <c:spPr>
              <a:solidFill>
                <a:srgbClr val="FFD9A0"/>
              </a:solidFill>
              <a:ln>
                <a:noFill/>
              </a:ln>
            </c:spPr>
            <c:extLst>
              <c:ext xmlns:c16="http://schemas.microsoft.com/office/drawing/2014/chart" uri="{C3380CC4-5D6E-409C-BE32-E72D297353CC}">
                <c16:uniqueId val="{00000005-B045-4F51-9F97-EA9DB0B1C9F2}"/>
              </c:ext>
            </c:extLst>
          </c:dPt>
          <c:dLbls>
            <c:dLbl>
              <c:idx val="0"/>
              <c:tx>
                <c:rich>
                  <a:bodyPr/>
                  <a:lstStyle/>
                  <a:p>
                    <a:r>
                      <a:rPr lang="en-US" sz="1200" b="0" i="0" u="none" strike="noStrike" kern="1200" cap="none" spc="0" baseline="0">
                        <a:solidFill>
                          <a:srgbClr val="000000"/>
                        </a:solidFill>
                        <a:uFillTx/>
                        <a:latin typeface="Calibri"/>
                      </a:rPr>
                      <a:t>1 </a:t>
                    </a:r>
                    <a:br>
                      <a:rPr lang="en-US" sz="1200" b="0" i="0" u="none" strike="noStrike" kern="1200" cap="none" spc="0" baseline="0">
                        <a:solidFill>
                          <a:srgbClr val="000000"/>
                        </a:solidFill>
                        <a:uFillTx/>
                        <a:latin typeface="Calibri"/>
                      </a:rPr>
                    </a:br>
                    <a:r>
                      <a:rPr lang="en-US" sz="1200" b="0" i="0" u="none" strike="noStrike" kern="1200" cap="none" spc="0" baseline="0">
                        <a:solidFill>
                          <a:srgbClr val="000000"/>
                        </a:solidFill>
                        <a:uFillTx/>
                        <a:latin typeface="Calibri"/>
                      </a:rPr>
                      <a:t>19,05%</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045-4F51-9F97-EA9DB0B1C9F2}"/>
                </c:ext>
              </c:extLst>
            </c:dLbl>
            <c:dLbl>
              <c:idx val="1"/>
              <c:tx>
                <c:rich>
                  <a:bodyPr/>
                  <a:lstStyle/>
                  <a:p>
                    <a:r>
                      <a:rPr lang="en-US" sz="1200" b="0" i="0" u="none" strike="noStrike" kern="1200" cap="none" spc="0" baseline="0">
                        <a:solidFill>
                          <a:srgbClr val="000000"/>
                        </a:solidFill>
                        <a:uFillTx/>
                        <a:latin typeface="Calibri"/>
                      </a:rPr>
                      <a:t>2 </a:t>
                    </a:r>
                    <a:br>
                      <a:rPr lang="en-US" sz="1200" b="0" i="0" u="none" strike="noStrike" kern="1200" cap="none" spc="0" baseline="0">
                        <a:solidFill>
                          <a:srgbClr val="000000"/>
                        </a:solidFill>
                        <a:uFillTx/>
                        <a:latin typeface="Calibri"/>
                      </a:rPr>
                    </a:br>
                    <a:r>
                      <a:rPr lang="en-US" sz="1200" b="0" i="0" u="none" strike="noStrike" kern="1200" cap="none" spc="0" baseline="0">
                        <a:solidFill>
                          <a:srgbClr val="000000"/>
                        </a:solidFill>
                        <a:uFillTx/>
                        <a:latin typeface="Calibri"/>
                      </a:rPr>
                      <a:t>80,95%</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045-4F51-9F97-EA9DB0B1C9F2}"/>
                </c:ext>
              </c:extLst>
            </c:dLbl>
            <c:dLbl>
              <c:idx val="2"/>
              <c:tx>
                <c:rich>
                  <a:bodyPr/>
                  <a:lstStyle/>
                  <a:p>
                    <a:r>
                      <a:rPr lang="en-US" sz="1200" b="0" i="0" u="none" strike="noStrike" kern="1200" cap="none" spc="0" baseline="0">
                        <a:solidFill>
                          <a:srgbClr val="000000"/>
                        </a:solidFill>
                        <a:uFillTx/>
                        <a:latin typeface="Calibri"/>
                      </a:rPr>
                      <a:t> NB </a:t>
                    </a:r>
                    <a:br>
                      <a:rPr lang="en-US" sz="1200" b="0" i="0" u="none" strike="noStrike" kern="1200" cap="none" spc="0" baseline="0">
                        <a:solidFill>
                          <a:srgbClr val="000000"/>
                        </a:solidFill>
                        <a:uFillTx/>
                        <a:latin typeface="Calibri"/>
                      </a:rPr>
                    </a:br>
                    <a:r>
                      <a:rPr lang="en-US" sz="1200" b="0" i="0" u="none" strike="noStrike" kern="1200" cap="none" spc="0" baseline="0">
                        <a:solidFill>
                          <a:srgbClr val="000000"/>
                        </a:solidFill>
                        <a:uFillTx/>
                        <a:latin typeface="Calibri"/>
                      </a:rPr>
                      <a:t>0%</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045-4F51-9F97-EA9DB0B1C9F2}"/>
                </c:ext>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lang="es-ES" sz="1200" b="0" i="0" u="none" strike="noStrike" kern="1200" baseline="0">
                    <a:solidFill>
                      <a:srgbClr val="000000"/>
                    </a:solidFill>
                    <a:latin typeface="Calibri"/>
                  </a:defRPr>
                </a:pPr>
                <a:endParaRPr lang="es-ES"/>
              </a:p>
            </c:txPr>
            <c:showLegendKey val="0"/>
            <c:showVal val="0"/>
            <c:showCatName val="1"/>
            <c:showSerName val="0"/>
            <c:showPercent val="1"/>
            <c:showBubbleSize val="0"/>
            <c:showLeaderLines val="1"/>
            <c:extLst>
              <c:ext xmlns:c15="http://schemas.microsoft.com/office/drawing/2012/chart" uri="{CE6537A1-D6FC-4f65-9D91-7224C49458BB}">
                <c15:spPr xmlns:c15="http://schemas.microsoft.com/office/drawing/2012/chart">
                  <a:prstGeom prst="rect">
                    <a:avLst/>
                  </a:prstGeom>
                </c15:spPr>
              </c:ext>
            </c:extLst>
          </c:dLbls>
          <c:cat>
            <c:strLit>
              <c:ptCount val="3"/>
              <c:pt idx="0">
                <c:v>HOMBRES</c:v>
              </c:pt>
              <c:pt idx="1">
                <c:v>MUJERES</c:v>
              </c:pt>
              <c:pt idx="2">
                <c:v>NB</c:v>
              </c:pt>
            </c:strLit>
          </c:cat>
          <c:val>
            <c:numLit>
              <c:formatCode>General</c:formatCode>
              <c:ptCount val="3"/>
              <c:pt idx="0">
                <c:v>20</c:v>
              </c:pt>
              <c:pt idx="1">
                <c:v>85</c:v>
              </c:pt>
              <c:pt idx="2">
                <c:v>0</c:v>
              </c:pt>
            </c:numLit>
          </c:val>
          <c:extLst>
            <c:ext xmlns:c16="http://schemas.microsoft.com/office/drawing/2014/chart" uri="{C3380CC4-5D6E-409C-BE32-E72D297353CC}">
              <c16:uniqueId val="{00000006-B045-4F51-9F97-EA9DB0B1C9F2}"/>
            </c:ext>
          </c:extLst>
        </c:ser>
        <c:dLbls>
          <c:showLegendKey val="0"/>
          <c:showVal val="0"/>
          <c:showCatName val="0"/>
          <c:showSerName val="0"/>
          <c:showPercent val="0"/>
          <c:showBubbleSize val="0"/>
          <c:showLeaderLines val="1"/>
        </c:dLbls>
        <c:firstSliceAng val="360"/>
      </c:pieChart>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lang="es-ES" sz="1050" b="0" i="0" u="none" strike="noStrike" kern="1200" baseline="0">
              <a:solidFill>
                <a:srgbClr val="000000"/>
              </a:solidFill>
              <a:latin typeface="Calibri"/>
            </a:defRPr>
          </a:pPr>
          <a:endParaRPr lang="es-E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1200" b="0" i="0" u="none" strike="noStrike" kern="1200" baseline="0">
          <a:solidFill>
            <a:srgbClr val="000000"/>
          </a:solidFill>
          <a:latin typeface="Calibri"/>
        </a:defRPr>
      </a:pPr>
      <a:endParaRPr lang="es-E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lang="es-ES" sz="1600" b="1" i="0" u="none" strike="noStrike" kern="1200" cap="all" spc="120" baseline="0">
                <a:solidFill>
                  <a:srgbClr val="000000"/>
                </a:solidFill>
                <a:latin typeface="Calibri"/>
              </a:defRPr>
            </a:pPr>
            <a:r>
              <a:rPr lang="es-ES" sz="1600" b="1" i="0" u="none" strike="noStrike" kern="1200" cap="all" spc="120" baseline="0">
                <a:solidFill>
                  <a:srgbClr val="000000"/>
                </a:solidFill>
                <a:uFillTx/>
                <a:latin typeface="Calibri"/>
              </a:rPr>
              <a:t>ACCIONES FORMATIVAS AL PERSONAL</a:t>
            </a:r>
          </a:p>
        </c:rich>
      </c:tx>
      <c:overlay val="0"/>
      <c:spPr>
        <a:noFill/>
        <a:ln>
          <a:noFill/>
        </a:ln>
      </c:spPr>
    </c:title>
    <c:autoTitleDeleted val="0"/>
    <c:plotArea>
      <c:layout/>
      <c:barChart>
        <c:barDir val="col"/>
        <c:grouping val="clustered"/>
        <c:varyColors val="0"/>
        <c:ser>
          <c:idx val="0"/>
          <c:order val="0"/>
          <c:tx>
            <c:v>Columna1</c:v>
          </c:tx>
          <c:spPr>
            <a:solidFill>
              <a:srgbClr val="FFC000"/>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lang="es-ES" sz="800" b="0" i="0" u="none" strike="noStrike" kern="1200" baseline="0">
                    <a:solidFill>
                      <a:srgbClr val="000000"/>
                    </a:solidFill>
                    <a:latin typeface="Calibri"/>
                  </a:defRPr>
                </a:pPr>
                <a:endParaRPr lang="es-E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4"/>
              <c:pt idx="0">
                <c:v>ENTIDADES FORMADORAS</c:v>
              </c:pt>
              <c:pt idx="1">
                <c:v>MODALIDAD ONLINE</c:v>
              </c:pt>
              <c:pt idx="2">
                <c:v>MODALIDAD PRESENCIAL</c:v>
              </c:pt>
              <c:pt idx="3">
                <c:v>TIPOS DE ENTIDADES</c:v>
              </c:pt>
            </c:strLit>
          </c:cat>
          <c:val>
            <c:numLit>
              <c:formatCode>General</c:formatCode>
              <c:ptCount val="4"/>
              <c:pt idx="0">
                <c:v>15</c:v>
              </c:pt>
              <c:pt idx="1">
                <c:v>8</c:v>
              </c:pt>
              <c:pt idx="2">
                <c:v>7</c:v>
              </c:pt>
              <c:pt idx="3">
                <c:v>4</c:v>
              </c:pt>
            </c:numLit>
          </c:val>
          <c:extLst>
            <c:ext xmlns:c16="http://schemas.microsoft.com/office/drawing/2014/chart" uri="{C3380CC4-5D6E-409C-BE32-E72D297353CC}">
              <c16:uniqueId val="{00000000-69F5-4256-A690-9E891D33CAC2}"/>
            </c:ext>
          </c:extLst>
        </c:ser>
        <c:dLbls>
          <c:showLegendKey val="0"/>
          <c:showVal val="0"/>
          <c:showCatName val="0"/>
          <c:showSerName val="0"/>
          <c:showPercent val="0"/>
          <c:showBubbleSize val="0"/>
        </c:dLbls>
        <c:gapWidth val="444"/>
        <c:overlap val="-90"/>
        <c:axId val="707543904"/>
        <c:axId val="707529344"/>
      </c:barChart>
      <c:valAx>
        <c:axId val="707529344"/>
        <c:scaling>
          <c:orientation val="minMax"/>
        </c:scaling>
        <c:delete val="1"/>
        <c:axPos val="l"/>
        <c:numFmt formatCode="General" sourceLinked="0"/>
        <c:majorTickMark val="none"/>
        <c:minorTickMark val="none"/>
        <c:tickLblPos val="nextTo"/>
        <c:crossAx val="707543904"/>
        <c:crosses val="autoZero"/>
        <c:crossBetween val="between"/>
      </c:valAx>
      <c:catAx>
        <c:axId val="707543904"/>
        <c:scaling>
          <c:orientation val="minMax"/>
        </c:scaling>
        <c:delete val="0"/>
        <c:axPos val="b"/>
        <c:majorGridlines>
          <c:spPr>
            <a:ln w="9528" cap="flat">
              <a:solidFill>
                <a:srgbClr val="D9D9D9"/>
              </a:solidFill>
              <a:prstDash val="solid"/>
              <a:round/>
            </a:ln>
          </c:spPr>
        </c:majorGridlines>
        <c:numFmt formatCode="General" sourceLinked="0"/>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800" b="1" i="0" u="none" strike="noStrike" kern="1200" cap="all" spc="120" baseline="0">
                <a:solidFill>
                  <a:srgbClr val="000000"/>
                </a:solidFill>
                <a:latin typeface="Calibri"/>
              </a:defRPr>
            </a:pPr>
            <a:endParaRPr lang="es-ES"/>
          </a:p>
        </c:txPr>
        <c:crossAx val="707529344"/>
        <c:crosses val="autoZero"/>
        <c:auto val="1"/>
        <c:lblAlgn val="ctr"/>
        <c:lblOffset val="100"/>
        <c:noMultiLvlLbl val="0"/>
      </c:catAx>
      <c:spPr>
        <a:noFill/>
        <a:ln>
          <a:noFill/>
        </a:ln>
      </c:spPr>
    </c:plotArea>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900" b="0" i="0" u="none" strike="noStrike" kern="1200" baseline="0">
          <a:solidFill>
            <a:srgbClr val="000000"/>
          </a:solidFill>
          <a:latin typeface="Calibri"/>
        </a:defRPr>
      </a:pPr>
      <a:endParaRPr lang="es-E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lang="es-ES" sz="1200" b="1" i="0" u="none" strike="noStrike" kern="1200" spc="0" baseline="0">
                <a:solidFill>
                  <a:srgbClr val="000000"/>
                </a:solidFill>
                <a:latin typeface="Calibri"/>
              </a:defRPr>
            </a:pPr>
            <a:r>
              <a:rPr lang="es-ES" sz="1200" b="1" i="0" u="none" strike="noStrike" kern="1200" cap="none" spc="0" baseline="0">
                <a:solidFill>
                  <a:srgbClr val="000000"/>
                </a:solidFill>
                <a:uFillTx/>
                <a:latin typeface="Calibri"/>
              </a:rPr>
              <a:t>REUNIONES - TIPO ENTIDAD</a:t>
            </a:r>
          </a:p>
        </c:rich>
      </c:tx>
      <c:overlay val="0"/>
      <c:spPr>
        <a:noFill/>
        <a:ln>
          <a:noFill/>
        </a:ln>
      </c:spPr>
    </c:title>
    <c:autoTitleDeleted val="0"/>
    <c:plotArea>
      <c:layout/>
      <c:pieChart>
        <c:varyColors val="1"/>
        <c:ser>
          <c:idx val="0"/>
          <c:order val="0"/>
          <c:tx>
            <c:v>REUNIONES - TIPO ENTIDAD</c:v>
          </c:tx>
          <c:dPt>
            <c:idx val="0"/>
            <c:bubble3D val="0"/>
            <c:spPr>
              <a:solidFill>
                <a:srgbClr val="5B9BD5"/>
              </a:solidFill>
              <a:ln w="19046">
                <a:solidFill>
                  <a:srgbClr val="FFFFFF"/>
                </a:solidFill>
                <a:prstDash val="solid"/>
              </a:ln>
            </c:spPr>
            <c:extLst>
              <c:ext xmlns:c16="http://schemas.microsoft.com/office/drawing/2014/chart" uri="{C3380CC4-5D6E-409C-BE32-E72D297353CC}">
                <c16:uniqueId val="{00000001-02F7-46A0-BC2E-77C8E3F22E67}"/>
              </c:ext>
            </c:extLst>
          </c:dPt>
          <c:dPt>
            <c:idx val="1"/>
            <c:bubble3D val="0"/>
            <c:spPr>
              <a:solidFill>
                <a:srgbClr val="A5A5A5"/>
              </a:solidFill>
              <a:ln w="19046">
                <a:solidFill>
                  <a:srgbClr val="FFFFFF"/>
                </a:solidFill>
                <a:prstDash val="solid"/>
              </a:ln>
            </c:spPr>
            <c:extLst>
              <c:ext xmlns:c16="http://schemas.microsoft.com/office/drawing/2014/chart" uri="{C3380CC4-5D6E-409C-BE32-E72D297353CC}">
                <c16:uniqueId val="{00000003-02F7-46A0-BC2E-77C8E3F22E67}"/>
              </c:ext>
            </c:extLst>
          </c:dPt>
          <c:dPt>
            <c:idx val="2"/>
            <c:bubble3D val="0"/>
            <c:spPr>
              <a:solidFill>
                <a:srgbClr val="4472C4"/>
              </a:solidFill>
              <a:ln w="19046">
                <a:solidFill>
                  <a:srgbClr val="FFFFFF"/>
                </a:solidFill>
                <a:prstDash val="solid"/>
              </a:ln>
            </c:spPr>
            <c:extLst>
              <c:ext xmlns:c16="http://schemas.microsoft.com/office/drawing/2014/chart" uri="{C3380CC4-5D6E-409C-BE32-E72D297353CC}">
                <c16:uniqueId val="{00000005-02F7-46A0-BC2E-77C8E3F22E67}"/>
              </c:ext>
            </c:extLst>
          </c:dPt>
          <c:dPt>
            <c:idx val="3"/>
            <c:bubble3D val="0"/>
            <c:spPr>
              <a:solidFill>
                <a:srgbClr val="255E91"/>
              </a:solidFill>
              <a:ln w="19046">
                <a:solidFill>
                  <a:srgbClr val="FFFFFF"/>
                </a:solidFill>
                <a:prstDash val="solid"/>
              </a:ln>
            </c:spPr>
            <c:extLst>
              <c:ext xmlns:c16="http://schemas.microsoft.com/office/drawing/2014/chart" uri="{C3380CC4-5D6E-409C-BE32-E72D297353CC}">
                <c16:uniqueId val="{00000007-02F7-46A0-BC2E-77C8E3F22E67}"/>
              </c:ext>
            </c:extLst>
          </c:dPt>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lang="es-ES" sz="1100" b="1" i="0" u="none" strike="noStrike" kern="1200" baseline="0">
                    <a:solidFill>
                      <a:srgbClr val="000000"/>
                    </a:solidFill>
                    <a:latin typeface="Calibri"/>
                  </a:defRPr>
                </a:pPr>
                <a:endParaRPr lang="es-ES"/>
              </a:p>
            </c:txPr>
            <c:showLegendKey val="0"/>
            <c:showVal val="0"/>
            <c:showCatName val="0"/>
            <c:showSerName val="0"/>
            <c:showPercent val="1"/>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Lit>
              <c:ptCount val="4"/>
              <c:pt idx="0">
                <c:v>Entidades Sociales y otros</c:v>
              </c:pt>
              <c:pt idx="1">
                <c:v>Administración Pública</c:v>
              </c:pt>
              <c:pt idx="2">
                <c:v>Fuerzas y Cuerpos de Seguridad</c:v>
              </c:pt>
              <c:pt idx="3">
                <c:v>RECTP</c:v>
              </c:pt>
            </c:strLit>
          </c:cat>
          <c:val>
            <c:numLit>
              <c:formatCode>General</c:formatCode>
              <c:ptCount val="4"/>
              <c:pt idx="0">
                <c:v>28.57</c:v>
              </c:pt>
              <c:pt idx="1">
                <c:v>54.76</c:v>
              </c:pt>
              <c:pt idx="2">
                <c:v>11.9</c:v>
              </c:pt>
              <c:pt idx="3">
                <c:v>4.7699999999999996</c:v>
              </c:pt>
            </c:numLit>
          </c:val>
          <c:extLst>
            <c:ext xmlns:c16="http://schemas.microsoft.com/office/drawing/2014/chart" uri="{C3380CC4-5D6E-409C-BE32-E72D297353CC}">
              <c16:uniqueId val="{00000008-02F7-46A0-BC2E-77C8E3F22E67}"/>
            </c:ext>
          </c:extLst>
        </c:ser>
        <c:dLbls>
          <c:showLegendKey val="0"/>
          <c:showVal val="0"/>
          <c:showCatName val="0"/>
          <c:showSerName val="0"/>
          <c:showPercent val="0"/>
          <c:showBubbleSize val="0"/>
          <c:showLeaderLines val="1"/>
        </c:dLbls>
        <c:firstSliceAng val="360"/>
      </c:pieChart>
      <c:spPr>
        <a:noFill/>
        <a:ln>
          <a:noFill/>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lang="es-ES" sz="900" b="0" i="0" u="none" strike="noStrike" kern="1200" baseline="0">
              <a:solidFill>
                <a:srgbClr val="000000"/>
              </a:solidFill>
              <a:latin typeface="Calibri"/>
            </a:defRPr>
          </a:pPr>
          <a:endParaRPr lang="es-E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900" b="0" i="0" u="none" strike="noStrike" kern="1200" baseline="0">
          <a:solidFill>
            <a:srgbClr val="000000"/>
          </a:solidFill>
          <a:latin typeface="Calibri"/>
        </a:defRPr>
      </a:pPr>
      <a:endParaRPr lang="es-E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ADMINISTRACIÓN PÚBLICA</c:v>
          </c:tx>
          <c:spPr>
            <a:solidFill>
              <a:srgbClr val="5B9BD5"/>
            </a:solidFill>
            <a:ln>
              <a:noFill/>
            </a:ln>
          </c:spPr>
          <c:invertIfNegative val="0"/>
          <c:dLbls>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lang="es-ES" sz="900" b="1" i="0" u="none" strike="noStrike" kern="1200" baseline="0">
                    <a:solidFill>
                      <a:srgbClr val="404040"/>
                    </a:solidFill>
                    <a:latin typeface="Calibri"/>
                  </a:defRPr>
                </a:pPr>
                <a:endParaRPr lang="es-E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6"/>
              <c:pt idx="0">
                <c:v>Cabildo GC</c:v>
              </c:pt>
              <c:pt idx="1">
                <c:v>FCSE - Ucrif</c:v>
              </c:pt>
              <c:pt idx="2">
                <c:v>FCSE - Guardia Civil</c:v>
              </c:pt>
              <c:pt idx="3">
                <c:v>Ayuntamiento</c:v>
              </c:pt>
              <c:pt idx="4">
                <c:v>Servicio Canario de Salud</c:v>
              </c:pt>
            </c:strLit>
          </c:cat>
          <c:val>
            <c:numLit>
              <c:formatCode>General</c:formatCode>
              <c:ptCount val="6"/>
              <c:pt idx="0">
                <c:v>16</c:v>
              </c:pt>
              <c:pt idx="1">
                <c:v>4</c:v>
              </c:pt>
              <c:pt idx="2">
                <c:v>1</c:v>
              </c:pt>
              <c:pt idx="3">
                <c:v>4</c:v>
              </c:pt>
              <c:pt idx="4">
                <c:v>3</c:v>
              </c:pt>
              <c:pt idx="5">
                <c:v>0</c:v>
              </c:pt>
            </c:numLit>
          </c:val>
          <c:extLst>
            <c:ext xmlns:c16="http://schemas.microsoft.com/office/drawing/2014/chart" uri="{C3380CC4-5D6E-409C-BE32-E72D297353CC}">
              <c16:uniqueId val="{00000000-D39F-4606-8D11-681C7ED35560}"/>
            </c:ext>
          </c:extLst>
        </c:ser>
        <c:dLbls>
          <c:showLegendKey val="0"/>
          <c:showVal val="0"/>
          <c:showCatName val="0"/>
          <c:showSerName val="0"/>
          <c:showPercent val="0"/>
          <c:showBubbleSize val="0"/>
        </c:dLbls>
        <c:gapWidth val="75"/>
        <c:axId val="707538080"/>
        <c:axId val="707536832"/>
      </c:barChart>
      <c:valAx>
        <c:axId val="707536832"/>
        <c:scaling>
          <c:orientation val="minMax"/>
        </c:scaling>
        <c:delete val="1"/>
        <c:axPos val="l"/>
        <c:numFmt formatCode="General" sourceLinked="0"/>
        <c:majorTickMark val="none"/>
        <c:minorTickMark val="none"/>
        <c:tickLblPos val="nextTo"/>
        <c:crossAx val="707538080"/>
        <c:crosses val="autoZero"/>
        <c:crossBetween val="between"/>
      </c:valAx>
      <c:catAx>
        <c:axId val="707538080"/>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900" b="0" i="0" u="none" strike="noStrike" kern="1200" baseline="0">
                <a:solidFill>
                  <a:srgbClr val="000000"/>
                </a:solidFill>
                <a:latin typeface="Calibri"/>
              </a:defRPr>
            </a:pPr>
            <a:endParaRPr lang="es-ES"/>
          </a:p>
        </c:txPr>
        <c:crossAx val="707536832"/>
        <c:crosses val="autoZero"/>
        <c:auto val="1"/>
        <c:lblAlgn val="ctr"/>
        <c:lblOffset val="100"/>
        <c:noMultiLvlLbl val="0"/>
      </c:catAx>
      <c:spPr>
        <a:noFill/>
        <a:ln>
          <a:noFill/>
        </a:ln>
      </c:spPr>
    </c:plotArea>
    <c:legend>
      <c:legendPos val="r"/>
      <c:layout>
        <c:manualLayout>
          <c:xMode val="edge"/>
          <c:yMode val="edge"/>
          <c:x val="0.31617259392486635"/>
          <c:y val="6.7408732999284182E-2"/>
        </c:manualLayout>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lang="es-ES" sz="900" b="1" i="0" u="none" strike="noStrike" kern="1200" baseline="0">
              <a:solidFill>
                <a:srgbClr val="000000"/>
              </a:solidFill>
              <a:latin typeface="Calibri"/>
            </a:defRPr>
          </a:pPr>
          <a:endParaRPr lang="es-E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s-ES" sz="1000" b="0" i="0" u="none" strike="noStrike" kern="1200" baseline="0">
          <a:solidFill>
            <a:srgbClr val="000000"/>
          </a:solidFill>
          <a:latin typeface="Calibri"/>
        </a:defRPr>
      </a:pPr>
      <a:endParaRPr lang="es-E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Intervención</a:t>
            </a:r>
            <a:r>
              <a:rPr lang="en-US" baseline="0"/>
              <a:t> jurídica</a:t>
            </a:r>
            <a:endParaRPr lang="en-US"/>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Tipología de asesoramiento</c:v>
                </c:pt>
              </c:strCache>
            </c:strRef>
          </c:tx>
          <c:dPt>
            <c:idx val="0"/>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00E-4FEC-8570-48A3CCA2138C}"/>
              </c:ext>
            </c:extLst>
          </c:dPt>
          <c:dPt>
            <c:idx val="1"/>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00E-4FEC-8570-48A3CCA2138C}"/>
              </c:ext>
            </c:extLst>
          </c:dPt>
          <c:dPt>
            <c:idx val="2"/>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00E-4FEC-8570-48A3CCA2138C}"/>
              </c:ext>
            </c:extLst>
          </c:dPt>
          <c:dPt>
            <c:idx val="3"/>
            <c:bubble3D val="0"/>
            <c:spPr>
              <a:solidFill>
                <a:schemeClr val="accent6">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00E-4FEC-8570-48A3CCA2138C}"/>
              </c:ext>
            </c:extLst>
          </c:dPt>
          <c:dPt>
            <c:idx val="4"/>
            <c:bubble3D val="0"/>
            <c:spPr>
              <a:solidFill>
                <a:schemeClr val="accent5">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00E-4FEC-8570-48A3CCA2138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Derecho penal</c:v>
                </c:pt>
                <c:pt idx="1">
                  <c:v>Derecho de extranjería</c:v>
                </c:pt>
                <c:pt idx="2">
                  <c:v>Derecho civil</c:v>
                </c:pt>
                <c:pt idx="3">
                  <c:v>Derecho laboral</c:v>
                </c:pt>
                <c:pt idx="4">
                  <c:v>Derecho administrativo</c:v>
                </c:pt>
              </c:strCache>
            </c:strRef>
          </c:cat>
          <c:val>
            <c:numRef>
              <c:f>Hoja1!$B$2:$B$6</c:f>
              <c:numCache>
                <c:formatCode>0%</c:formatCode>
                <c:ptCount val="5"/>
                <c:pt idx="0">
                  <c:v>0.35</c:v>
                </c:pt>
                <c:pt idx="1">
                  <c:v>0.4</c:v>
                </c:pt>
                <c:pt idx="2">
                  <c:v>0.1</c:v>
                </c:pt>
                <c:pt idx="3">
                  <c:v>0.05</c:v>
                </c:pt>
                <c:pt idx="4">
                  <c:v>0.1</c:v>
                </c:pt>
              </c:numCache>
            </c:numRef>
          </c:val>
          <c:extLst>
            <c:ext xmlns:c16="http://schemas.microsoft.com/office/drawing/2014/chart" uri="{C3380CC4-5D6E-409C-BE32-E72D297353CC}">
              <c16:uniqueId val="{0000000A-E00E-4FEC-8570-48A3CCA2138C}"/>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ES"/>
              <a:t>Edad mujeres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ES"/>
        </a:p>
      </c:txPr>
    </c:title>
    <c:autoTitleDeleted val="0"/>
    <c:plotArea>
      <c:layout/>
      <c:barChart>
        <c:barDir val="col"/>
        <c:grouping val="clustered"/>
        <c:varyColors val="0"/>
        <c:ser>
          <c:idx val="0"/>
          <c:order val="0"/>
          <c:tx>
            <c:strRef>
              <c:f>Hoja1!$B$1</c:f>
              <c:strCache>
                <c:ptCount val="1"/>
                <c:pt idx="0">
                  <c:v>Serie 1</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invertIfNegative val="0"/>
          <c:dPt>
            <c:idx val="0"/>
            <c:invertIfNegative val="0"/>
            <c:bubble3D val="0"/>
            <c:extLst>
              <c:ext xmlns:c16="http://schemas.microsoft.com/office/drawing/2014/chart" uri="{C3380CC4-5D6E-409C-BE32-E72D297353CC}">
                <c16:uniqueId val="{00000000-5500-4236-8C1F-2437EBF94B95}"/>
              </c:ext>
            </c:extLst>
          </c:dPt>
          <c:dPt>
            <c:idx val="1"/>
            <c:invertIfNegative val="0"/>
            <c:bubble3D val="0"/>
            <c:extLst>
              <c:ext xmlns:c16="http://schemas.microsoft.com/office/drawing/2014/chart" uri="{C3380CC4-5D6E-409C-BE32-E72D297353CC}">
                <c16:uniqueId val="{00000001-5500-4236-8C1F-2437EBF94B95}"/>
              </c:ext>
            </c:extLst>
          </c:dPt>
          <c:dPt>
            <c:idx val="2"/>
            <c:invertIfNegative val="0"/>
            <c:bubble3D val="0"/>
            <c:extLst>
              <c:ext xmlns:c16="http://schemas.microsoft.com/office/drawing/2014/chart" uri="{C3380CC4-5D6E-409C-BE32-E72D297353CC}">
                <c16:uniqueId val="{00000002-5500-4236-8C1F-2437EBF94B95}"/>
              </c:ext>
            </c:extLst>
          </c:dPt>
          <c:dPt>
            <c:idx val="3"/>
            <c:invertIfNegative val="0"/>
            <c:bubble3D val="0"/>
            <c:extLst>
              <c:ext xmlns:c16="http://schemas.microsoft.com/office/drawing/2014/chart" uri="{C3380CC4-5D6E-409C-BE32-E72D297353CC}">
                <c16:uniqueId val="{00000003-5500-4236-8C1F-2437EBF94B95}"/>
              </c:ext>
            </c:extLst>
          </c:dPt>
          <c:dLbls>
            <c:dLbl>
              <c:idx val="1"/>
              <c:layout>
                <c:manualLayout>
                  <c:x val="8.5648148148148154E-2"/>
                  <c:y val="-8.73015873015873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500-4236-8C1F-2437EBF94B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ES"/>
              </a:p>
            </c:txPr>
            <c:dLblPos val="outEnd"/>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Hoja1!$A$2:$A$5</c:f>
              <c:strCache>
                <c:ptCount val="4"/>
                <c:pt idx="0">
                  <c:v>18-25</c:v>
                </c:pt>
                <c:pt idx="1">
                  <c:v>25-35</c:v>
                </c:pt>
                <c:pt idx="2">
                  <c:v>35-45</c:v>
                </c:pt>
                <c:pt idx="3">
                  <c:v>45 o más</c:v>
                </c:pt>
              </c:strCache>
            </c:strRef>
          </c:cat>
          <c:val>
            <c:numRef>
              <c:f>Hoja1!$B$2:$B$5</c:f>
              <c:numCache>
                <c:formatCode>General</c:formatCode>
                <c:ptCount val="4"/>
                <c:pt idx="0">
                  <c:v>0</c:v>
                </c:pt>
                <c:pt idx="1">
                  <c:v>1</c:v>
                </c:pt>
                <c:pt idx="2">
                  <c:v>2</c:v>
                </c:pt>
                <c:pt idx="3">
                  <c:v>2</c:v>
                </c:pt>
              </c:numCache>
            </c:numRef>
          </c:val>
          <c:extLst>
            <c:ext xmlns:c16="http://schemas.microsoft.com/office/drawing/2014/chart" uri="{C3380CC4-5D6E-409C-BE32-E72D297353CC}">
              <c16:uniqueId val="{00000004-5500-4236-8C1F-2437EBF94B95}"/>
            </c:ext>
          </c:extLst>
        </c:ser>
        <c:dLbls>
          <c:showLegendKey val="0"/>
          <c:showVal val="0"/>
          <c:showCatName val="0"/>
          <c:showSerName val="0"/>
          <c:showPercent val="0"/>
          <c:showBubbleSize val="0"/>
        </c:dLbls>
        <c:gapWidth val="100"/>
        <c:overlap val="-24"/>
        <c:axId val="507512464"/>
        <c:axId val="507505808"/>
      </c:barChart>
      <c:catAx>
        <c:axId val="5075124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ES"/>
          </a:p>
        </c:txPr>
        <c:crossAx val="507505808"/>
        <c:crosses val="autoZero"/>
        <c:auto val="1"/>
        <c:lblAlgn val="ctr"/>
        <c:lblOffset val="100"/>
        <c:noMultiLvlLbl val="0"/>
      </c:catAx>
      <c:valAx>
        <c:axId val="50750580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ES"/>
          </a:p>
        </c:txPr>
        <c:crossAx val="50751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colorful1#6">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7E8F98-C267-4D66-980F-6A3A211560C9}" type="doc">
      <dgm:prSet loTypeId="urn:microsoft.com/office/officeart/2005/8/layout/vList6" loCatId="list" qsTypeId="urn:microsoft.com/office/officeart/2005/8/quickstyle/simple1" qsCatId="simple" csTypeId="urn:microsoft.com/office/officeart/2005/8/colors/colorful1#6" csCatId="colorful" phldr="1"/>
      <dgm:spPr/>
      <dgm:t>
        <a:bodyPr/>
        <a:lstStyle/>
        <a:p>
          <a:endParaRPr lang="es-ES"/>
        </a:p>
      </dgm:t>
    </dgm:pt>
    <dgm:pt modelId="{6850A435-D378-4A04-A539-D0555B1969BE}">
      <dgm:prSet phldrT="[Texto]"/>
      <dgm:spPr>
        <a:xfrm>
          <a:off x="187757" y="141136"/>
          <a:ext cx="2139316" cy="1288457"/>
        </a:xfrm>
        <a:prstGeom prst="round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s-ES" b="1" i="1" dirty="0">
              <a:solidFill>
                <a:sysClr val="window" lastClr="FFFFFF"/>
              </a:solidFill>
              <a:latin typeface="Arial" panose="020B0604020202020204" pitchFamily="34" charset="0"/>
              <a:ea typeface="+mn-ea"/>
              <a:cs typeface="Arial" panose="020B0604020202020204" pitchFamily="34" charset="0"/>
            </a:rPr>
            <a:t>EVALUACIÓN INICIAL</a:t>
          </a:r>
          <a:endParaRPr lang="es-ES" b="1" dirty="0">
            <a:solidFill>
              <a:sysClr val="window" lastClr="FFFFFF"/>
            </a:solidFill>
            <a:latin typeface="Arial" panose="020B0604020202020204" pitchFamily="34" charset="0"/>
            <a:ea typeface="+mn-ea"/>
            <a:cs typeface="Arial" panose="020B0604020202020204" pitchFamily="34" charset="0"/>
          </a:endParaRPr>
        </a:p>
      </dgm:t>
    </dgm:pt>
    <dgm:pt modelId="{EAC83A90-41A9-4CC6-8173-A80681438432}" type="parTrans" cxnId="{DA2D452C-15FE-490F-A5D1-448903074531}">
      <dgm:prSet/>
      <dgm:spPr/>
      <dgm:t>
        <a:bodyPr/>
        <a:lstStyle/>
        <a:p>
          <a:endParaRPr lang="es-ES"/>
        </a:p>
      </dgm:t>
    </dgm:pt>
    <dgm:pt modelId="{00871260-AAD8-440A-9D74-AA18A469317B}" type="sibTrans" cxnId="{DA2D452C-15FE-490F-A5D1-448903074531}">
      <dgm:prSet/>
      <dgm:spPr/>
      <dgm:t>
        <a:bodyPr/>
        <a:lstStyle/>
        <a:p>
          <a:endParaRPr lang="es-ES"/>
        </a:p>
      </dgm:t>
    </dgm:pt>
    <dgm:pt modelId="{133DECD5-E32C-4419-ADA9-50773F846902}">
      <dgm:prSet phldrT="[Texto]" custT="1"/>
      <dgm:spPr>
        <a:xfrm>
          <a:off x="2327073" y="1938"/>
          <a:ext cx="3753889" cy="1566854"/>
        </a:xfrm>
        <a:prstGeom prst="rightArrow">
          <a:avLst>
            <a:gd name="adj1" fmla="val 75000"/>
            <a:gd name="adj2" fmla="val 50000"/>
          </a:avLst>
        </a:prstGeom>
        <a:solidFill>
          <a:srgbClr val="C0504D">
            <a:tint val="40000"/>
            <a:alpha val="90000"/>
            <a:hueOff val="0"/>
            <a:satOff val="0"/>
            <a:lumOff val="0"/>
            <a:alphaOff val="0"/>
          </a:srgbClr>
        </a:solidFill>
        <a:ln w="25400" cap="flat" cmpd="sng" algn="ctr">
          <a:solidFill>
            <a:srgbClr val="C0504D">
              <a:tint val="40000"/>
              <a:alpha val="90000"/>
              <a:hueOff val="0"/>
              <a:satOff val="0"/>
              <a:lumOff val="0"/>
              <a:alphaOff val="0"/>
            </a:srgbClr>
          </a:solidFill>
          <a:prstDash val="solid"/>
          <a:miter lim="800000"/>
        </a:ln>
        <a:effectLst/>
      </dgm:spPr>
      <dgm:t>
        <a:bodyPr/>
        <a:lstStyle/>
        <a:p>
          <a:pPr algn="just"/>
          <a:r>
            <a:rPr lang="es-ES" sz="11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Cada profesional, desde su área, hace un análisis del caso que posteriormente pone en común con el resto del equipo. Se acuerda en equipo una propuesta de intervención que se traslada a la mujer, acordando con ésta el PTIC, marcando y priorizando objetivos consensuados entre la mujer y las profesionales.</a:t>
          </a:r>
          <a:endParaRPr lang="es-ES" sz="1100" b="1"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8902DC33-BB09-4155-8711-2F7E1FD54889}" type="parTrans" cxnId="{65D12D57-A4A8-49F1-80EE-7715BE9BECD6}">
      <dgm:prSet/>
      <dgm:spPr/>
      <dgm:t>
        <a:bodyPr/>
        <a:lstStyle/>
        <a:p>
          <a:endParaRPr lang="es-ES"/>
        </a:p>
      </dgm:t>
    </dgm:pt>
    <dgm:pt modelId="{2A2D56AE-D20D-4BED-BBD5-3A5C295553E7}" type="sibTrans" cxnId="{65D12D57-A4A8-49F1-80EE-7715BE9BECD6}">
      <dgm:prSet/>
      <dgm:spPr/>
      <dgm:t>
        <a:bodyPr/>
        <a:lstStyle/>
        <a:p>
          <a:endParaRPr lang="es-ES"/>
        </a:p>
      </dgm:t>
    </dgm:pt>
    <dgm:pt modelId="{9F57DFDE-776F-4148-B844-544FFEDAAF72}">
      <dgm:prSet phldrT="[Texto]"/>
      <dgm:spPr>
        <a:xfrm>
          <a:off x="181993" y="1697638"/>
          <a:ext cx="2143501" cy="1288457"/>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s-ES" b="1" i="1" dirty="0">
              <a:solidFill>
                <a:sysClr val="window" lastClr="FFFFFF"/>
              </a:solidFill>
              <a:latin typeface="Arial" panose="020B0604020202020204" pitchFamily="34" charset="0"/>
              <a:ea typeface="+mn-ea"/>
              <a:cs typeface="Arial" panose="020B0604020202020204" pitchFamily="34" charset="0"/>
            </a:rPr>
            <a:t>INTERVENCIÓN/SEGUIMIENTO</a:t>
          </a:r>
          <a:endParaRPr lang="es-ES" b="1" dirty="0">
            <a:solidFill>
              <a:sysClr val="window" lastClr="FFFFFF"/>
            </a:solidFill>
            <a:latin typeface="Arial" panose="020B0604020202020204" pitchFamily="34" charset="0"/>
            <a:ea typeface="+mn-ea"/>
            <a:cs typeface="Arial" panose="020B0604020202020204" pitchFamily="34" charset="0"/>
          </a:endParaRPr>
        </a:p>
      </dgm:t>
    </dgm:pt>
    <dgm:pt modelId="{4EFDD23D-392B-4197-B52B-F79651D819F5}" type="parTrans" cxnId="{410CBB72-AB4A-4A99-B4E5-E9EF1BBFC979}">
      <dgm:prSet/>
      <dgm:spPr/>
      <dgm:t>
        <a:bodyPr/>
        <a:lstStyle/>
        <a:p>
          <a:endParaRPr lang="es-ES"/>
        </a:p>
      </dgm:t>
    </dgm:pt>
    <dgm:pt modelId="{77D795F1-3841-4342-9FC5-68522F959691}" type="sibTrans" cxnId="{410CBB72-AB4A-4A99-B4E5-E9EF1BBFC979}">
      <dgm:prSet/>
      <dgm:spPr/>
      <dgm:t>
        <a:bodyPr/>
        <a:lstStyle/>
        <a:p>
          <a:endParaRPr lang="es-ES"/>
        </a:p>
      </dgm:t>
    </dgm:pt>
    <dgm:pt modelId="{BC7D9696-069F-4776-AD87-FEA55DC3CB09}">
      <dgm:prSet phldrT="[Texto]"/>
      <dgm:spPr>
        <a:xfrm>
          <a:off x="2426596" y="1673260"/>
          <a:ext cx="3761232" cy="1288457"/>
        </a:xfrm>
        <a:prstGeom prst="rightArrow">
          <a:avLst>
            <a:gd name="adj1" fmla="val 75000"/>
            <a:gd name="adj2" fmla="val 50000"/>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miter lim="800000"/>
        </a:ln>
        <a:effectLst/>
      </dgm:spPr>
      <dgm:t>
        <a:bodyPr/>
        <a:lstStyle/>
        <a:p>
          <a:pPr algn="l"/>
          <a:endParaRPr lang="es-ES" sz="600" b="1" dirty="0">
            <a:solidFill>
              <a:sysClr val="windowText" lastClr="000000">
                <a:hueOff val="0"/>
                <a:satOff val="0"/>
                <a:lumOff val="0"/>
                <a:alphaOff val="0"/>
              </a:sysClr>
            </a:solidFill>
            <a:latin typeface="Calibri"/>
            <a:ea typeface="+mn-ea"/>
            <a:cs typeface="+mn-cs"/>
          </a:endParaRPr>
        </a:p>
      </dgm:t>
    </dgm:pt>
    <dgm:pt modelId="{F355000C-A405-4A83-952B-25F440674886}" type="parTrans" cxnId="{FB483BC4-DA3F-4DA3-BB51-09A5CE4D7135}">
      <dgm:prSet/>
      <dgm:spPr/>
      <dgm:t>
        <a:bodyPr/>
        <a:lstStyle/>
        <a:p>
          <a:endParaRPr lang="es-ES"/>
        </a:p>
      </dgm:t>
    </dgm:pt>
    <dgm:pt modelId="{21648466-D9C8-45AD-A9F0-8A67EFEC3E29}" type="sibTrans" cxnId="{FB483BC4-DA3F-4DA3-BB51-09A5CE4D7135}">
      <dgm:prSet/>
      <dgm:spPr/>
      <dgm:t>
        <a:bodyPr/>
        <a:lstStyle/>
        <a:p>
          <a:endParaRPr lang="es-ES"/>
        </a:p>
      </dgm:t>
    </dgm:pt>
    <dgm:pt modelId="{09F80CD9-2981-4823-B884-5B2089828A07}">
      <dgm:prSet phldrT="[Texto]" custT="1"/>
      <dgm:spPr>
        <a:xfrm>
          <a:off x="104076" y="3261381"/>
          <a:ext cx="2101001" cy="1274529"/>
        </a:xfrm>
        <a:prstGeom prst="roundRect">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s-ES" sz="1000" b="1" i="1" dirty="0">
              <a:solidFill>
                <a:sysClr val="window" lastClr="FFFFFF"/>
              </a:solidFill>
              <a:latin typeface="Arial" panose="020B0604020202020204" pitchFamily="34" charset="0"/>
              <a:ea typeface="+mn-ea"/>
              <a:cs typeface="Arial" panose="020B0604020202020204" pitchFamily="34" charset="0"/>
            </a:rPr>
            <a:t>SALIDA</a:t>
          </a:r>
          <a:endParaRPr lang="es-ES" sz="1000" b="1" dirty="0">
            <a:solidFill>
              <a:sysClr val="window" lastClr="FFFFFF"/>
            </a:solidFill>
            <a:latin typeface="Arial" panose="020B0604020202020204" pitchFamily="34" charset="0"/>
            <a:ea typeface="+mn-ea"/>
            <a:cs typeface="Arial" panose="020B0604020202020204" pitchFamily="34" charset="0"/>
          </a:endParaRPr>
        </a:p>
      </dgm:t>
    </dgm:pt>
    <dgm:pt modelId="{3A4E427E-302A-4AAE-AFBE-C4BF527D224F}" type="parTrans" cxnId="{53B02A43-3B56-46AC-A5AC-6252CE8DF244}">
      <dgm:prSet/>
      <dgm:spPr/>
      <dgm:t>
        <a:bodyPr/>
        <a:lstStyle/>
        <a:p>
          <a:endParaRPr lang="es-ES"/>
        </a:p>
      </dgm:t>
    </dgm:pt>
    <dgm:pt modelId="{90532A18-F3E2-4C8C-B7C5-5FFDDCDE8A22}" type="sibTrans" cxnId="{53B02A43-3B56-46AC-A5AC-6252CE8DF244}">
      <dgm:prSet/>
      <dgm:spPr/>
      <dgm:t>
        <a:bodyPr/>
        <a:lstStyle/>
        <a:p>
          <a:endParaRPr lang="es-ES"/>
        </a:p>
      </dgm:t>
    </dgm:pt>
    <dgm:pt modelId="{896017C4-18C0-4774-A271-2D888C5B7120}">
      <dgm:prSet phldrT="[Texto]" custT="1"/>
      <dgm:spPr>
        <a:xfrm>
          <a:off x="2272939" y="3114941"/>
          <a:ext cx="3757558" cy="1553493"/>
        </a:xfrm>
        <a:prstGeom prst="rightArrow">
          <a:avLst>
            <a:gd name="adj1" fmla="val 75000"/>
            <a:gd name="adj2" fmla="val 50000"/>
          </a:avLst>
        </a:prstGeom>
        <a:solidFill>
          <a:srgbClr val="8064A2">
            <a:tint val="40000"/>
            <a:alpha val="90000"/>
            <a:hueOff val="0"/>
            <a:satOff val="0"/>
            <a:lumOff val="0"/>
            <a:alphaOff val="0"/>
          </a:srgbClr>
        </a:solidFill>
        <a:ln w="25400" cap="flat" cmpd="sng" algn="ctr">
          <a:solidFill>
            <a:srgbClr val="8064A2">
              <a:tint val="40000"/>
              <a:alpha val="90000"/>
              <a:hueOff val="0"/>
              <a:satOff val="0"/>
              <a:lumOff val="0"/>
              <a:alphaOff val="0"/>
            </a:srgbClr>
          </a:solidFill>
          <a:prstDash val="solid"/>
          <a:miter lim="800000"/>
        </a:ln>
        <a:effectLst/>
      </dgm:spPr>
      <dgm:t>
        <a:bodyPr/>
        <a:lstStyle/>
        <a:p>
          <a:pPr algn="just"/>
          <a:r>
            <a:rPr lang="es-ES" sz="11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Antes de la salida de la casa, se evalúa con la mujer los objetivos conseguidos y pendientes, intentando prever posibles dificultades. La trabajadora social acompaña a la mujer en los contactos con los servicios sociales de zona en la que va a residir, con el objetivo de que le sigan apoyando en los casos en que sea necesario.</a:t>
          </a:r>
          <a:endParaRPr lang="es-ES" sz="1100" b="1"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DEADC44E-2DBA-455E-8469-413344CE6B77}" type="parTrans" cxnId="{5A8F0FE6-149A-45B7-85A3-6551DF29D840}">
      <dgm:prSet/>
      <dgm:spPr/>
      <dgm:t>
        <a:bodyPr/>
        <a:lstStyle/>
        <a:p>
          <a:endParaRPr lang="es-ES"/>
        </a:p>
      </dgm:t>
    </dgm:pt>
    <dgm:pt modelId="{E69F3538-EF78-41F1-AD2B-06F8AABBF663}" type="sibTrans" cxnId="{5A8F0FE6-149A-45B7-85A3-6551DF29D840}">
      <dgm:prSet/>
      <dgm:spPr/>
      <dgm:t>
        <a:bodyPr/>
        <a:lstStyle/>
        <a:p>
          <a:endParaRPr lang="es-ES"/>
        </a:p>
      </dgm:t>
    </dgm:pt>
    <dgm:pt modelId="{24932316-F4D0-4D86-9124-A7B5DE1A4C2F}">
      <dgm:prSet custT="1"/>
      <dgm:spPr>
        <a:xfrm>
          <a:off x="2426596" y="1673260"/>
          <a:ext cx="3761232" cy="1288457"/>
        </a:xfrm>
        <a:prstGeom prst="rightArrow">
          <a:avLst>
            <a:gd name="adj1" fmla="val 75000"/>
            <a:gd name="adj2" fmla="val 50000"/>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miter lim="800000"/>
        </a:ln>
        <a:effectLst/>
      </dgm:spPr>
      <dgm:t>
        <a:bodyPr/>
        <a:lstStyle/>
        <a:p>
          <a:pPr algn="just"/>
          <a:r>
            <a:rPr lang="es-ES" sz="1100" dirty="0">
              <a:solidFill>
                <a:sysClr val="windowText" lastClr="000000">
                  <a:hueOff val="0"/>
                  <a:satOff val="0"/>
                  <a:lumOff val="0"/>
                  <a:alphaOff val="0"/>
                </a:sysClr>
              </a:solidFill>
              <a:latin typeface="Calibri"/>
              <a:ea typeface="+mn-ea"/>
              <a:cs typeface="+mn-cs"/>
            </a:rPr>
            <a:t>A lo largo del proceso, se analiza la consecución de objetivos, las dificultades y las modificaciones de los mismos, apoyadas por el resto de las profesionales. El proceso se revisa periódicamente en reunión de equipo. Al final de esta fase, se propone una fecha de salida  y acuerdos consensuados. </a:t>
          </a:r>
        </a:p>
      </dgm:t>
    </dgm:pt>
    <dgm:pt modelId="{5F91023D-9541-4CF9-8B29-D3C83327D545}" type="parTrans" cxnId="{02EBDDF1-7ED9-409A-8589-4564B7290A15}">
      <dgm:prSet/>
      <dgm:spPr/>
      <dgm:t>
        <a:bodyPr/>
        <a:lstStyle/>
        <a:p>
          <a:endParaRPr lang="es-ES"/>
        </a:p>
      </dgm:t>
    </dgm:pt>
    <dgm:pt modelId="{4704A63C-5728-4B49-A150-FE8BAD8F0B54}" type="sibTrans" cxnId="{02EBDDF1-7ED9-409A-8589-4564B7290A15}">
      <dgm:prSet/>
      <dgm:spPr/>
      <dgm:t>
        <a:bodyPr/>
        <a:lstStyle/>
        <a:p>
          <a:endParaRPr lang="es-ES"/>
        </a:p>
      </dgm:t>
    </dgm:pt>
    <dgm:pt modelId="{7AC688C8-0C95-481A-ADC2-40A6C9428564}" type="pres">
      <dgm:prSet presAssocID="{FE7E8F98-C267-4D66-980F-6A3A211560C9}" presName="Name0" presStyleCnt="0">
        <dgm:presLayoutVars>
          <dgm:dir/>
          <dgm:animLvl val="lvl"/>
          <dgm:resizeHandles/>
        </dgm:presLayoutVars>
      </dgm:prSet>
      <dgm:spPr/>
      <dgm:t>
        <a:bodyPr/>
        <a:lstStyle/>
        <a:p>
          <a:endParaRPr lang="es-ES"/>
        </a:p>
      </dgm:t>
    </dgm:pt>
    <dgm:pt modelId="{6F61AECB-3406-4B42-8303-D4D1CF6C6A1D}" type="pres">
      <dgm:prSet presAssocID="{6850A435-D378-4A04-A539-D0555B1969BE}" presName="linNode" presStyleCnt="0"/>
      <dgm:spPr/>
    </dgm:pt>
    <dgm:pt modelId="{6E4F78F4-0E40-458B-BA89-1705CB44BA6E}" type="pres">
      <dgm:prSet presAssocID="{6850A435-D378-4A04-A539-D0555B1969BE}" presName="parentShp" presStyleLbl="node1" presStyleIdx="0" presStyleCnt="3" custScaleX="85484">
        <dgm:presLayoutVars>
          <dgm:bulletEnabled val="1"/>
        </dgm:presLayoutVars>
      </dgm:prSet>
      <dgm:spPr>
        <a:prstGeom prst="roundRect">
          <a:avLst/>
        </a:prstGeom>
      </dgm:spPr>
      <dgm:t>
        <a:bodyPr/>
        <a:lstStyle/>
        <a:p>
          <a:endParaRPr lang="es-ES"/>
        </a:p>
      </dgm:t>
    </dgm:pt>
    <dgm:pt modelId="{84924911-2C0D-4949-A8A9-E1914CE70643}" type="pres">
      <dgm:prSet presAssocID="{6850A435-D378-4A04-A539-D0555B1969BE}" presName="childShp" presStyleLbl="bgAccFollowNode1" presStyleIdx="0" presStyleCnt="3" custScaleY="121607">
        <dgm:presLayoutVars>
          <dgm:bulletEnabled val="1"/>
        </dgm:presLayoutVars>
      </dgm:prSet>
      <dgm:spPr>
        <a:prstGeom prst="rightArrow">
          <a:avLst>
            <a:gd name="adj1" fmla="val 75000"/>
            <a:gd name="adj2" fmla="val 50000"/>
          </a:avLst>
        </a:prstGeom>
      </dgm:spPr>
      <dgm:t>
        <a:bodyPr/>
        <a:lstStyle/>
        <a:p>
          <a:endParaRPr lang="es-ES"/>
        </a:p>
      </dgm:t>
    </dgm:pt>
    <dgm:pt modelId="{887C00C9-E6C7-4EF5-AFAA-5BDBDB354E0B}" type="pres">
      <dgm:prSet presAssocID="{00871260-AAD8-440A-9D74-AA18A469317B}" presName="spacing" presStyleCnt="0"/>
      <dgm:spPr/>
    </dgm:pt>
    <dgm:pt modelId="{4B49466A-BB83-4663-8D31-04A49702AD1B}" type="pres">
      <dgm:prSet presAssocID="{9F57DFDE-776F-4148-B844-544FFEDAAF72}" presName="linNode" presStyleCnt="0"/>
      <dgm:spPr/>
    </dgm:pt>
    <dgm:pt modelId="{E1532C5B-D9CC-4333-8621-7A30A56DDC50}" type="pres">
      <dgm:prSet presAssocID="{9F57DFDE-776F-4148-B844-544FFEDAAF72}" presName="parentShp" presStyleLbl="node1" presStyleIdx="1" presStyleCnt="3" custScaleX="85484">
        <dgm:presLayoutVars>
          <dgm:bulletEnabled val="1"/>
        </dgm:presLayoutVars>
      </dgm:prSet>
      <dgm:spPr>
        <a:prstGeom prst="roundRect">
          <a:avLst/>
        </a:prstGeom>
      </dgm:spPr>
      <dgm:t>
        <a:bodyPr/>
        <a:lstStyle/>
        <a:p>
          <a:endParaRPr lang="es-ES"/>
        </a:p>
      </dgm:t>
    </dgm:pt>
    <dgm:pt modelId="{C1683CB7-02AD-485F-BDAE-FAD80F1A57DF}" type="pres">
      <dgm:prSet presAssocID="{9F57DFDE-776F-4148-B844-544FFEDAAF72}" presName="childShp" presStyleLbl="bgAccFollowNode1" presStyleIdx="1" presStyleCnt="3" custLinFactNeighborX="4032" custLinFactNeighborY="-1892">
        <dgm:presLayoutVars>
          <dgm:bulletEnabled val="1"/>
        </dgm:presLayoutVars>
      </dgm:prSet>
      <dgm:spPr>
        <a:prstGeom prst="rightArrow">
          <a:avLst>
            <a:gd name="adj1" fmla="val 75000"/>
            <a:gd name="adj2" fmla="val 50000"/>
          </a:avLst>
        </a:prstGeom>
      </dgm:spPr>
      <dgm:t>
        <a:bodyPr/>
        <a:lstStyle/>
        <a:p>
          <a:endParaRPr lang="es-ES"/>
        </a:p>
      </dgm:t>
    </dgm:pt>
    <dgm:pt modelId="{41586B63-44A3-427B-9800-462154B45A31}" type="pres">
      <dgm:prSet presAssocID="{77D795F1-3841-4342-9FC5-68522F959691}" presName="spacing" presStyleCnt="0"/>
      <dgm:spPr/>
    </dgm:pt>
    <dgm:pt modelId="{18D73C74-847B-4CDF-B872-DA6757E4C2F3}" type="pres">
      <dgm:prSet presAssocID="{09F80CD9-2981-4823-B884-5B2089828A07}" presName="linNode" presStyleCnt="0"/>
      <dgm:spPr/>
    </dgm:pt>
    <dgm:pt modelId="{38684BEF-EB73-44D2-8493-FEFC7460AEF2}" type="pres">
      <dgm:prSet presAssocID="{09F80CD9-2981-4823-B884-5B2089828A07}" presName="parentShp" presStyleLbl="node1" presStyleIdx="2" presStyleCnt="3" custScaleX="83871" custScaleY="98919" custLinFactNeighborX="-2688" custLinFactNeighborY="540">
        <dgm:presLayoutVars>
          <dgm:bulletEnabled val="1"/>
        </dgm:presLayoutVars>
      </dgm:prSet>
      <dgm:spPr>
        <a:prstGeom prst="roundRect">
          <a:avLst/>
        </a:prstGeom>
      </dgm:spPr>
      <dgm:t>
        <a:bodyPr/>
        <a:lstStyle/>
        <a:p>
          <a:endParaRPr lang="es-ES"/>
        </a:p>
      </dgm:t>
    </dgm:pt>
    <dgm:pt modelId="{C144E69E-81CE-4F58-A207-F538D590959D}" type="pres">
      <dgm:prSet presAssocID="{09F80CD9-2981-4823-B884-5B2089828A07}" presName="childShp" presStyleLbl="bgAccFollowNode1" presStyleIdx="2" presStyleCnt="3" custScaleY="120570" custLinFactNeighborX="-1323" custLinFactNeighborY="0">
        <dgm:presLayoutVars>
          <dgm:bulletEnabled val="1"/>
        </dgm:presLayoutVars>
      </dgm:prSet>
      <dgm:spPr>
        <a:prstGeom prst="rightArrow">
          <a:avLst>
            <a:gd name="adj1" fmla="val 75000"/>
            <a:gd name="adj2" fmla="val 50000"/>
          </a:avLst>
        </a:prstGeom>
      </dgm:spPr>
      <dgm:t>
        <a:bodyPr/>
        <a:lstStyle/>
        <a:p>
          <a:endParaRPr lang="es-ES"/>
        </a:p>
      </dgm:t>
    </dgm:pt>
  </dgm:ptLst>
  <dgm:cxnLst>
    <dgm:cxn modelId="{D634027E-04D4-4A18-BFBF-4E68730BED3E}" type="presOf" srcId="{FE7E8F98-C267-4D66-980F-6A3A211560C9}" destId="{7AC688C8-0C95-481A-ADC2-40A6C9428564}" srcOrd="0" destOrd="0" presId="urn:microsoft.com/office/officeart/2005/8/layout/vList6"/>
    <dgm:cxn modelId="{038D45F2-95F9-49DE-B4DB-9A34AC47490C}" type="presOf" srcId="{9F57DFDE-776F-4148-B844-544FFEDAAF72}" destId="{E1532C5B-D9CC-4333-8621-7A30A56DDC50}" srcOrd="0" destOrd="0" presId="urn:microsoft.com/office/officeart/2005/8/layout/vList6"/>
    <dgm:cxn modelId="{13D07904-7E39-4A8C-8815-FFBDB3C4D94C}" type="presOf" srcId="{24932316-F4D0-4D86-9124-A7B5DE1A4C2F}" destId="{C1683CB7-02AD-485F-BDAE-FAD80F1A57DF}" srcOrd="0" destOrd="1" presId="urn:microsoft.com/office/officeart/2005/8/layout/vList6"/>
    <dgm:cxn modelId="{65D12D57-A4A8-49F1-80EE-7715BE9BECD6}" srcId="{6850A435-D378-4A04-A539-D0555B1969BE}" destId="{133DECD5-E32C-4419-ADA9-50773F846902}" srcOrd="0" destOrd="0" parTransId="{8902DC33-BB09-4155-8711-2F7E1FD54889}" sibTransId="{2A2D56AE-D20D-4BED-BBD5-3A5C295553E7}"/>
    <dgm:cxn modelId="{FB483BC4-DA3F-4DA3-BB51-09A5CE4D7135}" srcId="{9F57DFDE-776F-4148-B844-544FFEDAAF72}" destId="{BC7D9696-069F-4776-AD87-FEA55DC3CB09}" srcOrd="0" destOrd="0" parTransId="{F355000C-A405-4A83-952B-25F440674886}" sibTransId="{21648466-D9C8-45AD-A9F0-8A67EFEC3E29}"/>
    <dgm:cxn modelId="{DA2D452C-15FE-490F-A5D1-448903074531}" srcId="{FE7E8F98-C267-4D66-980F-6A3A211560C9}" destId="{6850A435-D378-4A04-A539-D0555B1969BE}" srcOrd="0" destOrd="0" parTransId="{EAC83A90-41A9-4CC6-8173-A80681438432}" sibTransId="{00871260-AAD8-440A-9D74-AA18A469317B}"/>
    <dgm:cxn modelId="{5A8F0FE6-149A-45B7-85A3-6551DF29D840}" srcId="{09F80CD9-2981-4823-B884-5B2089828A07}" destId="{896017C4-18C0-4774-A271-2D888C5B7120}" srcOrd="0" destOrd="0" parTransId="{DEADC44E-2DBA-455E-8469-413344CE6B77}" sibTransId="{E69F3538-EF78-41F1-AD2B-06F8AABBF663}"/>
    <dgm:cxn modelId="{53B02A43-3B56-46AC-A5AC-6252CE8DF244}" srcId="{FE7E8F98-C267-4D66-980F-6A3A211560C9}" destId="{09F80CD9-2981-4823-B884-5B2089828A07}" srcOrd="2" destOrd="0" parTransId="{3A4E427E-302A-4AAE-AFBE-C4BF527D224F}" sibTransId="{90532A18-F3E2-4C8C-B7C5-5FFDDCDE8A22}"/>
    <dgm:cxn modelId="{51FE1641-CF8C-4A81-8679-94BEABCEA88F}" type="presOf" srcId="{133DECD5-E32C-4419-ADA9-50773F846902}" destId="{84924911-2C0D-4949-A8A9-E1914CE70643}" srcOrd="0" destOrd="0" presId="urn:microsoft.com/office/officeart/2005/8/layout/vList6"/>
    <dgm:cxn modelId="{46D4C490-EC7D-4534-8312-7C98C731CC3D}" type="presOf" srcId="{896017C4-18C0-4774-A271-2D888C5B7120}" destId="{C144E69E-81CE-4F58-A207-F538D590959D}" srcOrd="0" destOrd="0" presId="urn:microsoft.com/office/officeart/2005/8/layout/vList6"/>
    <dgm:cxn modelId="{6D86AD4D-506E-44D0-B0DA-447A65EE9907}" type="presOf" srcId="{BC7D9696-069F-4776-AD87-FEA55DC3CB09}" destId="{C1683CB7-02AD-485F-BDAE-FAD80F1A57DF}" srcOrd="0" destOrd="0" presId="urn:microsoft.com/office/officeart/2005/8/layout/vList6"/>
    <dgm:cxn modelId="{02EBDDF1-7ED9-409A-8589-4564B7290A15}" srcId="{9F57DFDE-776F-4148-B844-544FFEDAAF72}" destId="{24932316-F4D0-4D86-9124-A7B5DE1A4C2F}" srcOrd="1" destOrd="0" parTransId="{5F91023D-9541-4CF9-8B29-D3C83327D545}" sibTransId="{4704A63C-5728-4B49-A150-FE8BAD8F0B54}"/>
    <dgm:cxn modelId="{410CBB72-AB4A-4A99-B4E5-E9EF1BBFC979}" srcId="{FE7E8F98-C267-4D66-980F-6A3A211560C9}" destId="{9F57DFDE-776F-4148-B844-544FFEDAAF72}" srcOrd="1" destOrd="0" parTransId="{4EFDD23D-392B-4197-B52B-F79651D819F5}" sibTransId="{77D795F1-3841-4342-9FC5-68522F959691}"/>
    <dgm:cxn modelId="{C5644519-FBCD-4769-9B9F-8267F5B35663}" type="presOf" srcId="{09F80CD9-2981-4823-B884-5B2089828A07}" destId="{38684BEF-EB73-44D2-8493-FEFC7460AEF2}" srcOrd="0" destOrd="0" presId="urn:microsoft.com/office/officeart/2005/8/layout/vList6"/>
    <dgm:cxn modelId="{D9AB1B9C-985D-43FE-A363-41E7048A1EC8}" type="presOf" srcId="{6850A435-D378-4A04-A539-D0555B1969BE}" destId="{6E4F78F4-0E40-458B-BA89-1705CB44BA6E}" srcOrd="0" destOrd="0" presId="urn:microsoft.com/office/officeart/2005/8/layout/vList6"/>
    <dgm:cxn modelId="{72B21019-86AE-4C61-8326-5D1ACE3FD98E}" type="presParOf" srcId="{7AC688C8-0C95-481A-ADC2-40A6C9428564}" destId="{6F61AECB-3406-4B42-8303-D4D1CF6C6A1D}" srcOrd="0" destOrd="0" presId="urn:microsoft.com/office/officeart/2005/8/layout/vList6"/>
    <dgm:cxn modelId="{A4276C39-9D5B-49AB-808F-219179FCEC9D}" type="presParOf" srcId="{6F61AECB-3406-4B42-8303-D4D1CF6C6A1D}" destId="{6E4F78F4-0E40-458B-BA89-1705CB44BA6E}" srcOrd="0" destOrd="0" presId="urn:microsoft.com/office/officeart/2005/8/layout/vList6"/>
    <dgm:cxn modelId="{73E5F3A6-A549-4D9A-9D2C-B07174B134AA}" type="presParOf" srcId="{6F61AECB-3406-4B42-8303-D4D1CF6C6A1D}" destId="{84924911-2C0D-4949-A8A9-E1914CE70643}" srcOrd="1" destOrd="0" presId="urn:microsoft.com/office/officeart/2005/8/layout/vList6"/>
    <dgm:cxn modelId="{F57D4295-6FCE-4389-8988-8E774EE6FEDA}" type="presParOf" srcId="{7AC688C8-0C95-481A-ADC2-40A6C9428564}" destId="{887C00C9-E6C7-4EF5-AFAA-5BDBDB354E0B}" srcOrd="1" destOrd="0" presId="urn:microsoft.com/office/officeart/2005/8/layout/vList6"/>
    <dgm:cxn modelId="{3CB47C11-09D4-4222-970E-05123E84951B}" type="presParOf" srcId="{7AC688C8-0C95-481A-ADC2-40A6C9428564}" destId="{4B49466A-BB83-4663-8D31-04A49702AD1B}" srcOrd="2" destOrd="0" presId="urn:microsoft.com/office/officeart/2005/8/layout/vList6"/>
    <dgm:cxn modelId="{1B4E54DA-E0BF-4C7E-8796-C829629BF706}" type="presParOf" srcId="{4B49466A-BB83-4663-8D31-04A49702AD1B}" destId="{E1532C5B-D9CC-4333-8621-7A30A56DDC50}" srcOrd="0" destOrd="0" presId="urn:microsoft.com/office/officeart/2005/8/layout/vList6"/>
    <dgm:cxn modelId="{56F6AB13-F1A2-4606-86C9-B3FB6F2A19E8}" type="presParOf" srcId="{4B49466A-BB83-4663-8D31-04A49702AD1B}" destId="{C1683CB7-02AD-485F-BDAE-FAD80F1A57DF}" srcOrd="1" destOrd="0" presId="urn:microsoft.com/office/officeart/2005/8/layout/vList6"/>
    <dgm:cxn modelId="{DFABC5D6-9831-4548-9365-3005B0DAA54F}" type="presParOf" srcId="{7AC688C8-0C95-481A-ADC2-40A6C9428564}" destId="{41586B63-44A3-427B-9800-462154B45A31}" srcOrd="3" destOrd="0" presId="urn:microsoft.com/office/officeart/2005/8/layout/vList6"/>
    <dgm:cxn modelId="{2040F5D8-0E61-43E5-ACAD-88A4D2A0BB60}" type="presParOf" srcId="{7AC688C8-0C95-481A-ADC2-40A6C9428564}" destId="{18D73C74-847B-4CDF-B872-DA6757E4C2F3}" srcOrd="4" destOrd="0" presId="urn:microsoft.com/office/officeart/2005/8/layout/vList6"/>
    <dgm:cxn modelId="{DB0D66F7-6DC2-4311-83ED-685847EFB02A}" type="presParOf" srcId="{18D73C74-847B-4CDF-B872-DA6757E4C2F3}" destId="{38684BEF-EB73-44D2-8493-FEFC7460AEF2}" srcOrd="0" destOrd="0" presId="urn:microsoft.com/office/officeart/2005/8/layout/vList6"/>
    <dgm:cxn modelId="{757A70BE-55E5-4E96-8CF7-25AFBFDEC08B}" type="presParOf" srcId="{18D73C74-847B-4CDF-B872-DA6757E4C2F3}" destId="{C144E69E-81CE-4F58-A207-F538D590959D}" srcOrd="1" destOrd="0" presId="urn:microsoft.com/office/officeart/2005/8/layout/vList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F47C6A7-E755-4328-89A5-BCD68510B27C}" type="doc">
      <dgm:prSet loTypeId="urn:microsoft.com/office/officeart/2005/8/layout/hList1" loCatId="list" qsTypeId="urn:microsoft.com/office/officeart/2005/8/quickstyle/simple2" qsCatId="simple" csTypeId="urn:microsoft.com/office/officeart/2005/8/colors/colorful1" csCatId="colorful" phldr="1"/>
      <dgm:spPr/>
      <dgm:t>
        <a:bodyPr/>
        <a:lstStyle/>
        <a:p>
          <a:endParaRPr lang="es-ES"/>
        </a:p>
      </dgm:t>
    </dgm:pt>
    <dgm:pt modelId="{E4687A00-0685-4232-BE03-7E36A551DD95}">
      <dgm:prSet phldrT="[Texto]" custT="1"/>
      <dgm:spPr>
        <a:xfrm>
          <a:off x="2862" y="63904"/>
          <a:ext cx="1097200" cy="438880"/>
        </a:xfrm>
        <a:prstGeom prst="rect">
          <a:avLst/>
        </a:prstGeom>
        <a:solidFill>
          <a:srgbClr val="C0504D">
            <a:hueOff val="0"/>
            <a:satOff val="0"/>
            <a:lumOff val="0"/>
            <a:alphaOff val="0"/>
          </a:srgbClr>
        </a:solidFill>
        <a:ln w="25400" cap="flat" cmpd="sng" algn="ctr">
          <a:solidFill>
            <a:srgbClr val="C0504D">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Diario de campo</a:t>
          </a:r>
          <a:r>
            <a:rPr lang="es-ES" sz="1000">
              <a:solidFill>
                <a:sysClr val="window" lastClr="FFFFFF"/>
              </a:solidFill>
              <a:latin typeface="Calibri"/>
              <a:ea typeface="+mn-ea"/>
              <a:cs typeface="+mn-cs"/>
            </a:rPr>
            <a:t>: </a:t>
          </a:r>
        </a:p>
      </dgm:t>
    </dgm:pt>
    <dgm:pt modelId="{BB2AC990-EE3E-419E-BAA6-16520D7AA665}" type="parTrans" cxnId="{7C868C0C-59CD-451D-B21C-02659881A259}">
      <dgm:prSet/>
      <dgm:spPr/>
      <dgm:t>
        <a:bodyPr/>
        <a:lstStyle/>
        <a:p>
          <a:pPr algn="ctr"/>
          <a:endParaRPr lang="es-ES" sz="1000"/>
        </a:p>
      </dgm:t>
    </dgm:pt>
    <dgm:pt modelId="{552E2ED2-63F5-42BD-850B-82BB5A65629C}" type="sibTrans" cxnId="{7C868C0C-59CD-451D-B21C-02659881A259}">
      <dgm:prSet/>
      <dgm:spPr/>
      <dgm:t>
        <a:bodyPr/>
        <a:lstStyle/>
        <a:p>
          <a:pPr algn="ctr"/>
          <a:endParaRPr lang="es-ES" sz="1000"/>
        </a:p>
      </dgm:t>
    </dgm:pt>
    <dgm:pt modelId="{C3544E45-45A9-4C26-A112-149591D8F1A6}">
      <dgm:prSet phldrT="[Texto]" custT="1"/>
      <dgm:spPr>
        <a:xfrm>
          <a:off x="2862" y="502785"/>
          <a:ext cx="1097200" cy="3074400"/>
        </a:xfrm>
        <a:prstGeom prst="rect">
          <a:avLst/>
        </a:prstGeom>
        <a:solidFill>
          <a:srgbClr val="C0504D">
            <a:tint val="40000"/>
            <a:alpha val="90000"/>
            <a:hueOff val="0"/>
            <a:satOff val="0"/>
            <a:lumOff val="0"/>
            <a:alphaOff val="0"/>
          </a:srgbClr>
        </a:solidFill>
        <a:ln w="25400" cap="flat" cmpd="sng" algn="ctr">
          <a:solidFill>
            <a:srgbClr val="C0504D">
              <a:tint val="40000"/>
              <a:alpha val="90000"/>
              <a:hueOff val="0"/>
              <a:satOff val="0"/>
              <a:lumOff val="0"/>
              <a:alphaOff val="0"/>
            </a:srgbClr>
          </a:solidFill>
          <a:prstDash val="solid"/>
        </a:ln>
        <a:effectLst/>
      </dgm:spPr>
      <dgm:t>
        <a:bodyPr/>
        <a:lstStyle/>
        <a:p>
          <a:pPr algn="ctr"/>
          <a:r>
            <a:rPr lang="es-ES" sz="1000">
              <a:solidFill>
                <a:sysClr val="windowText" lastClr="000000">
                  <a:hueOff val="0"/>
                  <a:satOff val="0"/>
                  <a:lumOff val="0"/>
                  <a:alphaOff val="0"/>
                </a:sysClr>
              </a:solidFill>
              <a:latin typeface="Calibri"/>
              <a:ea typeface="+mn-ea"/>
              <a:cs typeface="+mn-cs"/>
            </a:rPr>
            <a:t>El equipo educativo recoge información relevante acontecida en el recurso alojativo.  Así mismo, es una herramienta de consulta para dirección-coordinación, que facilita la supervisión de la convivencia. </a:t>
          </a:r>
        </a:p>
      </dgm:t>
    </dgm:pt>
    <dgm:pt modelId="{A59CC5FB-DA54-4ABF-9CE4-9981D75B8E14}" type="parTrans" cxnId="{445A9EE8-421D-4C50-ACA1-2D56462D41D8}">
      <dgm:prSet/>
      <dgm:spPr/>
      <dgm:t>
        <a:bodyPr/>
        <a:lstStyle/>
        <a:p>
          <a:pPr algn="ctr"/>
          <a:endParaRPr lang="es-ES" sz="1000"/>
        </a:p>
      </dgm:t>
    </dgm:pt>
    <dgm:pt modelId="{EF789337-16AB-49B5-B885-AB28DA921D45}" type="sibTrans" cxnId="{445A9EE8-421D-4C50-ACA1-2D56462D41D8}">
      <dgm:prSet/>
      <dgm:spPr/>
      <dgm:t>
        <a:bodyPr/>
        <a:lstStyle/>
        <a:p>
          <a:pPr algn="ctr"/>
          <a:endParaRPr lang="es-ES" sz="1000"/>
        </a:p>
      </dgm:t>
    </dgm:pt>
    <dgm:pt modelId="{3B9F9DB1-50F3-4ACB-A916-BD44B7E0E8A4}">
      <dgm:prSet phldrT="[Texto]" custT="1"/>
      <dgm:spPr>
        <a:xfrm>
          <a:off x="1253670" y="63904"/>
          <a:ext cx="1097200" cy="438880"/>
        </a:xfrm>
        <a:prstGeom prst="rect">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Seguimientos semanales</a:t>
          </a:r>
          <a:r>
            <a:rPr lang="es-ES" sz="1000">
              <a:solidFill>
                <a:sysClr val="window" lastClr="FFFFFF"/>
              </a:solidFill>
              <a:latin typeface="Calibri"/>
              <a:ea typeface="+mn-ea"/>
              <a:cs typeface="+mn-cs"/>
            </a:rPr>
            <a:t>: </a:t>
          </a:r>
        </a:p>
      </dgm:t>
    </dgm:pt>
    <dgm:pt modelId="{C2721D8D-D4B3-431D-91A6-0AE2810A7D02}" type="parTrans" cxnId="{001492B0-2645-4682-9C3D-96D6E9D1D5A8}">
      <dgm:prSet/>
      <dgm:spPr/>
      <dgm:t>
        <a:bodyPr/>
        <a:lstStyle/>
        <a:p>
          <a:pPr algn="ctr"/>
          <a:endParaRPr lang="es-ES" sz="1000"/>
        </a:p>
      </dgm:t>
    </dgm:pt>
    <dgm:pt modelId="{382CDCEE-1C21-4575-A634-3420529B189F}" type="sibTrans" cxnId="{001492B0-2645-4682-9C3D-96D6E9D1D5A8}">
      <dgm:prSet/>
      <dgm:spPr/>
      <dgm:t>
        <a:bodyPr/>
        <a:lstStyle/>
        <a:p>
          <a:pPr algn="ctr"/>
          <a:endParaRPr lang="es-ES" sz="1000"/>
        </a:p>
      </dgm:t>
    </dgm:pt>
    <dgm:pt modelId="{92FF61EF-7178-43C8-B862-E0F618DEAD35}">
      <dgm:prSet phldrT="[Texto]" custT="1"/>
      <dgm:spPr>
        <a:xfrm>
          <a:off x="1253670" y="502785"/>
          <a:ext cx="1097200" cy="3074400"/>
        </a:xfrm>
        <a:prstGeom prst="rect">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ln>
        <a:effectLst/>
      </dgm:spPr>
      <dgm:t>
        <a:bodyPr/>
        <a:lstStyle/>
        <a:p>
          <a:pPr algn="ctr"/>
          <a:r>
            <a:rPr lang="es-ES" sz="1000">
              <a:solidFill>
                <a:sysClr val="windowText" lastClr="000000">
                  <a:hueOff val="0"/>
                  <a:satOff val="0"/>
                  <a:lumOff val="0"/>
                  <a:alphaOff val="0"/>
                </a:sysClr>
              </a:solidFill>
              <a:latin typeface="Calibri"/>
              <a:ea typeface="+mn-ea"/>
              <a:cs typeface="+mn-cs"/>
            </a:rPr>
            <a:t>Semanalmente, en las reuniones de equipo se recoge información relevante sobre las mujeres y sus procesos individuales con la finalidad de revisar los objetivos planteados por las diferentes áreas y la interrelación de las mismas en su consecución. </a:t>
          </a:r>
        </a:p>
      </dgm:t>
    </dgm:pt>
    <dgm:pt modelId="{FF7924C1-064C-4076-ADCC-CA996642CCF8}" type="parTrans" cxnId="{6389C3A5-ACD6-41A2-BF86-E771482FD900}">
      <dgm:prSet/>
      <dgm:spPr/>
      <dgm:t>
        <a:bodyPr/>
        <a:lstStyle/>
        <a:p>
          <a:pPr algn="ctr"/>
          <a:endParaRPr lang="es-ES" sz="1000"/>
        </a:p>
      </dgm:t>
    </dgm:pt>
    <dgm:pt modelId="{791AF802-E00E-4048-AB1B-E435FCD72FBA}" type="sibTrans" cxnId="{6389C3A5-ACD6-41A2-BF86-E771482FD900}">
      <dgm:prSet/>
      <dgm:spPr/>
      <dgm:t>
        <a:bodyPr/>
        <a:lstStyle/>
        <a:p>
          <a:pPr algn="ctr"/>
          <a:endParaRPr lang="es-ES" sz="1000"/>
        </a:p>
      </dgm:t>
    </dgm:pt>
    <dgm:pt modelId="{7432129C-13BF-4632-BA1F-EFA8BB2F4363}">
      <dgm:prSet phldrT="[Texto]" custT="1"/>
      <dgm:spPr>
        <a:xfrm>
          <a:off x="2504479" y="63904"/>
          <a:ext cx="1097200" cy="438880"/>
        </a:xfrm>
        <a:prstGeom prst="rect">
          <a:avLst/>
        </a:prstGeom>
        <a:solidFill>
          <a:srgbClr val="8064A2">
            <a:hueOff val="0"/>
            <a:satOff val="0"/>
            <a:lumOff val="0"/>
            <a:alphaOff val="0"/>
          </a:srgbClr>
        </a:solidFill>
        <a:ln w="25400" cap="flat" cmpd="sng" algn="ctr">
          <a:solidFill>
            <a:srgbClr val="8064A2">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Expediente individual</a:t>
          </a:r>
          <a:r>
            <a:rPr lang="es-ES" sz="1000">
              <a:solidFill>
                <a:sysClr val="window" lastClr="FFFFFF"/>
              </a:solidFill>
              <a:latin typeface="Calibri"/>
              <a:ea typeface="+mn-ea"/>
              <a:cs typeface="+mn-cs"/>
            </a:rPr>
            <a:t>: </a:t>
          </a:r>
        </a:p>
      </dgm:t>
    </dgm:pt>
    <dgm:pt modelId="{95038A29-B713-4450-865E-48A2F923F93C}" type="parTrans" cxnId="{9B3A8ACF-C596-4F68-AC65-7A5F04B5EF6D}">
      <dgm:prSet/>
      <dgm:spPr/>
      <dgm:t>
        <a:bodyPr/>
        <a:lstStyle/>
        <a:p>
          <a:pPr algn="ctr"/>
          <a:endParaRPr lang="es-ES" sz="1000"/>
        </a:p>
      </dgm:t>
    </dgm:pt>
    <dgm:pt modelId="{60FB256C-AB57-468B-A74D-44073EB21537}" type="sibTrans" cxnId="{9B3A8ACF-C596-4F68-AC65-7A5F04B5EF6D}">
      <dgm:prSet/>
      <dgm:spPr/>
      <dgm:t>
        <a:bodyPr/>
        <a:lstStyle/>
        <a:p>
          <a:pPr algn="ctr"/>
          <a:endParaRPr lang="es-ES" sz="1000"/>
        </a:p>
      </dgm:t>
    </dgm:pt>
    <dgm:pt modelId="{0A428A57-091E-4E45-8BAB-FF47DC598688}">
      <dgm:prSet phldrT="[Texto]" custT="1"/>
      <dgm:spPr>
        <a:xfrm>
          <a:off x="2504479" y="502785"/>
          <a:ext cx="1097200" cy="3074400"/>
        </a:xfrm>
        <a:prstGeom prst="rect">
          <a:avLst/>
        </a:prstGeom>
        <a:solidFill>
          <a:srgbClr val="8064A2">
            <a:tint val="40000"/>
            <a:alpha val="90000"/>
            <a:hueOff val="0"/>
            <a:satOff val="0"/>
            <a:lumOff val="0"/>
            <a:alphaOff val="0"/>
          </a:srgbClr>
        </a:solidFill>
        <a:ln w="25400" cap="flat" cmpd="sng" algn="ctr">
          <a:solidFill>
            <a:srgbClr val="8064A2">
              <a:tint val="40000"/>
              <a:alpha val="90000"/>
              <a:hueOff val="0"/>
              <a:satOff val="0"/>
              <a:lumOff val="0"/>
              <a:alphaOff val="0"/>
            </a:srgbClr>
          </a:solidFill>
          <a:prstDash val="solid"/>
        </a:ln>
        <a:effectLst/>
      </dgm:spPr>
      <dgm:t>
        <a:bodyPr/>
        <a:lstStyle/>
        <a:p>
          <a:pPr algn="ctr"/>
          <a:r>
            <a:rPr lang="es-ES" sz="1000">
              <a:solidFill>
                <a:sysClr val="windowText" lastClr="000000">
                  <a:hueOff val="0"/>
                  <a:satOff val="0"/>
                  <a:lumOff val="0"/>
                  <a:alphaOff val="0"/>
                </a:sysClr>
              </a:solidFill>
              <a:latin typeface="Calibri"/>
              <a:ea typeface="+mn-ea"/>
              <a:cs typeface="+mn-cs"/>
            </a:rPr>
            <a:t>Documento técnico, en el cuál se vuelca información sobre las intervenciones realizadas. Se trata de una herramienta de intercambio de información entre todo el equipo interdisciplinar que acompaña a la mujer. </a:t>
          </a:r>
        </a:p>
      </dgm:t>
    </dgm:pt>
    <dgm:pt modelId="{A44AAED3-7FB2-419C-8AA9-AEEDD56B1C18}" type="parTrans" cxnId="{3AD7F3C5-2DD8-4A75-861A-A31630980426}">
      <dgm:prSet/>
      <dgm:spPr/>
      <dgm:t>
        <a:bodyPr/>
        <a:lstStyle/>
        <a:p>
          <a:pPr algn="ctr"/>
          <a:endParaRPr lang="es-ES" sz="1000"/>
        </a:p>
      </dgm:t>
    </dgm:pt>
    <dgm:pt modelId="{1017AB1B-9A94-4469-96EC-21CEC50C6F26}" type="sibTrans" cxnId="{3AD7F3C5-2DD8-4A75-861A-A31630980426}">
      <dgm:prSet/>
      <dgm:spPr/>
      <dgm:t>
        <a:bodyPr/>
        <a:lstStyle/>
        <a:p>
          <a:pPr algn="ctr"/>
          <a:endParaRPr lang="es-ES" sz="1000"/>
        </a:p>
      </dgm:t>
    </dgm:pt>
    <dgm:pt modelId="{50AE48FB-F54A-4003-B895-FF023B63CF71}">
      <dgm:prSet custT="1"/>
      <dgm:spPr>
        <a:xfrm>
          <a:off x="3755288" y="63904"/>
          <a:ext cx="1097200" cy="438880"/>
        </a:xfrm>
        <a:prstGeom prst="rect">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Email y Teléfono 24 horas</a:t>
          </a:r>
        </a:p>
      </dgm:t>
    </dgm:pt>
    <dgm:pt modelId="{EE2B5398-4408-4316-8293-F2919CEC536C}" type="parTrans" cxnId="{38E491AC-8101-46F5-9A77-0B2F1C7EF233}">
      <dgm:prSet/>
      <dgm:spPr/>
      <dgm:t>
        <a:bodyPr/>
        <a:lstStyle/>
        <a:p>
          <a:pPr algn="ctr"/>
          <a:endParaRPr lang="es-ES" sz="1000"/>
        </a:p>
      </dgm:t>
    </dgm:pt>
    <dgm:pt modelId="{32C75EC2-0891-4F6F-8EF8-855104D68D97}" type="sibTrans" cxnId="{38E491AC-8101-46F5-9A77-0B2F1C7EF233}">
      <dgm:prSet/>
      <dgm:spPr/>
      <dgm:t>
        <a:bodyPr/>
        <a:lstStyle/>
        <a:p>
          <a:pPr algn="ctr"/>
          <a:endParaRPr lang="es-ES" sz="1000"/>
        </a:p>
      </dgm:t>
    </dgm:pt>
    <dgm:pt modelId="{ED042B93-35B5-40CA-B909-3E1C3FA0C537}">
      <dgm:prSet custT="1"/>
      <dgm:spPr>
        <a:xfrm>
          <a:off x="5006097" y="63904"/>
          <a:ext cx="1097200" cy="438880"/>
        </a:xfrm>
        <a:prstGeom prst="rect">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Hojas de valoración semanales</a:t>
          </a:r>
        </a:p>
      </dgm:t>
    </dgm:pt>
    <dgm:pt modelId="{B65E56E0-52A4-40CE-8080-6F281710CC64}" type="parTrans" cxnId="{46781030-13D6-461C-B886-8C9EB1C141AC}">
      <dgm:prSet/>
      <dgm:spPr/>
      <dgm:t>
        <a:bodyPr/>
        <a:lstStyle/>
        <a:p>
          <a:pPr algn="ctr"/>
          <a:endParaRPr lang="es-ES" sz="1000"/>
        </a:p>
      </dgm:t>
    </dgm:pt>
    <dgm:pt modelId="{01E78116-CB00-4290-ACAC-206969470C14}" type="sibTrans" cxnId="{46781030-13D6-461C-B886-8C9EB1C141AC}">
      <dgm:prSet/>
      <dgm:spPr/>
      <dgm:t>
        <a:bodyPr/>
        <a:lstStyle/>
        <a:p>
          <a:pPr algn="ctr"/>
          <a:endParaRPr lang="es-ES" sz="1000"/>
        </a:p>
      </dgm:t>
    </dgm:pt>
    <dgm:pt modelId="{4F60731D-328C-4D95-801C-C4F9E2747BF4}">
      <dgm:prSet custT="1"/>
      <dgm:spPr>
        <a:xfrm>
          <a:off x="3755288" y="502785"/>
          <a:ext cx="1097200" cy="3074400"/>
        </a:xfrm>
        <a:prstGeom prst="rect">
          <a:avLst/>
        </a:prstGeom>
        <a:solidFill>
          <a:srgbClr val="4BACC6">
            <a:tint val="40000"/>
            <a:alpha val="90000"/>
            <a:hueOff val="0"/>
            <a:satOff val="0"/>
            <a:lumOff val="0"/>
            <a:alphaOff val="0"/>
          </a:srgbClr>
        </a:solidFill>
        <a:ln w="25400" cap="flat" cmpd="sng" algn="ctr">
          <a:solidFill>
            <a:srgbClr val="4BACC6">
              <a:tint val="40000"/>
              <a:alpha val="90000"/>
              <a:hueOff val="0"/>
              <a:satOff val="0"/>
              <a:lumOff val="0"/>
              <a:alphaOff val="0"/>
            </a:srgbClr>
          </a:solidFill>
          <a:prstDash val="solid"/>
        </a:ln>
        <a:effectLst/>
      </dgm:spPr>
      <dgm:t>
        <a:bodyPr/>
        <a:lstStyle/>
        <a:p>
          <a:pPr algn="ctr"/>
          <a:r>
            <a:rPr lang="es-ES" sz="1000">
              <a:solidFill>
                <a:sysClr val="windowText" lastClr="000000">
                  <a:hueOff val="0"/>
                  <a:satOff val="0"/>
                  <a:lumOff val="0"/>
                  <a:alphaOff val="0"/>
                </a:sysClr>
              </a:solidFill>
              <a:latin typeface="Calibri"/>
              <a:ea typeface="+mn-ea"/>
              <a:cs typeface="+mn-cs"/>
            </a:rPr>
            <a:t>Estas herramientas se utilizan normalmente entre el área de coordinación/dirección y equipo educativo y su finalidad es la de hacer llegar información sobre citación de las mujeres, toma de decisiones relevantes, informar de incidencias o urgencias, etc. </a:t>
          </a:r>
        </a:p>
      </dgm:t>
    </dgm:pt>
    <dgm:pt modelId="{727CD8F0-A924-455F-B40D-A24E040B8D8B}" type="parTrans" cxnId="{0C3B8237-9457-47AA-A461-13B05EBA3AA8}">
      <dgm:prSet/>
      <dgm:spPr/>
      <dgm:t>
        <a:bodyPr/>
        <a:lstStyle/>
        <a:p>
          <a:pPr algn="ctr"/>
          <a:endParaRPr lang="es-ES" sz="1000"/>
        </a:p>
      </dgm:t>
    </dgm:pt>
    <dgm:pt modelId="{2BA01632-3BF6-41DD-985D-4764E58603D4}" type="sibTrans" cxnId="{0C3B8237-9457-47AA-A461-13B05EBA3AA8}">
      <dgm:prSet/>
      <dgm:spPr/>
      <dgm:t>
        <a:bodyPr/>
        <a:lstStyle/>
        <a:p>
          <a:pPr algn="ctr"/>
          <a:endParaRPr lang="es-ES" sz="1000"/>
        </a:p>
      </dgm:t>
    </dgm:pt>
    <dgm:pt modelId="{D1FAEDC9-992C-4367-8C4F-0336CC4186E8}">
      <dgm:prSet custT="1"/>
      <dgm:spPr>
        <a:xfrm>
          <a:off x="5006097" y="502785"/>
          <a:ext cx="1097200" cy="3074400"/>
        </a:xfrm>
        <a:prstGeom prst="rect">
          <a:avLst/>
        </a:prstGeom>
        <a:solidFill>
          <a:srgbClr val="F79646">
            <a:tint val="40000"/>
            <a:alpha val="90000"/>
            <a:hueOff val="0"/>
            <a:satOff val="0"/>
            <a:lumOff val="0"/>
            <a:alphaOff val="0"/>
          </a:srgbClr>
        </a:solidFill>
        <a:ln w="25400" cap="flat" cmpd="sng" algn="ctr">
          <a:solidFill>
            <a:srgbClr val="F79646">
              <a:tint val="40000"/>
              <a:alpha val="90000"/>
              <a:hueOff val="0"/>
              <a:satOff val="0"/>
              <a:lumOff val="0"/>
              <a:alphaOff val="0"/>
            </a:srgbClr>
          </a:solidFill>
          <a:prstDash val="solid"/>
        </a:ln>
        <a:effectLst/>
      </dgm:spPr>
      <dgm:t>
        <a:bodyPr/>
        <a:lstStyle/>
        <a:p>
          <a:pPr algn="ctr"/>
          <a:r>
            <a:rPr lang="es-ES" sz="1000">
              <a:solidFill>
                <a:sysClr val="windowText" lastClr="000000">
                  <a:hueOff val="0"/>
                  <a:satOff val="0"/>
                  <a:lumOff val="0"/>
                  <a:alphaOff val="0"/>
                </a:sysClr>
              </a:solidFill>
              <a:latin typeface="Calibri"/>
              <a:ea typeface="+mn-ea"/>
              <a:cs typeface="+mn-cs"/>
            </a:rPr>
            <a:t>En ellas se evalúa con puntuación del 1 al 5,  las dimensiones educativas en relación al proceso de cada mujer. 1 equivale a una valoración muy negativa y 5 equivale a muy positiva. Las puntuaciones 1 y 2 deben ir acompañadas de una propuesta de intervención educativa. También se recoge, las potencialidades</a:t>
          </a:r>
        </a:p>
      </dgm:t>
    </dgm:pt>
    <dgm:pt modelId="{2911E03C-A152-48E2-B57F-8F3665113C92}" type="parTrans" cxnId="{5792BA57-C7AB-464E-89C1-2B98B478F4C5}">
      <dgm:prSet/>
      <dgm:spPr/>
      <dgm:t>
        <a:bodyPr/>
        <a:lstStyle/>
        <a:p>
          <a:pPr algn="ctr"/>
          <a:endParaRPr lang="es-ES" sz="1000"/>
        </a:p>
      </dgm:t>
    </dgm:pt>
    <dgm:pt modelId="{64CFBF28-6A06-4F27-9D04-0E5B7B3DF409}" type="sibTrans" cxnId="{5792BA57-C7AB-464E-89C1-2B98B478F4C5}">
      <dgm:prSet/>
      <dgm:spPr/>
      <dgm:t>
        <a:bodyPr/>
        <a:lstStyle/>
        <a:p>
          <a:pPr algn="ctr"/>
          <a:endParaRPr lang="es-ES" sz="1000"/>
        </a:p>
      </dgm:t>
    </dgm:pt>
    <dgm:pt modelId="{B48A3931-436C-42E4-B2ED-5ED91A80AB6A}" type="pres">
      <dgm:prSet presAssocID="{3F47C6A7-E755-4328-89A5-BCD68510B27C}" presName="Name0" presStyleCnt="0">
        <dgm:presLayoutVars>
          <dgm:dir/>
          <dgm:animLvl val="lvl"/>
          <dgm:resizeHandles val="exact"/>
        </dgm:presLayoutVars>
      </dgm:prSet>
      <dgm:spPr/>
      <dgm:t>
        <a:bodyPr/>
        <a:lstStyle/>
        <a:p>
          <a:endParaRPr lang="es-ES"/>
        </a:p>
      </dgm:t>
    </dgm:pt>
    <dgm:pt modelId="{644E70C3-814E-4469-87EF-01C2462AAA9D}" type="pres">
      <dgm:prSet presAssocID="{E4687A00-0685-4232-BE03-7E36A551DD95}" presName="composite" presStyleCnt="0"/>
      <dgm:spPr/>
    </dgm:pt>
    <dgm:pt modelId="{A0F2E523-0B20-4C58-A7D3-C147DA0F7BA2}" type="pres">
      <dgm:prSet presAssocID="{E4687A00-0685-4232-BE03-7E36A551DD95}" presName="parTx" presStyleLbl="alignNode1" presStyleIdx="0" presStyleCnt="5">
        <dgm:presLayoutVars>
          <dgm:chMax val="0"/>
          <dgm:chPref val="0"/>
          <dgm:bulletEnabled val="1"/>
        </dgm:presLayoutVars>
      </dgm:prSet>
      <dgm:spPr/>
      <dgm:t>
        <a:bodyPr/>
        <a:lstStyle/>
        <a:p>
          <a:endParaRPr lang="es-ES"/>
        </a:p>
      </dgm:t>
    </dgm:pt>
    <dgm:pt modelId="{B6D02A97-BEAF-4E34-A2B8-92AE332301B7}" type="pres">
      <dgm:prSet presAssocID="{E4687A00-0685-4232-BE03-7E36A551DD95}" presName="desTx" presStyleLbl="alignAccFollowNode1" presStyleIdx="0" presStyleCnt="5">
        <dgm:presLayoutVars>
          <dgm:bulletEnabled val="1"/>
        </dgm:presLayoutVars>
      </dgm:prSet>
      <dgm:spPr/>
      <dgm:t>
        <a:bodyPr/>
        <a:lstStyle/>
        <a:p>
          <a:endParaRPr lang="es-ES"/>
        </a:p>
      </dgm:t>
    </dgm:pt>
    <dgm:pt modelId="{12ED27CC-3674-445E-8512-5D1C76E400DF}" type="pres">
      <dgm:prSet presAssocID="{552E2ED2-63F5-42BD-850B-82BB5A65629C}" presName="space" presStyleCnt="0"/>
      <dgm:spPr/>
    </dgm:pt>
    <dgm:pt modelId="{994AE9F9-E2BF-49DD-9943-7C0E082CD3B3}" type="pres">
      <dgm:prSet presAssocID="{3B9F9DB1-50F3-4ACB-A916-BD44B7E0E8A4}" presName="composite" presStyleCnt="0"/>
      <dgm:spPr/>
    </dgm:pt>
    <dgm:pt modelId="{838DDB65-C536-4BD7-8610-DBD631B89AD9}" type="pres">
      <dgm:prSet presAssocID="{3B9F9DB1-50F3-4ACB-A916-BD44B7E0E8A4}" presName="parTx" presStyleLbl="alignNode1" presStyleIdx="1" presStyleCnt="5">
        <dgm:presLayoutVars>
          <dgm:chMax val="0"/>
          <dgm:chPref val="0"/>
          <dgm:bulletEnabled val="1"/>
        </dgm:presLayoutVars>
      </dgm:prSet>
      <dgm:spPr/>
      <dgm:t>
        <a:bodyPr/>
        <a:lstStyle/>
        <a:p>
          <a:endParaRPr lang="es-ES"/>
        </a:p>
      </dgm:t>
    </dgm:pt>
    <dgm:pt modelId="{4333C695-2C9D-461E-A10F-B3BB049E3E5F}" type="pres">
      <dgm:prSet presAssocID="{3B9F9DB1-50F3-4ACB-A916-BD44B7E0E8A4}" presName="desTx" presStyleLbl="alignAccFollowNode1" presStyleIdx="1" presStyleCnt="5">
        <dgm:presLayoutVars>
          <dgm:bulletEnabled val="1"/>
        </dgm:presLayoutVars>
      </dgm:prSet>
      <dgm:spPr/>
      <dgm:t>
        <a:bodyPr/>
        <a:lstStyle/>
        <a:p>
          <a:endParaRPr lang="es-ES"/>
        </a:p>
      </dgm:t>
    </dgm:pt>
    <dgm:pt modelId="{CEDEA5F4-EAD5-429D-9485-A44D443786BF}" type="pres">
      <dgm:prSet presAssocID="{382CDCEE-1C21-4575-A634-3420529B189F}" presName="space" presStyleCnt="0"/>
      <dgm:spPr/>
    </dgm:pt>
    <dgm:pt modelId="{4C2BE93C-2F8A-40A0-9FE9-96C21B3EEC2D}" type="pres">
      <dgm:prSet presAssocID="{7432129C-13BF-4632-BA1F-EFA8BB2F4363}" presName="composite" presStyleCnt="0"/>
      <dgm:spPr/>
    </dgm:pt>
    <dgm:pt modelId="{E3AED90F-AA80-43DD-AA9A-C9FE2CB68C58}" type="pres">
      <dgm:prSet presAssocID="{7432129C-13BF-4632-BA1F-EFA8BB2F4363}" presName="parTx" presStyleLbl="alignNode1" presStyleIdx="2" presStyleCnt="5">
        <dgm:presLayoutVars>
          <dgm:chMax val="0"/>
          <dgm:chPref val="0"/>
          <dgm:bulletEnabled val="1"/>
        </dgm:presLayoutVars>
      </dgm:prSet>
      <dgm:spPr/>
      <dgm:t>
        <a:bodyPr/>
        <a:lstStyle/>
        <a:p>
          <a:endParaRPr lang="es-ES"/>
        </a:p>
      </dgm:t>
    </dgm:pt>
    <dgm:pt modelId="{83474A76-B1E2-4060-8073-8ACAFEB88A3D}" type="pres">
      <dgm:prSet presAssocID="{7432129C-13BF-4632-BA1F-EFA8BB2F4363}" presName="desTx" presStyleLbl="alignAccFollowNode1" presStyleIdx="2" presStyleCnt="5">
        <dgm:presLayoutVars>
          <dgm:bulletEnabled val="1"/>
        </dgm:presLayoutVars>
      </dgm:prSet>
      <dgm:spPr/>
      <dgm:t>
        <a:bodyPr/>
        <a:lstStyle/>
        <a:p>
          <a:endParaRPr lang="es-ES"/>
        </a:p>
      </dgm:t>
    </dgm:pt>
    <dgm:pt modelId="{E1838E4F-54AA-4328-BF7C-83A2E547E18A}" type="pres">
      <dgm:prSet presAssocID="{60FB256C-AB57-468B-A74D-44073EB21537}" presName="space" presStyleCnt="0"/>
      <dgm:spPr/>
    </dgm:pt>
    <dgm:pt modelId="{1759CCCA-A198-43D2-9D1D-599D567C269D}" type="pres">
      <dgm:prSet presAssocID="{50AE48FB-F54A-4003-B895-FF023B63CF71}" presName="composite" presStyleCnt="0"/>
      <dgm:spPr/>
    </dgm:pt>
    <dgm:pt modelId="{AE7CAE2C-5CF5-451B-BCF8-8E713360D119}" type="pres">
      <dgm:prSet presAssocID="{50AE48FB-F54A-4003-B895-FF023B63CF71}" presName="parTx" presStyleLbl="alignNode1" presStyleIdx="3" presStyleCnt="5">
        <dgm:presLayoutVars>
          <dgm:chMax val="0"/>
          <dgm:chPref val="0"/>
          <dgm:bulletEnabled val="1"/>
        </dgm:presLayoutVars>
      </dgm:prSet>
      <dgm:spPr/>
      <dgm:t>
        <a:bodyPr/>
        <a:lstStyle/>
        <a:p>
          <a:endParaRPr lang="es-ES"/>
        </a:p>
      </dgm:t>
    </dgm:pt>
    <dgm:pt modelId="{57DC32A7-C340-4484-AFC0-F882273DF4D6}" type="pres">
      <dgm:prSet presAssocID="{50AE48FB-F54A-4003-B895-FF023B63CF71}" presName="desTx" presStyleLbl="alignAccFollowNode1" presStyleIdx="3" presStyleCnt="5">
        <dgm:presLayoutVars>
          <dgm:bulletEnabled val="1"/>
        </dgm:presLayoutVars>
      </dgm:prSet>
      <dgm:spPr/>
      <dgm:t>
        <a:bodyPr/>
        <a:lstStyle/>
        <a:p>
          <a:endParaRPr lang="es-ES"/>
        </a:p>
      </dgm:t>
    </dgm:pt>
    <dgm:pt modelId="{21836BB2-77ED-4602-8CE4-680B730A59B7}" type="pres">
      <dgm:prSet presAssocID="{32C75EC2-0891-4F6F-8EF8-855104D68D97}" presName="space" presStyleCnt="0"/>
      <dgm:spPr/>
    </dgm:pt>
    <dgm:pt modelId="{DCA470D8-B9D9-4DF9-AA7B-4E14F9758404}" type="pres">
      <dgm:prSet presAssocID="{ED042B93-35B5-40CA-B909-3E1C3FA0C537}" presName="composite" presStyleCnt="0"/>
      <dgm:spPr/>
    </dgm:pt>
    <dgm:pt modelId="{5FCC2AD1-ABB9-4856-A04D-CFA3B5EE3D9B}" type="pres">
      <dgm:prSet presAssocID="{ED042B93-35B5-40CA-B909-3E1C3FA0C537}" presName="parTx" presStyleLbl="alignNode1" presStyleIdx="4" presStyleCnt="5">
        <dgm:presLayoutVars>
          <dgm:chMax val="0"/>
          <dgm:chPref val="0"/>
          <dgm:bulletEnabled val="1"/>
        </dgm:presLayoutVars>
      </dgm:prSet>
      <dgm:spPr/>
      <dgm:t>
        <a:bodyPr/>
        <a:lstStyle/>
        <a:p>
          <a:endParaRPr lang="es-ES"/>
        </a:p>
      </dgm:t>
    </dgm:pt>
    <dgm:pt modelId="{AB33FA8D-CC91-486B-A6A0-7845FD7D35E7}" type="pres">
      <dgm:prSet presAssocID="{ED042B93-35B5-40CA-B909-3E1C3FA0C537}" presName="desTx" presStyleLbl="alignAccFollowNode1" presStyleIdx="4" presStyleCnt="5">
        <dgm:presLayoutVars>
          <dgm:bulletEnabled val="1"/>
        </dgm:presLayoutVars>
      </dgm:prSet>
      <dgm:spPr/>
      <dgm:t>
        <a:bodyPr/>
        <a:lstStyle/>
        <a:p>
          <a:endParaRPr lang="es-ES"/>
        </a:p>
      </dgm:t>
    </dgm:pt>
  </dgm:ptLst>
  <dgm:cxnLst>
    <dgm:cxn modelId="{1174FE65-BEC8-41DB-AEB9-2D7A30C4785B}" type="presOf" srcId="{4F60731D-328C-4D95-801C-C4F9E2747BF4}" destId="{57DC32A7-C340-4484-AFC0-F882273DF4D6}" srcOrd="0" destOrd="0" presId="urn:microsoft.com/office/officeart/2005/8/layout/hList1"/>
    <dgm:cxn modelId="{875C8942-FC72-4013-B31F-2B837AC818D5}" type="presOf" srcId="{ED042B93-35B5-40CA-B909-3E1C3FA0C537}" destId="{5FCC2AD1-ABB9-4856-A04D-CFA3B5EE3D9B}" srcOrd="0" destOrd="0" presId="urn:microsoft.com/office/officeart/2005/8/layout/hList1"/>
    <dgm:cxn modelId="{6389C3A5-ACD6-41A2-BF86-E771482FD900}" srcId="{3B9F9DB1-50F3-4ACB-A916-BD44B7E0E8A4}" destId="{92FF61EF-7178-43C8-B862-E0F618DEAD35}" srcOrd="0" destOrd="0" parTransId="{FF7924C1-064C-4076-ADCC-CA996642CCF8}" sibTransId="{791AF802-E00E-4048-AB1B-E435FCD72FBA}"/>
    <dgm:cxn modelId="{FF3A7F64-67AA-4B3B-94AF-1F0A623E9BC2}" type="presOf" srcId="{C3544E45-45A9-4C26-A112-149591D8F1A6}" destId="{B6D02A97-BEAF-4E34-A2B8-92AE332301B7}" srcOrd="0" destOrd="0" presId="urn:microsoft.com/office/officeart/2005/8/layout/hList1"/>
    <dgm:cxn modelId="{5792BA57-C7AB-464E-89C1-2B98B478F4C5}" srcId="{ED042B93-35B5-40CA-B909-3E1C3FA0C537}" destId="{D1FAEDC9-992C-4367-8C4F-0336CC4186E8}" srcOrd="0" destOrd="0" parTransId="{2911E03C-A152-48E2-B57F-8F3665113C92}" sibTransId="{64CFBF28-6A06-4F27-9D04-0E5B7B3DF409}"/>
    <dgm:cxn modelId="{445A9EE8-421D-4C50-ACA1-2D56462D41D8}" srcId="{E4687A00-0685-4232-BE03-7E36A551DD95}" destId="{C3544E45-45A9-4C26-A112-149591D8F1A6}" srcOrd="0" destOrd="0" parTransId="{A59CC5FB-DA54-4ABF-9CE4-9981D75B8E14}" sibTransId="{EF789337-16AB-49B5-B885-AB28DA921D45}"/>
    <dgm:cxn modelId="{3AD7F3C5-2DD8-4A75-861A-A31630980426}" srcId="{7432129C-13BF-4632-BA1F-EFA8BB2F4363}" destId="{0A428A57-091E-4E45-8BAB-FF47DC598688}" srcOrd="0" destOrd="0" parTransId="{A44AAED3-7FB2-419C-8AA9-AEEDD56B1C18}" sibTransId="{1017AB1B-9A94-4469-96EC-21CEC50C6F26}"/>
    <dgm:cxn modelId="{1FF98DE2-14EB-4538-AFC7-E100B70698D8}" type="presOf" srcId="{92FF61EF-7178-43C8-B862-E0F618DEAD35}" destId="{4333C695-2C9D-461E-A10F-B3BB049E3E5F}" srcOrd="0" destOrd="0" presId="urn:microsoft.com/office/officeart/2005/8/layout/hList1"/>
    <dgm:cxn modelId="{99EB5475-89E1-4556-A221-C2C8213BB02F}" type="presOf" srcId="{0A428A57-091E-4E45-8BAB-FF47DC598688}" destId="{83474A76-B1E2-4060-8073-8ACAFEB88A3D}" srcOrd="0" destOrd="0" presId="urn:microsoft.com/office/officeart/2005/8/layout/hList1"/>
    <dgm:cxn modelId="{63882DBB-F8D3-44A8-9081-E2B5A492AA89}" type="presOf" srcId="{3F47C6A7-E755-4328-89A5-BCD68510B27C}" destId="{B48A3931-436C-42E4-B2ED-5ED91A80AB6A}" srcOrd="0" destOrd="0" presId="urn:microsoft.com/office/officeart/2005/8/layout/hList1"/>
    <dgm:cxn modelId="{FBFA58B9-D77D-4357-8DB7-24745B454AFE}" type="presOf" srcId="{E4687A00-0685-4232-BE03-7E36A551DD95}" destId="{A0F2E523-0B20-4C58-A7D3-C147DA0F7BA2}" srcOrd="0" destOrd="0" presId="urn:microsoft.com/office/officeart/2005/8/layout/hList1"/>
    <dgm:cxn modelId="{9B3A8ACF-C596-4F68-AC65-7A5F04B5EF6D}" srcId="{3F47C6A7-E755-4328-89A5-BCD68510B27C}" destId="{7432129C-13BF-4632-BA1F-EFA8BB2F4363}" srcOrd="2" destOrd="0" parTransId="{95038A29-B713-4450-865E-48A2F923F93C}" sibTransId="{60FB256C-AB57-468B-A74D-44073EB21537}"/>
    <dgm:cxn modelId="{38E491AC-8101-46F5-9A77-0B2F1C7EF233}" srcId="{3F47C6A7-E755-4328-89A5-BCD68510B27C}" destId="{50AE48FB-F54A-4003-B895-FF023B63CF71}" srcOrd="3" destOrd="0" parTransId="{EE2B5398-4408-4316-8293-F2919CEC536C}" sibTransId="{32C75EC2-0891-4F6F-8EF8-855104D68D97}"/>
    <dgm:cxn modelId="{46781030-13D6-461C-B886-8C9EB1C141AC}" srcId="{3F47C6A7-E755-4328-89A5-BCD68510B27C}" destId="{ED042B93-35B5-40CA-B909-3E1C3FA0C537}" srcOrd="4" destOrd="0" parTransId="{B65E56E0-52A4-40CE-8080-6F281710CC64}" sibTransId="{01E78116-CB00-4290-ACAC-206969470C14}"/>
    <dgm:cxn modelId="{FD81259A-D748-46C3-818B-F31EF963C1DC}" type="presOf" srcId="{3B9F9DB1-50F3-4ACB-A916-BD44B7E0E8A4}" destId="{838DDB65-C536-4BD7-8610-DBD631B89AD9}" srcOrd="0" destOrd="0" presId="urn:microsoft.com/office/officeart/2005/8/layout/hList1"/>
    <dgm:cxn modelId="{001492B0-2645-4682-9C3D-96D6E9D1D5A8}" srcId="{3F47C6A7-E755-4328-89A5-BCD68510B27C}" destId="{3B9F9DB1-50F3-4ACB-A916-BD44B7E0E8A4}" srcOrd="1" destOrd="0" parTransId="{C2721D8D-D4B3-431D-91A6-0AE2810A7D02}" sibTransId="{382CDCEE-1C21-4575-A634-3420529B189F}"/>
    <dgm:cxn modelId="{FA358FBE-D68E-44C3-BBB2-CD8F057E718F}" type="presOf" srcId="{7432129C-13BF-4632-BA1F-EFA8BB2F4363}" destId="{E3AED90F-AA80-43DD-AA9A-C9FE2CB68C58}" srcOrd="0" destOrd="0" presId="urn:microsoft.com/office/officeart/2005/8/layout/hList1"/>
    <dgm:cxn modelId="{B4473457-D810-44F0-B232-35D319B0DBA7}" type="presOf" srcId="{D1FAEDC9-992C-4367-8C4F-0336CC4186E8}" destId="{AB33FA8D-CC91-486B-A6A0-7845FD7D35E7}" srcOrd="0" destOrd="0" presId="urn:microsoft.com/office/officeart/2005/8/layout/hList1"/>
    <dgm:cxn modelId="{0C3B8237-9457-47AA-A461-13B05EBA3AA8}" srcId="{50AE48FB-F54A-4003-B895-FF023B63CF71}" destId="{4F60731D-328C-4D95-801C-C4F9E2747BF4}" srcOrd="0" destOrd="0" parTransId="{727CD8F0-A924-455F-B40D-A24E040B8D8B}" sibTransId="{2BA01632-3BF6-41DD-985D-4764E58603D4}"/>
    <dgm:cxn modelId="{BAA8DB0C-E94C-4628-B139-785B95858ED8}" type="presOf" srcId="{50AE48FB-F54A-4003-B895-FF023B63CF71}" destId="{AE7CAE2C-5CF5-451B-BCF8-8E713360D119}" srcOrd="0" destOrd="0" presId="urn:microsoft.com/office/officeart/2005/8/layout/hList1"/>
    <dgm:cxn modelId="{7C868C0C-59CD-451D-B21C-02659881A259}" srcId="{3F47C6A7-E755-4328-89A5-BCD68510B27C}" destId="{E4687A00-0685-4232-BE03-7E36A551DD95}" srcOrd="0" destOrd="0" parTransId="{BB2AC990-EE3E-419E-BAA6-16520D7AA665}" sibTransId="{552E2ED2-63F5-42BD-850B-82BB5A65629C}"/>
    <dgm:cxn modelId="{9CCC017E-A36D-48E7-B800-EFE9AC7B2D9F}" type="presParOf" srcId="{B48A3931-436C-42E4-B2ED-5ED91A80AB6A}" destId="{644E70C3-814E-4469-87EF-01C2462AAA9D}" srcOrd="0" destOrd="0" presId="urn:microsoft.com/office/officeart/2005/8/layout/hList1"/>
    <dgm:cxn modelId="{965B443D-0DA7-45E8-B3B0-770AC30EA49E}" type="presParOf" srcId="{644E70C3-814E-4469-87EF-01C2462AAA9D}" destId="{A0F2E523-0B20-4C58-A7D3-C147DA0F7BA2}" srcOrd="0" destOrd="0" presId="urn:microsoft.com/office/officeart/2005/8/layout/hList1"/>
    <dgm:cxn modelId="{FDE4ACFA-332C-4A88-B1A1-96A906FF8A7D}" type="presParOf" srcId="{644E70C3-814E-4469-87EF-01C2462AAA9D}" destId="{B6D02A97-BEAF-4E34-A2B8-92AE332301B7}" srcOrd="1" destOrd="0" presId="urn:microsoft.com/office/officeart/2005/8/layout/hList1"/>
    <dgm:cxn modelId="{1FA81358-D91E-4278-AA0C-208D08A638FB}" type="presParOf" srcId="{B48A3931-436C-42E4-B2ED-5ED91A80AB6A}" destId="{12ED27CC-3674-445E-8512-5D1C76E400DF}" srcOrd="1" destOrd="0" presId="urn:microsoft.com/office/officeart/2005/8/layout/hList1"/>
    <dgm:cxn modelId="{A8031D8D-2DA1-4F12-A6BA-DAD7885B9469}" type="presParOf" srcId="{B48A3931-436C-42E4-B2ED-5ED91A80AB6A}" destId="{994AE9F9-E2BF-49DD-9943-7C0E082CD3B3}" srcOrd="2" destOrd="0" presId="urn:microsoft.com/office/officeart/2005/8/layout/hList1"/>
    <dgm:cxn modelId="{0CF6F855-631C-4C3A-ACF8-EFB929CF28C9}" type="presParOf" srcId="{994AE9F9-E2BF-49DD-9943-7C0E082CD3B3}" destId="{838DDB65-C536-4BD7-8610-DBD631B89AD9}" srcOrd="0" destOrd="0" presId="urn:microsoft.com/office/officeart/2005/8/layout/hList1"/>
    <dgm:cxn modelId="{74B06C43-BAEB-40DE-B2D9-8892F2234510}" type="presParOf" srcId="{994AE9F9-E2BF-49DD-9943-7C0E082CD3B3}" destId="{4333C695-2C9D-461E-A10F-B3BB049E3E5F}" srcOrd="1" destOrd="0" presId="urn:microsoft.com/office/officeart/2005/8/layout/hList1"/>
    <dgm:cxn modelId="{4458128F-FFD1-43E4-A922-6AA73732583B}" type="presParOf" srcId="{B48A3931-436C-42E4-B2ED-5ED91A80AB6A}" destId="{CEDEA5F4-EAD5-429D-9485-A44D443786BF}" srcOrd="3" destOrd="0" presId="urn:microsoft.com/office/officeart/2005/8/layout/hList1"/>
    <dgm:cxn modelId="{F8D53BC5-B4BE-4A90-AE18-225ACC2EFA35}" type="presParOf" srcId="{B48A3931-436C-42E4-B2ED-5ED91A80AB6A}" destId="{4C2BE93C-2F8A-40A0-9FE9-96C21B3EEC2D}" srcOrd="4" destOrd="0" presId="urn:microsoft.com/office/officeart/2005/8/layout/hList1"/>
    <dgm:cxn modelId="{D769D319-FC5D-44D5-A731-33B804894128}" type="presParOf" srcId="{4C2BE93C-2F8A-40A0-9FE9-96C21B3EEC2D}" destId="{E3AED90F-AA80-43DD-AA9A-C9FE2CB68C58}" srcOrd="0" destOrd="0" presId="urn:microsoft.com/office/officeart/2005/8/layout/hList1"/>
    <dgm:cxn modelId="{645D2FB3-3303-4F6C-A0DB-B9E330708F3B}" type="presParOf" srcId="{4C2BE93C-2F8A-40A0-9FE9-96C21B3EEC2D}" destId="{83474A76-B1E2-4060-8073-8ACAFEB88A3D}" srcOrd="1" destOrd="0" presId="urn:microsoft.com/office/officeart/2005/8/layout/hList1"/>
    <dgm:cxn modelId="{46823AF9-191A-41BD-A137-6637E961950B}" type="presParOf" srcId="{B48A3931-436C-42E4-B2ED-5ED91A80AB6A}" destId="{E1838E4F-54AA-4328-BF7C-83A2E547E18A}" srcOrd="5" destOrd="0" presId="urn:microsoft.com/office/officeart/2005/8/layout/hList1"/>
    <dgm:cxn modelId="{9EF22290-11AF-4799-85DD-8D8B02C55CAA}" type="presParOf" srcId="{B48A3931-436C-42E4-B2ED-5ED91A80AB6A}" destId="{1759CCCA-A198-43D2-9D1D-599D567C269D}" srcOrd="6" destOrd="0" presId="urn:microsoft.com/office/officeart/2005/8/layout/hList1"/>
    <dgm:cxn modelId="{44EC1F81-6549-43CF-B129-F7DED581B654}" type="presParOf" srcId="{1759CCCA-A198-43D2-9D1D-599D567C269D}" destId="{AE7CAE2C-5CF5-451B-BCF8-8E713360D119}" srcOrd="0" destOrd="0" presId="urn:microsoft.com/office/officeart/2005/8/layout/hList1"/>
    <dgm:cxn modelId="{AC5EB7A0-D085-4E60-A726-42FF0EDACCE0}" type="presParOf" srcId="{1759CCCA-A198-43D2-9D1D-599D567C269D}" destId="{57DC32A7-C340-4484-AFC0-F882273DF4D6}" srcOrd="1" destOrd="0" presId="urn:microsoft.com/office/officeart/2005/8/layout/hList1"/>
    <dgm:cxn modelId="{58E034DA-84E7-4606-997A-131E3538ACCE}" type="presParOf" srcId="{B48A3931-436C-42E4-B2ED-5ED91A80AB6A}" destId="{21836BB2-77ED-4602-8CE4-680B730A59B7}" srcOrd="7" destOrd="0" presId="urn:microsoft.com/office/officeart/2005/8/layout/hList1"/>
    <dgm:cxn modelId="{EEB42052-BA0E-407C-8488-BD92C80C8CDA}" type="presParOf" srcId="{B48A3931-436C-42E4-B2ED-5ED91A80AB6A}" destId="{DCA470D8-B9D9-4DF9-AA7B-4E14F9758404}" srcOrd="8" destOrd="0" presId="urn:microsoft.com/office/officeart/2005/8/layout/hList1"/>
    <dgm:cxn modelId="{95F7254F-942F-481E-B65A-58AF0C726C3F}" type="presParOf" srcId="{DCA470D8-B9D9-4DF9-AA7B-4E14F9758404}" destId="{5FCC2AD1-ABB9-4856-A04D-CFA3B5EE3D9B}" srcOrd="0" destOrd="0" presId="urn:microsoft.com/office/officeart/2005/8/layout/hList1"/>
    <dgm:cxn modelId="{672B6DC7-7498-49B5-AB13-57ABE92C5EB2}" type="presParOf" srcId="{DCA470D8-B9D9-4DF9-AA7B-4E14F9758404}" destId="{AB33FA8D-CC91-486B-A6A0-7845FD7D35E7}" srcOrd="1" destOrd="0" presId="urn:microsoft.com/office/officeart/2005/8/layout/hLis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12B2B77-A7CD-4689-903F-8CFDADC1B0EB}" type="doc">
      <dgm:prSet loTypeId="urn:microsoft.com/office/officeart/2005/8/layout/hList1" loCatId="list" qsTypeId="urn:microsoft.com/office/officeart/2005/8/quickstyle/simple2" qsCatId="simple" csTypeId="urn:microsoft.com/office/officeart/2005/8/colors/colorful1" csCatId="colorful" phldr="1"/>
      <dgm:spPr/>
      <dgm:t>
        <a:bodyPr/>
        <a:lstStyle/>
        <a:p>
          <a:endParaRPr lang="es-ES"/>
        </a:p>
      </dgm:t>
    </dgm:pt>
    <dgm:pt modelId="{66C4799C-AF99-42A6-B78E-3A1BF5EA9C8A}">
      <dgm:prSet phldrT="[Texto]" custT="1"/>
      <dgm:spPr>
        <a:xfrm>
          <a:off x="0" y="38287"/>
          <a:ext cx="1842132" cy="427662"/>
        </a:xfrm>
        <a:prstGeom prst="rect">
          <a:avLst/>
        </a:prstGeom>
        <a:solidFill>
          <a:srgbClr val="C0504D">
            <a:hueOff val="0"/>
            <a:satOff val="0"/>
            <a:lumOff val="0"/>
            <a:alphaOff val="0"/>
          </a:srgbClr>
        </a:solidFill>
        <a:ln w="25400" cap="flat" cmpd="sng" algn="ctr">
          <a:solidFill>
            <a:srgbClr val="C0504D">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VALORACIÓN DIAGNÓSTICA</a:t>
          </a:r>
        </a:p>
      </dgm:t>
    </dgm:pt>
    <dgm:pt modelId="{3C8C8613-66BF-4F0E-948A-6D8EAF91DD71}" type="parTrans" cxnId="{A86814DF-48BC-46ED-AA36-B2638A72283B}">
      <dgm:prSet/>
      <dgm:spPr/>
      <dgm:t>
        <a:bodyPr/>
        <a:lstStyle/>
        <a:p>
          <a:pPr algn="ctr"/>
          <a:endParaRPr lang="es-ES" sz="1000"/>
        </a:p>
      </dgm:t>
    </dgm:pt>
    <dgm:pt modelId="{7518026E-C759-4980-B674-AC2FF85C9D96}" type="sibTrans" cxnId="{A86814DF-48BC-46ED-AA36-B2638A72283B}">
      <dgm:prSet/>
      <dgm:spPr/>
      <dgm:t>
        <a:bodyPr/>
        <a:lstStyle/>
        <a:p>
          <a:pPr algn="ctr"/>
          <a:endParaRPr lang="es-ES" sz="1000"/>
        </a:p>
      </dgm:t>
    </dgm:pt>
    <dgm:pt modelId="{0ECC9DAA-16BE-4F5E-8867-89145501D38F}">
      <dgm:prSet phldrT="[Texto]" custT="1"/>
      <dgm:spPr>
        <a:xfrm>
          <a:off x="39908" y="435819"/>
          <a:ext cx="1756137" cy="2954306"/>
        </a:xfrm>
        <a:prstGeom prst="rect">
          <a:avLst/>
        </a:prstGeom>
        <a:solidFill>
          <a:srgbClr val="C0504D">
            <a:tint val="40000"/>
            <a:alpha val="90000"/>
            <a:hueOff val="0"/>
            <a:satOff val="0"/>
            <a:lumOff val="0"/>
            <a:alphaOff val="0"/>
          </a:srgbClr>
        </a:solidFill>
        <a:ln w="25400" cap="flat" cmpd="sng" algn="ctr">
          <a:solidFill>
            <a:srgbClr val="C0504D">
              <a:tint val="40000"/>
              <a:alpha val="90000"/>
              <a:hueOff val="0"/>
              <a:satOff val="0"/>
              <a:lumOff val="0"/>
              <a:alphaOff val="0"/>
            </a:srgbClr>
          </a:solidFill>
          <a:prstDash val="solid"/>
        </a:ln>
        <a:effectLst/>
      </dgm:spPr>
      <dgm:t>
        <a:bodyPr/>
        <a:lstStyle/>
        <a:p>
          <a:pPr algn="just"/>
          <a:r>
            <a:rPr lang="es-ES" sz="1000">
              <a:solidFill>
                <a:sysClr val="windowText" lastClr="000000">
                  <a:hueOff val="0"/>
                  <a:satOff val="0"/>
                  <a:lumOff val="0"/>
                  <a:alphaOff val="0"/>
                </a:sysClr>
              </a:solidFill>
              <a:latin typeface="Calibri"/>
              <a:ea typeface="+mn-ea"/>
              <a:cs typeface="+mn-cs"/>
            </a:rPr>
            <a:t>Es un documento que se realiza al mes de ingreso de cada mujer identificando la problemática principal, sus necesidades, así como sus potencialidades y las líneas de actuación en la intervención. </a:t>
          </a:r>
        </a:p>
      </dgm:t>
    </dgm:pt>
    <dgm:pt modelId="{C21D49E3-9A2E-4DFA-AE0D-D0F3CEC5F076}" type="parTrans" cxnId="{8AB33571-590F-4939-AAFB-264432221163}">
      <dgm:prSet/>
      <dgm:spPr/>
      <dgm:t>
        <a:bodyPr/>
        <a:lstStyle/>
        <a:p>
          <a:pPr algn="ctr"/>
          <a:endParaRPr lang="es-ES" sz="1000"/>
        </a:p>
      </dgm:t>
    </dgm:pt>
    <dgm:pt modelId="{C79DA5D4-77F2-4D70-A0D9-4BB3346E48BA}" type="sibTrans" cxnId="{8AB33571-590F-4939-AAFB-264432221163}">
      <dgm:prSet/>
      <dgm:spPr/>
      <dgm:t>
        <a:bodyPr/>
        <a:lstStyle/>
        <a:p>
          <a:pPr algn="ctr"/>
          <a:endParaRPr lang="es-ES" sz="1000"/>
        </a:p>
      </dgm:t>
    </dgm:pt>
    <dgm:pt modelId="{520FF9A3-65E6-465A-816A-7172A33C22F8}">
      <dgm:prSet phldrT="[Texto]" custT="1"/>
      <dgm:spPr>
        <a:xfrm>
          <a:off x="2095542" y="1030"/>
          <a:ext cx="1783353" cy="446598"/>
        </a:xfrm>
        <a:prstGeom prst="rect">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PLAN DE TRABAJO INDIVIDUALIZADO-COMPARTIDO (PTIC)</a:t>
          </a:r>
          <a:endParaRPr lang="es-ES" sz="1000">
            <a:solidFill>
              <a:sysClr val="window" lastClr="FFFFFF"/>
            </a:solidFill>
            <a:latin typeface="Calibri"/>
            <a:ea typeface="+mn-ea"/>
            <a:cs typeface="+mn-cs"/>
          </a:endParaRPr>
        </a:p>
      </dgm:t>
    </dgm:pt>
    <dgm:pt modelId="{12CDF952-D8CD-49AB-90A6-AD7880CEA1D3}" type="parTrans" cxnId="{B8EEB0A0-41BD-492E-9008-E651C83BF25E}">
      <dgm:prSet/>
      <dgm:spPr/>
      <dgm:t>
        <a:bodyPr/>
        <a:lstStyle/>
        <a:p>
          <a:pPr algn="ctr"/>
          <a:endParaRPr lang="es-ES" sz="1000"/>
        </a:p>
      </dgm:t>
    </dgm:pt>
    <dgm:pt modelId="{D12402B4-7701-40A5-994C-66E57AB3104D}" type="sibTrans" cxnId="{B8EEB0A0-41BD-492E-9008-E651C83BF25E}">
      <dgm:prSet/>
      <dgm:spPr/>
      <dgm:t>
        <a:bodyPr/>
        <a:lstStyle/>
        <a:p>
          <a:pPr algn="ctr"/>
          <a:endParaRPr lang="es-ES" sz="1000"/>
        </a:p>
      </dgm:t>
    </dgm:pt>
    <dgm:pt modelId="{C223335C-57AA-46A1-8817-B027E6D305A9}">
      <dgm:prSet phldrT="[Texto]" custT="1"/>
      <dgm:spPr>
        <a:xfrm>
          <a:off x="2095542" y="447628"/>
          <a:ext cx="1783353" cy="2954306"/>
        </a:xfrm>
        <a:prstGeom prst="rect">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ln>
        <a:effectLst/>
      </dgm:spPr>
      <dgm:t>
        <a:bodyPr/>
        <a:lstStyle/>
        <a:p>
          <a:pPr algn="just"/>
          <a:r>
            <a:rPr lang="es-ES" sz="1000">
              <a:solidFill>
                <a:sysClr val="windowText" lastClr="000000">
                  <a:hueOff val="0"/>
                  <a:satOff val="0"/>
                  <a:lumOff val="0"/>
                  <a:alphaOff val="0"/>
                </a:sysClr>
              </a:solidFill>
              <a:latin typeface="Calibri"/>
              <a:ea typeface="+mn-ea"/>
              <a:cs typeface="+mn-cs"/>
            </a:rPr>
            <a:t>Es el documento de trabajo en el que se refleja la intervención que se va llevar a cabo desde las diferentes áreas del equipo. Es un documento que hace partícipe a la mujer, plasmando los objetivos que quiere conseguir durante el tiempo de estancia en el recurso de acogida. </a:t>
          </a:r>
        </a:p>
      </dgm:t>
    </dgm:pt>
    <dgm:pt modelId="{EF6D276E-7EFB-45CD-BE3D-C4EDD5AD2B23}" type="parTrans" cxnId="{6711E53A-6A4D-47B5-BC65-7641279FD033}">
      <dgm:prSet/>
      <dgm:spPr/>
      <dgm:t>
        <a:bodyPr/>
        <a:lstStyle/>
        <a:p>
          <a:pPr algn="ctr"/>
          <a:endParaRPr lang="es-ES" sz="1000"/>
        </a:p>
      </dgm:t>
    </dgm:pt>
    <dgm:pt modelId="{49A47527-CA34-4352-85CF-B270E65572EB}" type="sibTrans" cxnId="{6711E53A-6A4D-47B5-BC65-7641279FD033}">
      <dgm:prSet/>
      <dgm:spPr/>
      <dgm:t>
        <a:bodyPr/>
        <a:lstStyle/>
        <a:p>
          <a:pPr algn="ctr"/>
          <a:endParaRPr lang="es-ES" sz="1000"/>
        </a:p>
      </dgm:t>
    </dgm:pt>
    <dgm:pt modelId="{DB9C9BFF-08F7-4979-A138-78EBD430E06B}">
      <dgm:prSet phldrT="[Texto]" custT="1"/>
      <dgm:spPr>
        <a:xfrm>
          <a:off x="4128565" y="1030"/>
          <a:ext cx="1783353" cy="446598"/>
        </a:xfrm>
        <a:prstGeom prst="rect">
          <a:avLst/>
        </a:prstGeom>
        <a:solidFill>
          <a:srgbClr val="8064A2">
            <a:hueOff val="0"/>
            <a:satOff val="0"/>
            <a:lumOff val="0"/>
            <a:alphaOff val="0"/>
          </a:srgbClr>
        </a:solidFill>
        <a:ln w="25400" cap="flat" cmpd="sng" algn="ctr">
          <a:solidFill>
            <a:srgbClr val="8064A2">
              <a:hueOff val="0"/>
              <a:satOff val="0"/>
              <a:lumOff val="0"/>
              <a:alphaOff val="0"/>
            </a:srgbClr>
          </a:solidFill>
          <a:prstDash val="solid"/>
        </a:ln>
        <a:effectLst>
          <a:outerShdw blurRad="40000" dist="20000" dir="5400000" rotWithShape="0">
            <a:srgbClr val="000000">
              <a:alpha val="38000"/>
            </a:srgbClr>
          </a:outerShdw>
        </a:effectLst>
      </dgm:spPr>
      <dgm:t>
        <a:bodyPr/>
        <a:lstStyle/>
        <a:p>
          <a:pPr algn="ctr"/>
          <a:r>
            <a:rPr lang="es-ES" sz="1000" b="1">
              <a:solidFill>
                <a:sysClr val="window" lastClr="FFFFFF"/>
              </a:solidFill>
              <a:latin typeface="Calibri"/>
              <a:ea typeface="+mn-ea"/>
              <a:cs typeface="+mn-cs"/>
            </a:rPr>
            <a:t>PLAN DE CIERRE DE CASO</a:t>
          </a:r>
          <a:endParaRPr lang="es-ES" sz="1000">
            <a:solidFill>
              <a:sysClr val="window" lastClr="FFFFFF"/>
            </a:solidFill>
            <a:latin typeface="Calibri"/>
            <a:ea typeface="+mn-ea"/>
            <a:cs typeface="+mn-cs"/>
          </a:endParaRPr>
        </a:p>
      </dgm:t>
    </dgm:pt>
    <dgm:pt modelId="{1B08C908-B764-4E58-A663-8AC35E12AF3A}" type="parTrans" cxnId="{06E4C07E-1029-49DE-AEE2-F50F7D9024B8}">
      <dgm:prSet/>
      <dgm:spPr/>
      <dgm:t>
        <a:bodyPr/>
        <a:lstStyle/>
        <a:p>
          <a:pPr algn="ctr"/>
          <a:endParaRPr lang="es-ES" sz="1000"/>
        </a:p>
      </dgm:t>
    </dgm:pt>
    <dgm:pt modelId="{64101CD5-186E-48B9-97BD-13A53E438617}" type="sibTrans" cxnId="{06E4C07E-1029-49DE-AEE2-F50F7D9024B8}">
      <dgm:prSet/>
      <dgm:spPr/>
      <dgm:t>
        <a:bodyPr/>
        <a:lstStyle/>
        <a:p>
          <a:pPr algn="ctr"/>
          <a:endParaRPr lang="es-ES" sz="1000"/>
        </a:p>
      </dgm:t>
    </dgm:pt>
    <dgm:pt modelId="{FA195F1D-0AAF-46B0-8036-C5FAE8E67A05}">
      <dgm:prSet phldrT="[Texto]" custT="1"/>
      <dgm:spPr>
        <a:xfrm>
          <a:off x="4128565" y="447628"/>
          <a:ext cx="1783353" cy="2954306"/>
        </a:xfrm>
        <a:prstGeom prst="rect">
          <a:avLst/>
        </a:prstGeom>
        <a:solidFill>
          <a:srgbClr val="8064A2">
            <a:tint val="40000"/>
            <a:alpha val="90000"/>
            <a:hueOff val="0"/>
            <a:satOff val="0"/>
            <a:lumOff val="0"/>
            <a:alphaOff val="0"/>
          </a:srgbClr>
        </a:solidFill>
        <a:ln w="25400" cap="flat" cmpd="sng" algn="ctr">
          <a:solidFill>
            <a:srgbClr val="8064A2">
              <a:tint val="40000"/>
              <a:alpha val="90000"/>
              <a:hueOff val="0"/>
              <a:satOff val="0"/>
              <a:lumOff val="0"/>
              <a:alphaOff val="0"/>
            </a:srgbClr>
          </a:solidFill>
          <a:prstDash val="solid"/>
        </a:ln>
        <a:effectLst/>
      </dgm:spPr>
      <dgm:t>
        <a:bodyPr/>
        <a:lstStyle/>
        <a:p>
          <a:pPr algn="just"/>
          <a:r>
            <a:rPr lang="es-ES" sz="1000">
              <a:solidFill>
                <a:sysClr val="windowText" lastClr="000000">
                  <a:hueOff val="0"/>
                  <a:satOff val="0"/>
                  <a:lumOff val="0"/>
                  <a:alphaOff val="0"/>
                </a:sysClr>
              </a:solidFill>
              <a:latin typeface="Calibri"/>
              <a:ea typeface="+mn-ea"/>
              <a:cs typeface="+mn-cs"/>
            </a:rPr>
            <a:t>Se realiza cuando la mujer ha causado baja en el recurso de acogida para hacer una evaluación y cierre de su proceso de estancia, recogiendo aspectos tales como: contexto individual; valoración de objetivos desde las diferentes áreas; estrategias que funcionaron y estrategias a mejorar desde el programa-equipo; potencialidades identificadas, acciones inconclusas y valoración del proceso.</a:t>
          </a:r>
        </a:p>
      </dgm:t>
    </dgm:pt>
    <dgm:pt modelId="{F45B7E04-E193-4B6F-B879-E9AD261FE37C}" type="parTrans" cxnId="{62BFF7B0-7F38-4BF7-9B0E-230464737769}">
      <dgm:prSet/>
      <dgm:spPr/>
      <dgm:t>
        <a:bodyPr/>
        <a:lstStyle/>
        <a:p>
          <a:pPr algn="ctr"/>
          <a:endParaRPr lang="es-ES" sz="1000"/>
        </a:p>
      </dgm:t>
    </dgm:pt>
    <dgm:pt modelId="{004914AA-05D5-4D9C-8185-C8EE4538B37A}" type="sibTrans" cxnId="{62BFF7B0-7F38-4BF7-9B0E-230464737769}">
      <dgm:prSet/>
      <dgm:spPr/>
      <dgm:t>
        <a:bodyPr/>
        <a:lstStyle/>
        <a:p>
          <a:pPr algn="ctr"/>
          <a:endParaRPr lang="es-ES" sz="1000"/>
        </a:p>
      </dgm:t>
    </dgm:pt>
    <dgm:pt modelId="{35363020-5165-43B4-8684-C18C7009D702}">
      <dgm:prSet phldrT="[Texto]" custT="1"/>
      <dgm:spPr>
        <a:xfrm>
          <a:off x="2095542" y="447628"/>
          <a:ext cx="1783353" cy="2954306"/>
        </a:xfrm>
        <a:prstGeom prst="rect">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ln>
        <a:effectLst/>
      </dgm:spPr>
      <dgm:t>
        <a:bodyPr/>
        <a:lstStyle/>
        <a:p>
          <a:pPr algn="just"/>
          <a:r>
            <a:rPr lang="es-ES" sz="1000">
              <a:solidFill>
                <a:sysClr val="windowText" lastClr="000000">
                  <a:hueOff val="0"/>
                  <a:satOff val="0"/>
                  <a:lumOff val="0"/>
                  <a:alphaOff val="0"/>
                </a:sysClr>
              </a:solidFill>
              <a:latin typeface="Calibri"/>
              <a:ea typeface="+mn-ea"/>
              <a:cs typeface="+mn-cs"/>
            </a:rPr>
            <a:t>Este documento conlleva una revisión conjunta trimestral con la mujer, así como con el resto del equipo interdisciplinar, para valorar la consecución de los objetivos, avances-retrocesos, planteamiento de nuevas líneas de intervención, etc.</a:t>
          </a:r>
        </a:p>
      </dgm:t>
    </dgm:pt>
    <dgm:pt modelId="{9D1A1AB8-FC37-4A4C-BB22-2CE002E95E04}" type="parTrans" cxnId="{F6935F36-3429-446F-BF9B-0114B98782AF}">
      <dgm:prSet/>
      <dgm:spPr/>
      <dgm:t>
        <a:bodyPr/>
        <a:lstStyle/>
        <a:p>
          <a:endParaRPr lang="es-ES" sz="1000"/>
        </a:p>
      </dgm:t>
    </dgm:pt>
    <dgm:pt modelId="{BEB8F79B-C624-48D4-A8F4-17EF0D66F0D4}" type="sibTrans" cxnId="{F6935F36-3429-446F-BF9B-0114B98782AF}">
      <dgm:prSet/>
      <dgm:spPr/>
      <dgm:t>
        <a:bodyPr/>
        <a:lstStyle/>
        <a:p>
          <a:endParaRPr lang="es-ES" sz="1000"/>
        </a:p>
      </dgm:t>
    </dgm:pt>
    <dgm:pt modelId="{B4836178-5803-43FC-8FB1-C4785C3C619C}" type="pres">
      <dgm:prSet presAssocID="{512B2B77-A7CD-4689-903F-8CFDADC1B0EB}" presName="Name0" presStyleCnt="0">
        <dgm:presLayoutVars>
          <dgm:dir/>
          <dgm:animLvl val="lvl"/>
          <dgm:resizeHandles val="exact"/>
        </dgm:presLayoutVars>
      </dgm:prSet>
      <dgm:spPr/>
      <dgm:t>
        <a:bodyPr/>
        <a:lstStyle/>
        <a:p>
          <a:endParaRPr lang="es-ES"/>
        </a:p>
      </dgm:t>
    </dgm:pt>
    <dgm:pt modelId="{61E42E74-1152-437A-A484-35B53E7EE6C7}" type="pres">
      <dgm:prSet presAssocID="{66C4799C-AF99-42A6-B78E-3A1BF5EA9C8A}" presName="composite" presStyleCnt="0"/>
      <dgm:spPr/>
    </dgm:pt>
    <dgm:pt modelId="{CBF17B26-67DE-4241-85CE-F12DCE08FB07}" type="pres">
      <dgm:prSet presAssocID="{66C4799C-AF99-42A6-B78E-3A1BF5EA9C8A}" presName="parTx" presStyleLbl="alignNode1" presStyleIdx="0" presStyleCnt="3" custScaleX="103296" custScaleY="97857" custLinFactNeighborX="-374" custLinFactNeighborY="5823">
        <dgm:presLayoutVars>
          <dgm:chMax val="0"/>
          <dgm:chPref val="0"/>
          <dgm:bulletEnabled val="1"/>
        </dgm:presLayoutVars>
      </dgm:prSet>
      <dgm:spPr/>
      <dgm:t>
        <a:bodyPr/>
        <a:lstStyle/>
        <a:p>
          <a:endParaRPr lang="es-ES"/>
        </a:p>
      </dgm:t>
    </dgm:pt>
    <dgm:pt modelId="{E328CDAE-8599-4768-B10C-09B861B747FB}" type="pres">
      <dgm:prSet presAssocID="{66C4799C-AF99-42A6-B78E-3A1BF5EA9C8A}" presName="desTx" presStyleLbl="alignAccFollowNode1" presStyleIdx="0" presStyleCnt="3" custScaleX="99234">
        <dgm:presLayoutVars>
          <dgm:bulletEnabled val="1"/>
        </dgm:presLayoutVars>
      </dgm:prSet>
      <dgm:spPr/>
      <dgm:t>
        <a:bodyPr/>
        <a:lstStyle/>
        <a:p>
          <a:endParaRPr lang="es-ES"/>
        </a:p>
      </dgm:t>
    </dgm:pt>
    <dgm:pt modelId="{15E48A68-9007-46E4-9558-5C13FD62132B}" type="pres">
      <dgm:prSet presAssocID="{7518026E-C759-4980-B674-AC2FF85C9D96}" presName="space" presStyleCnt="0"/>
      <dgm:spPr/>
    </dgm:pt>
    <dgm:pt modelId="{72739902-9F79-41D8-83CE-8850DE107198}" type="pres">
      <dgm:prSet presAssocID="{520FF9A3-65E6-465A-816A-7172A33C22F8}" presName="composite" presStyleCnt="0"/>
      <dgm:spPr/>
    </dgm:pt>
    <dgm:pt modelId="{8496CCDB-B6E0-4A1A-B7BD-91C7297FB22A}" type="pres">
      <dgm:prSet presAssocID="{520FF9A3-65E6-465A-816A-7172A33C22F8}" presName="parTx" presStyleLbl="alignNode1" presStyleIdx="1" presStyleCnt="3">
        <dgm:presLayoutVars>
          <dgm:chMax val="0"/>
          <dgm:chPref val="0"/>
          <dgm:bulletEnabled val="1"/>
        </dgm:presLayoutVars>
      </dgm:prSet>
      <dgm:spPr/>
      <dgm:t>
        <a:bodyPr/>
        <a:lstStyle/>
        <a:p>
          <a:endParaRPr lang="es-ES"/>
        </a:p>
      </dgm:t>
    </dgm:pt>
    <dgm:pt modelId="{680B717C-BE99-4D7A-B1D0-EF7242BB8072}" type="pres">
      <dgm:prSet presAssocID="{520FF9A3-65E6-465A-816A-7172A33C22F8}" presName="desTx" presStyleLbl="alignAccFollowNode1" presStyleIdx="1" presStyleCnt="3">
        <dgm:presLayoutVars>
          <dgm:bulletEnabled val="1"/>
        </dgm:presLayoutVars>
      </dgm:prSet>
      <dgm:spPr/>
      <dgm:t>
        <a:bodyPr/>
        <a:lstStyle/>
        <a:p>
          <a:endParaRPr lang="es-ES"/>
        </a:p>
      </dgm:t>
    </dgm:pt>
    <dgm:pt modelId="{7C9D2388-63F5-461E-9FE6-A8513B1859FD}" type="pres">
      <dgm:prSet presAssocID="{D12402B4-7701-40A5-994C-66E57AB3104D}" presName="space" presStyleCnt="0"/>
      <dgm:spPr/>
    </dgm:pt>
    <dgm:pt modelId="{5D037180-683E-4BFD-A575-47DD7C7543BE}" type="pres">
      <dgm:prSet presAssocID="{DB9C9BFF-08F7-4979-A138-78EBD430E06B}" presName="composite" presStyleCnt="0"/>
      <dgm:spPr/>
    </dgm:pt>
    <dgm:pt modelId="{DEC50B67-BE77-4ADC-BF8E-85D955D36082}" type="pres">
      <dgm:prSet presAssocID="{DB9C9BFF-08F7-4979-A138-78EBD430E06B}" presName="parTx" presStyleLbl="alignNode1" presStyleIdx="2" presStyleCnt="3">
        <dgm:presLayoutVars>
          <dgm:chMax val="0"/>
          <dgm:chPref val="0"/>
          <dgm:bulletEnabled val="1"/>
        </dgm:presLayoutVars>
      </dgm:prSet>
      <dgm:spPr/>
      <dgm:t>
        <a:bodyPr/>
        <a:lstStyle/>
        <a:p>
          <a:endParaRPr lang="es-ES"/>
        </a:p>
      </dgm:t>
    </dgm:pt>
    <dgm:pt modelId="{A29ECE7C-4E82-4AB3-A61E-85E8755CD073}" type="pres">
      <dgm:prSet presAssocID="{DB9C9BFF-08F7-4979-A138-78EBD430E06B}" presName="desTx" presStyleLbl="alignAccFollowNode1" presStyleIdx="2" presStyleCnt="3">
        <dgm:presLayoutVars>
          <dgm:bulletEnabled val="1"/>
        </dgm:presLayoutVars>
      </dgm:prSet>
      <dgm:spPr/>
      <dgm:t>
        <a:bodyPr/>
        <a:lstStyle/>
        <a:p>
          <a:endParaRPr lang="es-ES"/>
        </a:p>
      </dgm:t>
    </dgm:pt>
  </dgm:ptLst>
  <dgm:cxnLst>
    <dgm:cxn modelId="{8D8F720C-3970-44A5-B399-FF623690792E}" type="presOf" srcId="{35363020-5165-43B4-8684-C18C7009D702}" destId="{680B717C-BE99-4D7A-B1D0-EF7242BB8072}" srcOrd="0" destOrd="1" presId="urn:microsoft.com/office/officeart/2005/8/layout/hList1"/>
    <dgm:cxn modelId="{06E4C07E-1029-49DE-AEE2-F50F7D9024B8}" srcId="{512B2B77-A7CD-4689-903F-8CFDADC1B0EB}" destId="{DB9C9BFF-08F7-4979-A138-78EBD430E06B}" srcOrd="2" destOrd="0" parTransId="{1B08C908-B764-4E58-A663-8AC35E12AF3A}" sibTransId="{64101CD5-186E-48B9-97BD-13A53E438617}"/>
    <dgm:cxn modelId="{6711E53A-6A4D-47B5-BC65-7641279FD033}" srcId="{520FF9A3-65E6-465A-816A-7172A33C22F8}" destId="{C223335C-57AA-46A1-8817-B027E6D305A9}" srcOrd="0" destOrd="0" parTransId="{EF6D276E-7EFB-45CD-BE3D-C4EDD5AD2B23}" sibTransId="{49A47527-CA34-4352-85CF-B270E65572EB}"/>
    <dgm:cxn modelId="{8AB33571-590F-4939-AAFB-264432221163}" srcId="{66C4799C-AF99-42A6-B78E-3A1BF5EA9C8A}" destId="{0ECC9DAA-16BE-4F5E-8867-89145501D38F}" srcOrd="0" destOrd="0" parTransId="{C21D49E3-9A2E-4DFA-AE0D-D0F3CEC5F076}" sibTransId="{C79DA5D4-77F2-4D70-A0D9-4BB3346E48BA}"/>
    <dgm:cxn modelId="{62BFF7B0-7F38-4BF7-9B0E-230464737769}" srcId="{DB9C9BFF-08F7-4979-A138-78EBD430E06B}" destId="{FA195F1D-0AAF-46B0-8036-C5FAE8E67A05}" srcOrd="0" destOrd="0" parTransId="{F45B7E04-E193-4B6F-B879-E9AD261FE37C}" sibTransId="{004914AA-05D5-4D9C-8185-C8EE4538B37A}"/>
    <dgm:cxn modelId="{0073C84B-4105-43CA-8F9B-52004934837D}" type="presOf" srcId="{FA195F1D-0AAF-46B0-8036-C5FAE8E67A05}" destId="{A29ECE7C-4E82-4AB3-A61E-85E8755CD073}" srcOrd="0" destOrd="0" presId="urn:microsoft.com/office/officeart/2005/8/layout/hList1"/>
    <dgm:cxn modelId="{E9A76473-34FA-47D8-9956-48AEF4BE799E}" type="presOf" srcId="{520FF9A3-65E6-465A-816A-7172A33C22F8}" destId="{8496CCDB-B6E0-4A1A-B7BD-91C7297FB22A}" srcOrd="0" destOrd="0" presId="urn:microsoft.com/office/officeart/2005/8/layout/hList1"/>
    <dgm:cxn modelId="{B8EEB0A0-41BD-492E-9008-E651C83BF25E}" srcId="{512B2B77-A7CD-4689-903F-8CFDADC1B0EB}" destId="{520FF9A3-65E6-465A-816A-7172A33C22F8}" srcOrd="1" destOrd="0" parTransId="{12CDF952-D8CD-49AB-90A6-AD7880CEA1D3}" sibTransId="{D12402B4-7701-40A5-994C-66E57AB3104D}"/>
    <dgm:cxn modelId="{A3777184-AB4A-4411-AF89-0B14CDCA0539}" type="presOf" srcId="{DB9C9BFF-08F7-4979-A138-78EBD430E06B}" destId="{DEC50B67-BE77-4ADC-BF8E-85D955D36082}" srcOrd="0" destOrd="0" presId="urn:microsoft.com/office/officeart/2005/8/layout/hList1"/>
    <dgm:cxn modelId="{99DDD18A-0D0D-4033-B2D3-5F760C2E2D68}" type="presOf" srcId="{512B2B77-A7CD-4689-903F-8CFDADC1B0EB}" destId="{B4836178-5803-43FC-8FB1-C4785C3C619C}" srcOrd="0" destOrd="0" presId="urn:microsoft.com/office/officeart/2005/8/layout/hList1"/>
    <dgm:cxn modelId="{D9308D03-54FA-4AC6-923B-13584C961E77}" type="presOf" srcId="{0ECC9DAA-16BE-4F5E-8867-89145501D38F}" destId="{E328CDAE-8599-4768-B10C-09B861B747FB}" srcOrd="0" destOrd="0" presId="urn:microsoft.com/office/officeart/2005/8/layout/hList1"/>
    <dgm:cxn modelId="{A86814DF-48BC-46ED-AA36-B2638A72283B}" srcId="{512B2B77-A7CD-4689-903F-8CFDADC1B0EB}" destId="{66C4799C-AF99-42A6-B78E-3A1BF5EA9C8A}" srcOrd="0" destOrd="0" parTransId="{3C8C8613-66BF-4F0E-948A-6D8EAF91DD71}" sibTransId="{7518026E-C759-4980-B674-AC2FF85C9D96}"/>
    <dgm:cxn modelId="{F6935F36-3429-446F-BF9B-0114B98782AF}" srcId="{520FF9A3-65E6-465A-816A-7172A33C22F8}" destId="{35363020-5165-43B4-8684-C18C7009D702}" srcOrd="1" destOrd="0" parTransId="{9D1A1AB8-FC37-4A4C-BB22-2CE002E95E04}" sibTransId="{BEB8F79B-C624-48D4-A8F4-17EF0D66F0D4}"/>
    <dgm:cxn modelId="{C1532C81-75ED-49AE-AACC-9B870A9C1945}" type="presOf" srcId="{C223335C-57AA-46A1-8817-B027E6D305A9}" destId="{680B717C-BE99-4D7A-B1D0-EF7242BB8072}" srcOrd="0" destOrd="0" presId="urn:microsoft.com/office/officeart/2005/8/layout/hList1"/>
    <dgm:cxn modelId="{F2FDF19C-1EA3-4271-8FAF-86E11C13C5E0}" type="presOf" srcId="{66C4799C-AF99-42A6-B78E-3A1BF5EA9C8A}" destId="{CBF17B26-67DE-4241-85CE-F12DCE08FB07}" srcOrd="0" destOrd="0" presId="urn:microsoft.com/office/officeart/2005/8/layout/hList1"/>
    <dgm:cxn modelId="{01168D61-8D2D-49E2-8E0F-7F57D68D1620}" type="presParOf" srcId="{B4836178-5803-43FC-8FB1-C4785C3C619C}" destId="{61E42E74-1152-437A-A484-35B53E7EE6C7}" srcOrd="0" destOrd="0" presId="urn:microsoft.com/office/officeart/2005/8/layout/hList1"/>
    <dgm:cxn modelId="{7B6DE559-20B5-4DE0-BD8B-377C55085F2E}" type="presParOf" srcId="{61E42E74-1152-437A-A484-35B53E7EE6C7}" destId="{CBF17B26-67DE-4241-85CE-F12DCE08FB07}" srcOrd="0" destOrd="0" presId="urn:microsoft.com/office/officeart/2005/8/layout/hList1"/>
    <dgm:cxn modelId="{066A163E-1D67-4C22-9365-893D26A49568}" type="presParOf" srcId="{61E42E74-1152-437A-A484-35B53E7EE6C7}" destId="{E328CDAE-8599-4768-B10C-09B861B747FB}" srcOrd="1" destOrd="0" presId="urn:microsoft.com/office/officeart/2005/8/layout/hList1"/>
    <dgm:cxn modelId="{A807A4DC-989C-48C0-A0AA-597B48ADEB93}" type="presParOf" srcId="{B4836178-5803-43FC-8FB1-C4785C3C619C}" destId="{15E48A68-9007-46E4-9558-5C13FD62132B}" srcOrd="1" destOrd="0" presId="urn:microsoft.com/office/officeart/2005/8/layout/hList1"/>
    <dgm:cxn modelId="{579A7A17-40E6-426E-B0C5-975E9A3542B4}" type="presParOf" srcId="{B4836178-5803-43FC-8FB1-C4785C3C619C}" destId="{72739902-9F79-41D8-83CE-8850DE107198}" srcOrd="2" destOrd="0" presId="urn:microsoft.com/office/officeart/2005/8/layout/hList1"/>
    <dgm:cxn modelId="{CEA83FAC-3108-43D3-A454-C31376C59864}" type="presParOf" srcId="{72739902-9F79-41D8-83CE-8850DE107198}" destId="{8496CCDB-B6E0-4A1A-B7BD-91C7297FB22A}" srcOrd="0" destOrd="0" presId="urn:microsoft.com/office/officeart/2005/8/layout/hList1"/>
    <dgm:cxn modelId="{7054B5C8-45C8-40E8-B1AF-6081B4292340}" type="presParOf" srcId="{72739902-9F79-41D8-83CE-8850DE107198}" destId="{680B717C-BE99-4D7A-B1D0-EF7242BB8072}" srcOrd="1" destOrd="0" presId="urn:microsoft.com/office/officeart/2005/8/layout/hList1"/>
    <dgm:cxn modelId="{B4F8F5D2-D876-4409-9E7B-8842D8AFB30A}" type="presParOf" srcId="{B4836178-5803-43FC-8FB1-C4785C3C619C}" destId="{7C9D2388-63F5-461E-9FE6-A8513B1859FD}" srcOrd="3" destOrd="0" presId="urn:microsoft.com/office/officeart/2005/8/layout/hList1"/>
    <dgm:cxn modelId="{265B65F4-F3D1-43D9-917A-0C0942BF7D71}" type="presParOf" srcId="{B4836178-5803-43FC-8FB1-C4785C3C619C}" destId="{5D037180-683E-4BFD-A575-47DD7C7543BE}" srcOrd="4" destOrd="0" presId="urn:microsoft.com/office/officeart/2005/8/layout/hList1"/>
    <dgm:cxn modelId="{A887BAAE-CCFB-47DC-8107-920955FFB573}" type="presParOf" srcId="{5D037180-683E-4BFD-A575-47DD7C7543BE}" destId="{DEC50B67-BE77-4ADC-BF8E-85D955D36082}" srcOrd="0" destOrd="0" presId="urn:microsoft.com/office/officeart/2005/8/layout/hList1"/>
    <dgm:cxn modelId="{D7F678BF-2A22-4708-8D73-77A12ED7F6D7}" type="presParOf" srcId="{5D037180-683E-4BFD-A575-47DD7C7543BE}" destId="{A29ECE7C-4E82-4AB3-A61E-85E8755CD073}" srcOrd="1" destOrd="0" presId="urn:microsoft.com/office/officeart/2005/8/layout/hLis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26426AB-E0F9-44B7-9C0C-5C894DD696B0}" type="doc">
      <dgm:prSet loTypeId="urn:microsoft.com/office/officeart/2005/8/layout/process3" loCatId="process" qsTypeId="urn:microsoft.com/office/officeart/2005/8/quickstyle/simple4" qsCatId="simple" csTypeId="urn:microsoft.com/office/officeart/2005/8/colors/accent4_2" csCatId="accent4" phldr="1"/>
      <dgm:spPr/>
      <dgm:t>
        <a:bodyPr/>
        <a:lstStyle/>
        <a:p>
          <a:endParaRPr lang="es-ES"/>
        </a:p>
      </dgm:t>
    </dgm:pt>
    <dgm:pt modelId="{84D25A7C-C726-47D8-B5C2-3099BA16F723}">
      <dgm:prSet phldrT="[Texto]" custT="1"/>
      <dgm:spPr>
        <a:xfrm>
          <a:off x="8878" y="0"/>
          <a:ext cx="1361051" cy="611123"/>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pPr algn="ctr"/>
          <a:r>
            <a:rPr lang="es-ES" sz="1600" b="1">
              <a:solidFill>
                <a:srgbClr val="F79646"/>
              </a:solidFill>
              <a:latin typeface="Calibri"/>
              <a:ea typeface="+mn-ea"/>
              <a:cs typeface="+mn-cs"/>
            </a:rPr>
            <a:t>1ª ETAPA</a:t>
          </a:r>
        </a:p>
      </dgm:t>
    </dgm:pt>
    <dgm:pt modelId="{28721CBB-59BC-4BDE-9DC0-D859A4E08256}" type="parTrans" cxnId="{2EE15A46-AFAD-44ED-92B1-3C082BB8E4CE}">
      <dgm:prSet/>
      <dgm:spPr/>
      <dgm:t>
        <a:bodyPr/>
        <a:lstStyle/>
        <a:p>
          <a:endParaRPr lang="es-ES" sz="800"/>
        </a:p>
      </dgm:t>
    </dgm:pt>
    <dgm:pt modelId="{26B6C41B-F983-429B-B76D-08CC517EC200}" type="sibTrans" cxnId="{2EE15A46-AFAD-44ED-92B1-3C082BB8E4CE}">
      <dgm:prSet custT="1"/>
      <dgm:spPr>
        <a:xfrm>
          <a:off x="1576169" y="34304"/>
          <a:ext cx="437228" cy="338806"/>
        </a:xfrm>
        <a:prstGeom prst="rightArrow">
          <a:avLst>
            <a:gd name="adj1" fmla="val 60000"/>
            <a:gd name="adj2" fmla="val 50000"/>
          </a:avLst>
        </a:prstGeom>
        <a:gradFill rotWithShape="0">
          <a:gsLst>
            <a:gs pos="0">
              <a:srgbClr val="8064A2">
                <a:tint val="60000"/>
                <a:hueOff val="0"/>
                <a:satOff val="0"/>
                <a:lumOff val="0"/>
                <a:alphaOff val="0"/>
                <a:shade val="51000"/>
                <a:satMod val="130000"/>
              </a:srgbClr>
            </a:gs>
            <a:gs pos="80000">
              <a:srgbClr val="8064A2">
                <a:tint val="60000"/>
                <a:hueOff val="0"/>
                <a:satOff val="0"/>
                <a:lumOff val="0"/>
                <a:alphaOff val="0"/>
                <a:shade val="93000"/>
                <a:satMod val="130000"/>
              </a:srgbClr>
            </a:gs>
            <a:gs pos="100000">
              <a:srgbClr val="8064A2">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s-ES" sz="800">
            <a:solidFill>
              <a:sysClr val="window" lastClr="FFFFFF"/>
            </a:solidFill>
            <a:latin typeface="Calibri"/>
            <a:ea typeface="+mn-ea"/>
            <a:cs typeface="+mn-cs"/>
          </a:endParaRPr>
        </a:p>
      </dgm:t>
    </dgm:pt>
    <dgm:pt modelId="{2827FF1F-EA1B-437A-B965-AF1D023681DD}">
      <dgm:prSet phldrT="[Texto]" custT="1"/>
      <dgm:spPr>
        <a:xfrm>
          <a:off x="287375" y="407415"/>
          <a:ext cx="1361051" cy="811784"/>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r>
            <a:rPr lang="es-ES" sz="1050" b="1">
              <a:solidFill>
                <a:sysClr val="windowText" lastClr="000000">
                  <a:hueOff val="0"/>
                  <a:satOff val="0"/>
                  <a:lumOff val="0"/>
                  <a:alphaOff val="0"/>
                </a:sysClr>
              </a:solidFill>
              <a:latin typeface="Calibri"/>
              <a:ea typeface="+mn-ea"/>
              <a:cs typeface="+mn-cs"/>
            </a:rPr>
            <a:t>FASE I</a:t>
          </a:r>
          <a:r>
            <a:rPr lang="es-ES" sz="1050">
              <a:solidFill>
                <a:sysClr val="windowText" lastClr="000000">
                  <a:hueOff val="0"/>
                  <a:satOff val="0"/>
                  <a:lumOff val="0"/>
                  <a:alphaOff val="0"/>
                </a:sysClr>
              </a:solidFill>
              <a:latin typeface="Calibri"/>
              <a:ea typeface="+mn-ea"/>
              <a:cs typeface="+mn-cs"/>
            </a:rPr>
            <a:t>: Acogida</a:t>
          </a:r>
        </a:p>
      </dgm:t>
    </dgm:pt>
    <dgm:pt modelId="{E29B50B9-EB79-4DAC-BCC6-157367166E95}" type="parTrans" cxnId="{08B89705-6C78-4952-8625-AEC7B9AFA74C}">
      <dgm:prSet/>
      <dgm:spPr/>
      <dgm:t>
        <a:bodyPr/>
        <a:lstStyle/>
        <a:p>
          <a:endParaRPr lang="es-ES" sz="800"/>
        </a:p>
      </dgm:t>
    </dgm:pt>
    <dgm:pt modelId="{E73294D1-2423-4DCE-A0FD-2C3AE9D7DAF6}" type="sibTrans" cxnId="{08B89705-6C78-4952-8625-AEC7B9AFA74C}">
      <dgm:prSet/>
      <dgm:spPr/>
      <dgm:t>
        <a:bodyPr/>
        <a:lstStyle/>
        <a:p>
          <a:endParaRPr lang="es-ES" sz="800"/>
        </a:p>
      </dgm:t>
    </dgm:pt>
    <dgm:pt modelId="{83B42A32-6B5F-4CA3-A189-E6E9C2771896}">
      <dgm:prSet phldrT="[Texto]" custT="1"/>
      <dgm:spPr>
        <a:xfrm>
          <a:off x="2194888" y="0"/>
          <a:ext cx="1361051" cy="611123"/>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es-ES" sz="1600" b="1">
              <a:solidFill>
                <a:srgbClr val="F79646"/>
              </a:solidFill>
              <a:latin typeface="Calibri"/>
              <a:ea typeface="+mn-ea"/>
              <a:cs typeface="+mn-cs"/>
            </a:rPr>
            <a:t>2ª ETAPA</a:t>
          </a:r>
        </a:p>
      </dgm:t>
    </dgm:pt>
    <dgm:pt modelId="{DCB73D80-2D9F-4B00-BCA7-ACE816B6586C}" type="parTrans" cxnId="{962AF21F-FB2F-4E19-9810-E35A8834899F}">
      <dgm:prSet/>
      <dgm:spPr/>
      <dgm:t>
        <a:bodyPr/>
        <a:lstStyle/>
        <a:p>
          <a:endParaRPr lang="es-ES" sz="800"/>
        </a:p>
      </dgm:t>
    </dgm:pt>
    <dgm:pt modelId="{573C8BF8-4BD4-49F5-A5C8-E1E3AED5AD60}" type="sibTrans" cxnId="{962AF21F-FB2F-4E19-9810-E35A8834899F}">
      <dgm:prSet custT="1"/>
      <dgm:spPr>
        <a:xfrm>
          <a:off x="3762179" y="34304"/>
          <a:ext cx="437228" cy="338806"/>
        </a:xfrm>
        <a:prstGeom prst="rightArrow">
          <a:avLst>
            <a:gd name="adj1" fmla="val 60000"/>
            <a:gd name="adj2" fmla="val 50000"/>
          </a:avLst>
        </a:prstGeom>
        <a:gradFill rotWithShape="0">
          <a:gsLst>
            <a:gs pos="0">
              <a:srgbClr val="8064A2">
                <a:tint val="60000"/>
                <a:hueOff val="0"/>
                <a:satOff val="0"/>
                <a:lumOff val="0"/>
                <a:alphaOff val="0"/>
                <a:shade val="51000"/>
                <a:satMod val="130000"/>
              </a:srgbClr>
            </a:gs>
            <a:gs pos="80000">
              <a:srgbClr val="8064A2">
                <a:tint val="60000"/>
                <a:hueOff val="0"/>
                <a:satOff val="0"/>
                <a:lumOff val="0"/>
                <a:alphaOff val="0"/>
                <a:shade val="93000"/>
                <a:satMod val="130000"/>
              </a:srgbClr>
            </a:gs>
            <a:gs pos="100000">
              <a:srgbClr val="8064A2">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s-ES" sz="800">
            <a:solidFill>
              <a:sysClr val="window" lastClr="FFFFFF"/>
            </a:solidFill>
            <a:latin typeface="Calibri"/>
            <a:ea typeface="+mn-ea"/>
            <a:cs typeface="+mn-cs"/>
          </a:endParaRPr>
        </a:p>
      </dgm:t>
    </dgm:pt>
    <dgm:pt modelId="{E2B54DEB-C29B-4861-9744-34045091C748}">
      <dgm:prSet phldrT="[Texto]" custT="1"/>
      <dgm:spPr>
        <a:xfrm>
          <a:off x="2473385" y="407415"/>
          <a:ext cx="1361051" cy="811784"/>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r>
            <a:rPr lang="es-ES" sz="1000" b="1">
              <a:solidFill>
                <a:sysClr val="windowText" lastClr="000000">
                  <a:hueOff val="0"/>
                  <a:satOff val="0"/>
                  <a:lumOff val="0"/>
                  <a:alphaOff val="0"/>
                </a:sysClr>
              </a:solidFill>
              <a:latin typeface="Calibri"/>
              <a:ea typeface="+mn-ea"/>
              <a:cs typeface="+mn-cs"/>
            </a:rPr>
            <a:t>FASE III: </a:t>
          </a:r>
          <a:r>
            <a:rPr lang="es-ES" sz="1000">
              <a:solidFill>
                <a:sysClr val="windowText" lastClr="000000">
                  <a:hueOff val="0"/>
                  <a:satOff val="0"/>
                  <a:lumOff val="0"/>
                  <a:alphaOff val="0"/>
                </a:sysClr>
              </a:solidFill>
              <a:latin typeface="Calibri"/>
              <a:ea typeface="+mn-ea"/>
              <a:cs typeface="+mn-cs"/>
            </a:rPr>
            <a:t>Establecimiento o convivencia.</a:t>
          </a:r>
        </a:p>
      </dgm:t>
    </dgm:pt>
    <dgm:pt modelId="{657D462F-754D-4838-AE23-9AAD007BD024}" type="parTrans" cxnId="{D464564C-A962-441A-A04B-5875D4240EC7}">
      <dgm:prSet/>
      <dgm:spPr/>
      <dgm:t>
        <a:bodyPr/>
        <a:lstStyle/>
        <a:p>
          <a:endParaRPr lang="es-ES" sz="800"/>
        </a:p>
      </dgm:t>
    </dgm:pt>
    <dgm:pt modelId="{79B236D1-1E54-45FD-AF96-EF1E485C7D3F}" type="sibTrans" cxnId="{D464564C-A962-441A-A04B-5875D4240EC7}">
      <dgm:prSet/>
      <dgm:spPr/>
      <dgm:t>
        <a:bodyPr/>
        <a:lstStyle/>
        <a:p>
          <a:endParaRPr lang="es-ES" sz="800"/>
        </a:p>
      </dgm:t>
    </dgm:pt>
    <dgm:pt modelId="{60E27C7F-9076-4F0B-B0D8-0E14962C2832}">
      <dgm:prSet phldrT="[Texto]" custT="1"/>
      <dgm:spPr>
        <a:xfrm>
          <a:off x="4380898" y="0"/>
          <a:ext cx="1361051" cy="611123"/>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es-ES" sz="1600" b="1">
              <a:solidFill>
                <a:srgbClr val="F79646"/>
              </a:solidFill>
              <a:latin typeface="Calibri"/>
              <a:ea typeface="+mn-ea"/>
              <a:cs typeface="+mn-cs"/>
            </a:rPr>
            <a:t>3ª ETAPA</a:t>
          </a:r>
        </a:p>
      </dgm:t>
    </dgm:pt>
    <dgm:pt modelId="{DDDC4F2C-118D-447C-A9D1-468B929A5DD3}" type="parTrans" cxnId="{E99D9FB5-0528-4D97-9F60-01B0B58C8C92}">
      <dgm:prSet/>
      <dgm:spPr/>
      <dgm:t>
        <a:bodyPr/>
        <a:lstStyle/>
        <a:p>
          <a:endParaRPr lang="es-ES" sz="800"/>
        </a:p>
      </dgm:t>
    </dgm:pt>
    <dgm:pt modelId="{E76122A1-0092-4392-9B06-2FA3C5A5C979}" type="sibTrans" cxnId="{E99D9FB5-0528-4D97-9F60-01B0B58C8C92}">
      <dgm:prSet/>
      <dgm:spPr/>
      <dgm:t>
        <a:bodyPr/>
        <a:lstStyle/>
        <a:p>
          <a:endParaRPr lang="es-ES" sz="800"/>
        </a:p>
      </dgm:t>
    </dgm:pt>
    <dgm:pt modelId="{88984DC0-6C6C-4F52-94C7-EA63E5A6DD94}">
      <dgm:prSet phldrT="[Texto]" custT="1"/>
      <dgm:spPr>
        <a:xfrm>
          <a:off x="4659395" y="407415"/>
          <a:ext cx="1361051" cy="811784"/>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r>
            <a:rPr lang="es-ES" sz="1000" b="1">
              <a:solidFill>
                <a:sysClr val="windowText" lastClr="000000">
                  <a:hueOff val="0"/>
                  <a:satOff val="0"/>
                  <a:lumOff val="0"/>
                  <a:alphaOff val="0"/>
                </a:sysClr>
              </a:solidFill>
              <a:latin typeface="Calibri"/>
              <a:ea typeface="+mn-ea"/>
              <a:cs typeface="+mn-cs"/>
            </a:rPr>
            <a:t>FASE V: </a:t>
          </a:r>
          <a:r>
            <a:rPr lang="es-ES" sz="1000">
              <a:solidFill>
                <a:sysClr val="windowText" lastClr="000000">
                  <a:hueOff val="0"/>
                  <a:satOff val="0"/>
                  <a:lumOff val="0"/>
                  <a:alphaOff val="0"/>
                </a:sysClr>
              </a:solidFill>
              <a:latin typeface="Calibri"/>
              <a:ea typeface="+mn-ea"/>
              <a:cs typeface="+mn-cs"/>
            </a:rPr>
            <a:t>Finalización/emancipación</a:t>
          </a:r>
        </a:p>
      </dgm:t>
    </dgm:pt>
    <dgm:pt modelId="{B40C889C-EE85-4488-B215-413632FC8241}" type="parTrans" cxnId="{951F61EE-2C0E-4F81-B521-5C0B3535C955}">
      <dgm:prSet/>
      <dgm:spPr/>
      <dgm:t>
        <a:bodyPr/>
        <a:lstStyle/>
        <a:p>
          <a:endParaRPr lang="es-ES" sz="800"/>
        </a:p>
      </dgm:t>
    </dgm:pt>
    <dgm:pt modelId="{ED08E3FC-A419-4F8A-943A-B9117ACDC332}" type="sibTrans" cxnId="{951F61EE-2C0E-4F81-B521-5C0B3535C955}">
      <dgm:prSet/>
      <dgm:spPr/>
      <dgm:t>
        <a:bodyPr/>
        <a:lstStyle/>
        <a:p>
          <a:endParaRPr lang="es-ES" sz="800"/>
        </a:p>
      </dgm:t>
    </dgm:pt>
    <dgm:pt modelId="{B933504C-0B18-4710-9846-45D6CBA2C3CF}">
      <dgm:prSet custT="1"/>
      <dgm:spPr>
        <a:xfrm>
          <a:off x="287375" y="407415"/>
          <a:ext cx="1361051" cy="811784"/>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r>
            <a:rPr lang="es-ES" sz="1050" b="1">
              <a:solidFill>
                <a:sysClr val="windowText" lastClr="000000">
                  <a:hueOff val="0"/>
                  <a:satOff val="0"/>
                  <a:lumOff val="0"/>
                  <a:alphaOff val="0"/>
                </a:sysClr>
              </a:solidFill>
              <a:latin typeface="Calibri"/>
              <a:ea typeface="+mn-ea"/>
              <a:cs typeface="+mn-cs"/>
            </a:rPr>
            <a:t>FASE II</a:t>
          </a:r>
          <a:r>
            <a:rPr lang="es-ES" sz="1050">
              <a:solidFill>
                <a:sysClr val="windowText" lastClr="000000">
                  <a:hueOff val="0"/>
                  <a:satOff val="0"/>
                  <a:lumOff val="0"/>
                  <a:alphaOff val="0"/>
                </a:sysClr>
              </a:solidFill>
              <a:latin typeface="Calibri"/>
              <a:ea typeface="+mn-ea"/>
              <a:cs typeface="+mn-cs"/>
            </a:rPr>
            <a:t>: Adaptación</a:t>
          </a:r>
        </a:p>
      </dgm:t>
    </dgm:pt>
    <dgm:pt modelId="{7F2034D3-48C3-41DE-84CA-3E1639EE6E7D}" type="parTrans" cxnId="{D4E59E4F-CB10-48E9-AC53-8C63062A4AD2}">
      <dgm:prSet/>
      <dgm:spPr/>
      <dgm:t>
        <a:bodyPr/>
        <a:lstStyle/>
        <a:p>
          <a:endParaRPr lang="es-ES" sz="800"/>
        </a:p>
      </dgm:t>
    </dgm:pt>
    <dgm:pt modelId="{F8660875-6FD7-4CE0-B650-39CA44445BD6}" type="sibTrans" cxnId="{D4E59E4F-CB10-48E9-AC53-8C63062A4AD2}">
      <dgm:prSet/>
      <dgm:spPr/>
      <dgm:t>
        <a:bodyPr/>
        <a:lstStyle/>
        <a:p>
          <a:endParaRPr lang="es-ES" sz="800"/>
        </a:p>
      </dgm:t>
    </dgm:pt>
    <dgm:pt modelId="{1A875445-6E19-4FF6-8F4E-3757407BB85A}">
      <dgm:prSet custT="1"/>
      <dgm:spPr>
        <a:xfrm>
          <a:off x="4659395" y="407415"/>
          <a:ext cx="1361051" cy="811784"/>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r>
            <a:rPr lang="es-ES" sz="1000" b="1">
              <a:solidFill>
                <a:sysClr val="windowText" lastClr="000000">
                  <a:hueOff val="0"/>
                  <a:satOff val="0"/>
                  <a:lumOff val="0"/>
                  <a:alphaOff val="0"/>
                </a:sysClr>
              </a:solidFill>
              <a:latin typeface="Calibri"/>
              <a:ea typeface="+mn-ea"/>
              <a:cs typeface="+mn-cs"/>
            </a:rPr>
            <a:t>FASE VI: </a:t>
          </a:r>
          <a:r>
            <a:rPr lang="es-ES" sz="1000">
              <a:solidFill>
                <a:sysClr val="windowText" lastClr="000000">
                  <a:hueOff val="0"/>
                  <a:satOff val="0"/>
                  <a:lumOff val="0"/>
                  <a:alphaOff val="0"/>
                </a:sysClr>
              </a:solidFill>
              <a:latin typeface="Calibri"/>
              <a:ea typeface="+mn-ea"/>
              <a:cs typeface="+mn-cs"/>
            </a:rPr>
            <a:t>Seguimiento externo.</a:t>
          </a:r>
        </a:p>
      </dgm:t>
    </dgm:pt>
    <dgm:pt modelId="{B1414B48-C265-4DE5-BF1A-0DDFE29D75D8}" type="parTrans" cxnId="{D8425412-6E3B-4B3E-935B-B0F887A5F7CA}">
      <dgm:prSet/>
      <dgm:spPr/>
      <dgm:t>
        <a:bodyPr/>
        <a:lstStyle/>
        <a:p>
          <a:endParaRPr lang="es-ES" sz="800"/>
        </a:p>
      </dgm:t>
    </dgm:pt>
    <dgm:pt modelId="{E65DF266-AD81-4705-AFC8-108F07E724D0}" type="sibTrans" cxnId="{D8425412-6E3B-4B3E-935B-B0F887A5F7CA}">
      <dgm:prSet/>
      <dgm:spPr/>
      <dgm:t>
        <a:bodyPr/>
        <a:lstStyle/>
        <a:p>
          <a:endParaRPr lang="es-ES" sz="800"/>
        </a:p>
      </dgm:t>
    </dgm:pt>
    <dgm:pt modelId="{338D8DA3-2750-48BC-959D-6DCDA9ED0AB1}">
      <dgm:prSet phldrT="[Texto]" custT="1"/>
      <dgm:spPr>
        <a:xfrm>
          <a:off x="2473385" y="407415"/>
          <a:ext cx="1361051" cy="811784"/>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gm:spPr>
      <dgm:t>
        <a:bodyPr/>
        <a:lstStyle/>
        <a:p>
          <a:r>
            <a:rPr lang="es-ES" sz="1000" b="1">
              <a:solidFill>
                <a:sysClr val="windowText" lastClr="000000">
                  <a:hueOff val="0"/>
                  <a:satOff val="0"/>
                  <a:lumOff val="0"/>
                  <a:alphaOff val="0"/>
                </a:sysClr>
              </a:solidFill>
              <a:latin typeface="Calibri"/>
              <a:ea typeface="+mn-ea"/>
              <a:cs typeface="+mn-cs"/>
            </a:rPr>
            <a:t>FASE IV: </a:t>
          </a:r>
          <a:r>
            <a:rPr lang="es-ES" sz="1000">
              <a:solidFill>
                <a:sysClr val="windowText" lastClr="000000">
                  <a:hueOff val="0"/>
                  <a:satOff val="0"/>
                  <a:lumOff val="0"/>
                  <a:alphaOff val="0"/>
                </a:sysClr>
              </a:solidFill>
              <a:latin typeface="Calibri"/>
              <a:ea typeface="+mn-ea"/>
              <a:cs typeface="+mn-cs"/>
            </a:rPr>
            <a:t>Desarrollo</a:t>
          </a:r>
        </a:p>
      </dgm:t>
    </dgm:pt>
    <dgm:pt modelId="{D4719D85-0B36-4956-8B60-F7DDC5AAE77E}" type="parTrans" cxnId="{1802790A-7932-4795-BD03-C8C2B0093CF0}">
      <dgm:prSet/>
      <dgm:spPr/>
      <dgm:t>
        <a:bodyPr/>
        <a:lstStyle/>
        <a:p>
          <a:endParaRPr lang="es-ES"/>
        </a:p>
      </dgm:t>
    </dgm:pt>
    <dgm:pt modelId="{70072E0D-CD40-40B3-BC56-FC926357D61F}" type="sibTrans" cxnId="{1802790A-7932-4795-BD03-C8C2B0093CF0}">
      <dgm:prSet/>
      <dgm:spPr/>
      <dgm:t>
        <a:bodyPr/>
        <a:lstStyle/>
        <a:p>
          <a:endParaRPr lang="es-ES"/>
        </a:p>
      </dgm:t>
    </dgm:pt>
    <dgm:pt modelId="{0887C6B7-991E-4F38-A74F-DEA80810658E}" type="pres">
      <dgm:prSet presAssocID="{D26426AB-E0F9-44B7-9C0C-5C894DD696B0}" presName="linearFlow" presStyleCnt="0">
        <dgm:presLayoutVars>
          <dgm:dir/>
          <dgm:animLvl val="lvl"/>
          <dgm:resizeHandles val="exact"/>
        </dgm:presLayoutVars>
      </dgm:prSet>
      <dgm:spPr/>
      <dgm:t>
        <a:bodyPr/>
        <a:lstStyle/>
        <a:p>
          <a:endParaRPr lang="es-ES"/>
        </a:p>
      </dgm:t>
    </dgm:pt>
    <dgm:pt modelId="{B217AE04-EB64-4118-A7C8-48A8CBBE9F91}" type="pres">
      <dgm:prSet presAssocID="{84D25A7C-C726-47D8-B5C2-3099BA16F723}" presName="composite" presStyleCnt="0"/>
      <dgm:spPr/>
    </dgm:pt>
    <dgm:pt modelId="{EE1F31C5-72BF-4E7E-980B-9ACE11350028}" type="pres">
      <dgm:prSet presAssocID="{84D25A7C-C726-47D8-B5C2-3099BA16F723}" presName="parTx" presStyleLbl="node1" presStyleIdx="0" presStyleCnt="3">
        <dgm:presLayoutVars>
          <dgm:chMax val="0"/>
          <dgm:chPref val="0"/>
          <dgm:bulletEnabled val="1"/>
        </dgm:presLayoutVars>
      </dgm:prSet>
      <dgm:spPr/>
      <dgm:t>
        <a:bodyPr/>
        <a:lstStyle/>
        <a:p>
          <a:endParaRPr lang="es-ES"/>
        </a:p>
      </dgm:t>
    </dgm:pt>
    <dgm:pt modelId="{7F24B13C-7E2D-4126-A933-1136FA7EC262}" type="pres">
      <dgm:prSet presAssocID="{84D25A7C-C726-47D8-B5C2-3099BA16F723}" presName="parSh" presStyleLbl="node1" presStyleIdx="0" presStyleCnt="3"/>
      <dgm:spPr/>
      <dgm:t>
        <a:bodyPr/>
        <a:lstStyle/>
        <a:p>
          <a:endParaRPr lang="es-ES"/>
        </a:p>
      </dgm:t>
    </dgm:pt>
    <dgm:pt modelId="{D84D6014-EC73-4CDD-AF36-BCE04CD98DE6}" type="pres">
      <dgm:prSet presAssocID="{84D25A7C-C726-47D8-B5C2-3099BA16F723}" presName="desTx" presStyleLbl="fgAcc1" presStyleIdx="0" presStyleCnt="3">
        <dgm:presLayoutVars>
          <dgm:bulletEnabled val="1"/>
        </dgm:presLayoutVars>
      </dgm:prSet>
      <dgm:spPr/>
      <dgm:t>
        <a:bodyPr/>
        <a:lstStyle/>
        <a:p>
          <a:endParaRPr lang="es-ES"/>
        </a:p>
      </dgm:t>
    </dgm:pt>
    <dgm:pt modelId="{5CEF3DA6-30DB-41A6-848B-80590136322F}" type="pres">
      <dgm:prSet presAssocID="{26B6C41B-F983-429B-B76D-08CC517EC200}" presName="sibTrans" presStyleLbl="sibTrans2D1" presStyleIdx="0" presStyleCnt="2"/>
      <dgm:spPr/>
      <dgm:t>
        <a:bodyPr/>
        <a:lstStyle/>
        <a:p>
          <a:endParaRPr lang="es-ES"/>
        </a:p>
      </dgm:t>
    </dgm:pt>
    <dgm:pt modelId="{5439A53F-2D1E-49F1-93E2-FA387885B926}" type="pres">
      <dgm:prSet presAssocID="{26B6C41B-F983-429B-B76D-08CC517EC200}" presName="connTx" presStyleLbl="sibTrans2D1" presStyleIdx="0" presStyleCnt="2"/>
      <dgm:spPr/>
      <dgm:t>
        <a:bodyPr/>
        <a:lstStyle/>
        <a:p>
          <a:endParaRPr lang="es-ES"/>
        </a:p>
      </dgm:t>
    </dgm:pt>
    <dgm:pt modelId="{EA684368-664D-4984-B4C2-8FD097ABAE8F}" type="pres">
      <dgm:prSet presAssocID="{83B42A32-6B5F-4CA3-A189-E6E9C2771896}" presName="composite" presStyleCnt="0"/>
      <dgm:spPr/>
    </dgm:pt>
    <dgm:pt modelId="{FE7ABAEA-14A1-4BC7-8452-B69FE82E158C}" type="pres">
      <dgm:prSet presAssocID="{83B42A32-6B5F-4CA3-A189-E6E9C2771896}" presName="parTx" presStyleLbl="node1" presStyleIdx="0" presStyleCnt="3">
        <dgm:presLayoutVars>
          <dgm:chMax val="0"/>
          <dgm:chPref val="0"/>
          <dgm:bulletEnabled val="1"/>
        </dgm:presLayoutVars>
      </dgm:prSet>
      <dgm:spPr/>
      <dgm:t>
        <a:bodyPr/>
        <a:lstStyle/>
        <a:p>
          <a:endParaRPr lang="es-ES"/>
        </a:p>
      </dgm:t>
    </dgm:pt>
    <dgm:pt modelId="{57D07357-0945-4D95-A3E7-6AD42BA0EEFD}" type="pres">
      <dgm:prSet presAssocID="{83B42A32-6B5F-4CA3-A189-E6E9C2771896}" presName="parSh" presStyleLbl="node1" presStyleIdx="1" presStyleCnt="3"/>
      <dgm:spPr/>
      <dgm:t>
        <a:bodyPr/>
        <a:lstStyle/>
        <a:p>
          <a:endParaRPr lang="es-ES"/>
        </a:p>
      </dgm:t>
    </dgm:pt>
    <dgm:pt modelId="{74E622E2-DAA5-47F4-866A-AC5B656D60BB}" type="pres">
      <dgm:prSet presAssocID="{83B42A32-6B5F-4CA3-A189-E6E9C2771896}" presName="desTx" presStyleLbl="fgAcc1" presStyleIdx="1" presStyleCnt="3">
        <dgm:presLayoutVars>
          <dgm:bulletEnabled val="1"/>
        </dgm:presLayoutVars>
      </dgm:prSet>
      <dgm:spPr/>
      <dgm:t>
        <a:bodyPr/>
        <a:lstStyle/>
        <a:p>
          <a:endParaRPr lang="es-ES"/>
        </a:p>
      </dgm:t>
    </dgm:pt>
    <dgm:pt modelId="{7155E44B-907E-4489-B236-06C82EE5FD09}" type="pres">
      <dgm:prSet presAssocID="{573C8BF8-4BD4-49F5-A5C8-E1E3AED5AD60}" presName="sibTrans" presStyleLbl="sibTrans2D1" presStyleIdx="1" presStyleCnt="2"/>
      <dgm:spPr/>
      <dgm:t>
        <a:bodyPr/>
        <a:lstStyle/>
        <a:p>
          <a:endParaRPr lang="es-ES"/>
        </a:p>
      </dgm:t>
    </dgm:pt>
    <dgm:pt modelId="{F54F70A6-077C-4B4B-8FAF-208D388C0429}" type="pres">
      <dgm:prSet presAssocID="{573C8BF8-4BD4-49F5-A5C8-E1E3AED5AD60}" presName="connTx" presStyleLbl="sibTrans2D1" presStyleIdx="1" presStyleCnt="2"/>
      <dgm:spPr/>
      <dgm:t>
        <a:bodyPr/>
        <a:lstStyle/>
        <a:p>
          <a:endParaRPr lang="es-ES"/>
        </a:p>
      </dgm:t>
    </dgm:pt>
    <dgm:pt modelId="{B36267DF-D319-4FE3-9C68-F7B1840A4466}" type="pres">
      <dgm:prSet presAssocID="{60E27C7F-9076-4F0B-B0D8-0E14962C2832}" presName="composite" presStyleCnt="0"/>
      <dgm:spPr/>
    </dgm:pt>
    <dgm:pt modelId="{108CD3E8-7AE9-4852-8503-7AAA1C75D11C}" type="pres">
      <dgm:prSet presAssocID="{60E27C7F-9076-4F0B-B0D8-0E14962C2832}" presName="parTx" presStyleLbl="node1" presStyleIdx="1" presStyleCnt="3">
        <dgm:presLayoutVars>
          <dgm:chMax val="0"/>
          <dgm:chPref val="0"/>
          <dgm:bulletEnabled val="1"/>
        </dgm:presLayoutVars>
      </dgm:prSet>
      <dgm:spPr/>
      <dgm:t>
        <a:bodyPr/>
        <a:lstStyle/>
        <a:p>
          <a:endParaRPr lang="es-ES"/>
        </a:p>
      </dgm:t>
    </dgm:pt>
    <dgm:pt modelId="{F3954E3D-B257-41A7-8F8A-3EA25422BE10}" type="pres">
      <dgm:prSet presAssocID="{60E27C7F-9076-4F0B-B0D8-0E14962C2832}" presName="parSh" presStyleLbl="node1" presStyleIdx="2" presStyleCnt="3"/>
      <dgm:spPr/>
      <dgm:t>
        <a:bodyPr/>
        <a:lstStyle/>
        <a:p>
          <a:endParaRPr lang="es-ES"/>
        </a:p>
      </dgm:t>
    </dgm:pt>
    <dgm:pt modelId="{038EB2EB-8E1A-4FD7-A87E-395AAF86DBE3}" type="pres">
      <dgm:prSet presAssocID="{60E27C7F-9076-4F0B-B0D8-0E14962C2832}" presName="desTx" presStyleLbl="fgAcc1" presStyleIdx="2" presStyleCnt="3">
        <dgm:presLayoutVars>
          <dgm:bulletEnabled val="1"/>
        </dgm:presLayoutVars>
      </dgm:prSet>
      <dgm:spPr/>
      <dgm:t>
        <a:bodyPr/>
        <a:lstStyle/>
        <a:p>
          <a:endParaRPr lang="es-ES"/>
        </a:p>
      </dgm:t>
    </dgm:pt>
  </dgm:ptLst>
  <dgm:cxnLst>
    <dgm:cxn modelId="{E99D9FB5-0528-4D97-9F60-01B0B58C8C92}" srcId="{D26426AB-E0F9-44B7-9C0C-5C894DD696B0}" destId="{60E27C7F-9076-4F0B-B0D8-0E14962C2832}" srcOrd="2" destOrd="0" parTransId="{DDDC4F2C-118D-447C-A9D1-468B929A5DD3}" sibTransId="{E76122A1-0092-4392-9B06-2FA3C5A5C979}"/>
    <dgm:cxn modelId="{1FFB9F7F-2465-46E1-B81E-0D2E076C6A85}" type="presOf" srcId="{83B42A32-6B5F-4CA3-A189-E6E9C2771896}" destId="{FE7ABAEA-14A1-4BC7-8452-B69FE82E158C}" srcOrd="0" destOrd="0" presId="urn:microsoft.com/office/officeart/2005/8/layout/process3"/>
    <dgm:cxn modelId="{C9A78635-CEEC-4DD6-8FCA-2801434A2164}" type="presOf" srcId="{2827FF1F-EA1B-437A-B965-AF1D023681DD}" destId="{D84D6014-EC73-4CDD-AF36-BCE04CD98DE6}" srcOrd="0" destOrd="0" presId="urn:microsoft.com/office/officeart/2005/8/layout/process3"/>
    <dgm:cxn modelId="{68BB6E35-5053-4F3B-B2C5-B6DFFB54423C}" type="presOf" srcId="{84D25A7C-C726-47D8-B5C2-3099BA16F723}" destId="{7F24B13C-7E2D-4126-A933-1136FA7EC262}" srcOrd="1" destOrd="0" presId="urn:microsoft.com/office/officeart/2005/8/layout/process3"/>
    <dgm:cxn modelId="{951F61EE-2C0E-4F81-B521-5C0B3535C955}" srcId="{60E27C7F-9076-4F0B-B0D8-0E14962C2832}" destId="{88984DC0-6C6C-4F52-94C7-EA63E5A6DD94}" srcOrd="0" destOrd="0" parTransId="{B40C889C-EE85-4488-B215-413632FC8241}" sibTransId="{ED08E3FC-A419-4F8A-943A-B9117ACDC332}"/>
    <dgm:cxn modelId="{CECFB6F6-2A51-45E8-915A-6410B0D1DAFE}" type="presOf" srcId="{83B42A32-6B5F-4CA3-A189-E6E9C2771896}" destId="{57D07357-0945-4D95-A3E7-6AD42BA0EEFD}" srcOrd="1" destOrd="0" presId="urn:microsoft.com/office/officeart/2005/8/layout/process3"/>
    <dgm:cxn modelId="{78BC7518-3DA7-498D-A3D0-D883A24272E7}" type="presOf" srcId="{338D8DA3-2750-48BC-959D-6DCDA9ED0AB1}" destId="{74E622E2-DAA5-47F4-866A-AC5B656D60BB}" srcOrd="0" destOrd="1" presId="urn:microsoft.com/office/officeart/2005/8/layout/process3"/>
    <dgm:cxn modelId="{1802790A-7932-4795-BD03-C8C2B0093CF0}" srcId="{83B42A32-6B5F-4CA3-A189-E6E9C2771896}" destId="{338D8DA3-2750-48BC-959D-6DCDA9ED0AB1}" srcOrd="1" destOrd="0" parTransId="{D4719D85-0B36-4956-8B60-F7DDC5AAE77E}" sibTransId="{70072E0D-CD40-40B3-BC56-FC926357D61F}"/>
    <dgm:cxn modelId="{1C9CF18C-CF5F-433D-B06D-70EAA5F06393}" type="presOf" srcId="{1A875445-6E19-4FF6-8F4E-3757407BB85A}" destId="{038EB2EB-8E1A-4FD7-A87E-395AAF86DBE3}" srcOrd="0" destOrd="1" presId="urn:microsoft.com/office/officeart/2005/8/layout/process3"/>
    <dgm:cxn modelId="{D4E59E4F-CB10-48E9-AC53-8C63062A4AD2}" srcId="{84D25A7C-C726-47D8-B5C2-3099BA16F723}" destId="{B933504C-0B18-4710-9846-45D6CBA2C3CF}" srcOrd="1" destOrd="0" parTransId="{7F2034D3-48C3-41DE-84CA-3E1639EE6E7D}" sibTransId="{F8660875-6FD7-4CE0-B650-39CA44445BD6}"/>
    <dgm:cxn modelId="{F0B24AFF-6165-4EC4-A9A6-645A9A628EE0}" type="presOf" srcId="{D26426AB-E0F9-44B7-9C0C-5C894DD696B0}" destId="{0887C6B7-991E-4F38-A74F-DEA80810658E}" srcOrd="0" destOrd="0" presId="urn:microsoft.com/office/officeart/2005/8/layout/process3"/>
    <dgm:cxn modelId="{962AF21F-FB2F-4E19-9810-E35A8834899F}" srcId="{D26426AB-E0F9-44B7-9C0C-5C894DD696B0}" destId="{83B42A32-6B5F-4CA3-A189-E6E9C2771896}" srcOrd="1" destOrd="0" parTransId="{DCB73D80-2D9F-4B00-BCA7-ACE816B6586C}" sibTransId="{573C8BF8-4BD4-49F5-A5C8-E1E3AED5AD60}"/>
    <dgm:cxn modelId="{D8425412-6E3B-4B3E-935B-B0F887A5F7CA}" srcId="{60E27C7F-9076-4F0B-B0D8-0E14962C2832}" destId="{1A875445-6E19-4FF6-8F4E-3757407BB85A}" srcOrd="1" destOrd="0" parTransId="{B1414B48-C265-4DE5-BF1A-0DDFE29D75D8}" sibTransId="{E65DF266-AD81-4705-AFC8-108F07E724D0}"/>
    <dgm:cxn modelId="{6289C633-50EA-4500-8FEC-6B3DEBB84632}" type="presOf" srcId="{60E27C7F-9076-4F0B-B0D8-0E14962C2832}" destId="{F3954E3D-B257-41A7-8F8A-3EA25422BE10}" srcOrd="1" destOrd="0" presId="urn:microsoft.com/office/officeart/2005/8/layout/process3"/>
    <dgm:cxn modelId="{9AF0BA40-AB5F-43A4-9C5E-4EBE37E4C305}" type="presOf" srcId="{60E27C7F-9076-4F0B-B0D8-0E14962C2832}" destId="{108CD3E8-7AE9-4852-8503-7AAA1C75D11C}" srcOrd="0" destOrd="0" presId="urn:microsoft.com/office/officeart/2005/8/layout/process3"/>
    <dgm:cxn modelId="{EE612AF7-9B37-4134-A0B6-519258AA5EBD}" type="presOf" srcId="{26B6C41B-F983-429B-B76D-08CC517EC200}" destId="{5CEF3DA6-30DB-41A6-848B-80590136322F}" srcOrd="0" destOrd="0" presId="urn:microsoft.com/office/officeart/2005/8/layout/process3"/>
    <dgm:cxn modelId="{E930FB30-86D3-4FD5-82AE-A9751966A8D4}" type="presOf" srcId="{B933504C-0B18-4710-9846-45D6CBA2C3CF}" destId="{D84D6014-EC73-4CDD-AF36-BCE04CD98DE6}" srcOrd="0" destOrd="1" presId="urn:microsoft.com/office/officeart/2005/8/layout/process3"/>
    <dgm:cxn modelId="{FE6FF628-0828-469F-B8E7-26D443DF31BC}" type="presOf" srcId="{573C8BF8-4BD4-49F5-A5C8-E1E3AED5AD60}" destId="{7155E44B-907E-4489-B236-06C82EE5FD09}" srcOrd="0" destOrd="0" presId="urn:microsoft.com/office/officeart/2005/8/layout/process3"/>
    <dgm:cxn modelId="{ED2B9D56-7A5E-4673-BE26-4BBBBD33E886}" type="presOf" srcId="{88984DC0-6C6C-4F52-94C7-EA63E5A6DD94}" destId="{038EB2EB-8E1A-4FD7-A87E-395AAF86DBE3}" srcOrd="0" destOrd="0" presId="urn:microsoft.com/office/officeart/2005/8/layout/process3"/>
    <dgm:cxn modelId="{D464564C-A962-441A-A04B-5875D4240EC7}" srcId="{83B42A32-6B5F-4CA3-A189-E6E9C2771896}" destId="{E2B54DEB-C29B-4861-9744-34045091C748}" srcOrd="0" destOrd="0" parTransId="{657D462F-754D-4838-AE23-9AAD007BD024}" sibTransId="{79B236D1-1E54-45FD-AF96-EF1E485C7D3F}"/>
    <dgm:cxn modelId="{929AA22B-2E71-4828-83E8-14FFCBA7F87D}" type="presOf" srcId="{26B6C41B-F983-429B-B76D-08CC517EC200}" destId="{5439A53F-2D1E-49F1-93E2-FA387885B926}" srcOrd="1" destOrd="0" presId="urn:microsoft.com/office/officeart/2005/8/layout/process3"/>
    <dgm:cxn modelId="{F47CA533-70F1-4BA6-96AC-C4621D1B48EC}" type="presOf" srcId="{E2B54DEB-C29B-4861-9744-34045091C748}" destId="{74E622E2-DAA5-47F4-866A-AC5B656D60BB}" srcOrd="0" destOrd="0" presId="urn:microsoft.com/office/officeart/2005/8/layout/process3"/>
    <dgm:cxn modelId="{08B89705-6C78-4952-8625-AEC7B9AFA74C}" srcId="{84D25A7C-C726-47D8-B5C2-3099BA16F723}" destId="{2827FF1F-EA1B-437A-B965-AF1D023681DD}" srcOrd="0" destOrd="0" parTransId="{E29B50B9-EB79-4DAC-BCC6-157367166E95}" sibTransId="{E73294D1-2423-4DCE-A0FD-2C3AE9D7DAF6}"/>
    <dgm:cxn modelId="{2EE15A46-AFAD-44ED-92B1-3C082BB8E4CE}" srcId="{D26426AB-E0F9-44B7-9C0C-5C894DD696B0}" destId="{84D25A7C-C726-47D8-B5C2-3099BA16F723}" srcOrd="0" destOrd="0" parTransId="{28721CBB-59BC-4BDE-9DC0-D859A4E08256}" sibTransId="{26B6C41B-F983-429B-B76D-08CC517EC200}"/>
    <dgm:cxn modelId="{187D2E79-45B5-4286-98C9-1F8D18033FB2}" type="presOf" srcId="{84D25A7C-C726-47D8-B5C2-3099BA16F723}" destId="{EE1F31C5-72BF-4E7E-980B-9ACE11350028}" srcOrd="0" destOrd="0" presId="urn:microsoft.com/office/officeart/2005/8/layout/process3"/>
    <dgm:cxn modelId="{4BEDCC8F-CFD5-4334-B2D6-F733CADA5149}" type="presOf" srcId="{573C8BF8-4BD4-49F5-A5C8-E1E3AED5AD60}" destId="{F54F70A6-077C-4B4B-8FAF-208D388C0429}" srcOrd="1" destOrd="0" presId="urn:microsoft.com/office/officeart/2005/8/layout/process3"/>
    <dgm:cxn modelId="{1D7E9D01-8CDB-4346-9EE8-A39FB56A7B04}" type="presParOf" srcId="{0887C6B7-991E-4F38-A74F-DEA80810658E}" destId="{B217AE04-EB64-4118-A7C8-48A8CBBE9F91}" srcOrd="0" destOrd="0" presId="urn:microsoft.com/office/officeart/2005/8/layout/process3"/>
    <dgm:cxn modelId="{BB24044F-3213-40D0-B3FE-96B78DFF0177}" type="presParOf" srcId="{B217AE04-EB64-4118-A7C8-48A8CBBE9F91}" destId="{EE1F31C5-72BF-4E7E-980B-9ACE11350028}" srcOrd="0" destOrd="0" presId="urn:microsoft.com/office/officeart/2005/8/layout/process3"/>
    <dgm:cxn modelId="{A1F7BF78-92EE-458E-B0B9-2480609F2D75}" type="presParOf" srcId="{B217AE04-EB64-4118-A7C8-48A8CBBE9F91}" destId="{7F24B13C-7E2D-4126-A933-1136FA7EC262}" srcOrd="1" destOrd="0" presId="urn:microsoft.com/office/officeart/2005/8/layout/process3"/>
    <dgm:cxn modelId="{8535B725-0849-49F0-8F32-FCB6A64B4A0C}" type="presParOf" srcId="{B217AE04-EB64-4118-A7C8-48A8CBBE9F91}" destId="{D84D6014-EC73-4CDD-AF36-BCE04CD98DE6}" srcOrd="2" destOrd="0" presId="urn:microsoft.com/office/officeart/2005/8/layout/process3"/>
    <dgm:cxn modelId="{0CC0811E-4DB3-40E6-BB20-DCA308823467}" type="presParOf" srcId="{0887C6B7-991E-4F38-A74F-DEA80810658E}" destId="{5CEF3DA6-30DB-41A6-848B-80590136322F}" srcOrd="1" destOrd="0" presId="urn:microsoft.com/office/officeart/2005/8/layout/process3"/>
    <dgm:cxn modelId="{BFBBE932-1F12-4415-8C2E-FF85D8B4E086}" type="presParOf" srcId="{5CEF3DA6-30DB-41A6-848B-80590136322F}" destId="{5439A53F-2D1E-49F1-93E2-FA387885B926}" srcOrd="0" destOrd="0" presId="urn:microsoft.com/office/officeart/2005/8/layout/process3"/>
    <dgm:cxn modelId="{7619B45E-420F-4F83-9D0D-A6054A08150E}" type="presParOf" srcId="{0887C6B7-991E-4F38-A74F-DEA80810658E}" destId="{EA684368-664D-4984-B4C2-8FD097ABAE8F}" srcOrd="2" destOrd="0" presId="urn:microsoft.com/office/officeart/2005/8/layout/process3"/>
    <dgm:cxn modelId="{3BE428C2-0E25-477C-A6B4-22B932668DB6}" type="presParOf" srcId="{EA684368-664D-4984-B4C2-8FD097ABAE8F}" destId="{FE7ABAEA-14A1-4BC7-8452-B69FE82E158C}" srcOrd="0" destOrd="0" presId="urn:microsoft.com/office/officeart/2005/8/layout/process3"/>
    <dgm:cxn modelId="{23D39D88-E8B4-4587-B22C-B584AAC25847}" type="presParOf" srcId="{EA684368-664D-4984-B4C2-8FD097ABAE8F}" destId="{57D07357-0945-4D95-A3E7-6AD42BA0EEFD}" srcOrd="1" destOrd="0" presId="urn:microsoft.com/office/officeart/2005/8/layout/process3"/>
    <dgm:cxn modelId="{7B2EEDDF-6C67-4281-9EF9-92D3427F308E}" type="presParOf" srcId="{EA684368-664D-4984-B4C2-8FD097ABAE8F}" destId="{74E622E2-DAA5-47F4-866A-AC5B656D60BB}" srcOrd="2" destOrd="0" presId="urn:microsoft.com/office/officeart/2005/8/layout/process3"/>
    <dgm:cxn modelId="{43D21080-D2C7-44F9-9798-32AA3A52F80A}" type="presParOf" srcId="{0887C6B7-991E-4F38-A74F-DEA80810658E}" destId="{7155E44B-907E-4489-B236-06C82EE5FD09}" srcOrd="3" destOrd="0" presId="urn:microsoft.com/office/officeart/2005/8/layout/process3"/>
    <dgm:cxn modelId="{1F40BC41-C3FB-4A38-A4A6-364C597D06E5}" type="presParOf" srcId="{7155E44B-907E-4489-B236-06C82EE5FD09}" destId="{F54F70A6-077C-4B4B-8FAF-208D388C0429}" srcOrd="0" destOrd="0" presId="urn:microsoft.com/office/officeart/2005/8/layout/process3"/>
    <dgm:cxn modelId="{E16E76E9-7335-4AA9-9BEB-EAB3ECDFCE80}" type="presParOf" srcId="{0887C6B7-991E-4F38-A74F-DEA80810658E}" destId="{B36267DF-D319-4FE3-9C68-F7B1840A4466}" srcOrd="4" destOrd="0" presId="urn:microsoft.com/office/officeart/2005/8/layout/process3"/>
    <dgm:cxn modelId="{C1E3F28D-C03A-4A63-B86D-BBEFE27A585F}" type="presParOf" srcId="{B36267DF-D319-4FE3-9C68-F7B1840A4466}" destId="{108CD3E8-7AE9-4852-8503-7AAA1C75D11C}" srcOrd="0" destOrd="0" presId="urn:microsoft.com/office/officeart/2005/8/layout/process3"/>
    <dgm:cxn modelId="{7CA18C29-C6BC-4A80-8F3B-CD48AC7CD807}" type="presParOf" srcId="{B36267DF-D319-4FE3-9C68-F7B1840A4466}" destId="{F3954E3D-B257-41A7-8F8A-3EA25422BE10}" srcOrd="1" destOrd="0" presId="urn:microsoft.com/office/officeart/2005/8/layout/process3"/>
    <dgm:cxn modelId="{E7CD39CA-D231-4180-BF56-29C205396595}" type="presParOf" srcId="{B36267DF-D319-4FE3-9C68-F7B1840A4466}" destId="{038EB2EB-8E1A-4FD7-A87E-395AAF86DBE3}" srcOrd="2" destOrd="0" presId="urn:microsoft.com/office/officeart/2005/8/layout/process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072A8E7-0B20-466D-ABF1-D5BAB4ADFC54}" type="doc">
      <dgm:prSet loTypeId="urn:microsoft.com/office/officeart/2005/8/layout/list1" loCatId="list" qsTypeId="urn:microsoft.com/office/officeart/2005/8/quickstyle/simple1" qsCatId="simple" csTypeId="urn:microsoft.com/office/officeart/2005/8/colors/colorful4" csCatId="colorful" phldr="1"/>
      <dgm:spPr/>
      <dgm:t>
        <a:bodyPr/>
        <a:lstStyle/>
        <a:p>
          <a:endParaRPr lang="es-ES"/>
        </a:p>
      </dgm:t>
    </dgm:pt>
    <dgm:pt modelId="{CCE9297D-C44C-4763-A1ED-34B07CB40446}">
      <dgm:prSet phldrT="[Texto]" custT="1"/>
      <dgm:spPr>
        <a:xfrm>
          <a:off x="282511" y="11162"/>
          <a:ext cx="2037896" cy="531360"/>
        </a:xfrm>
        <a:prstGeom prst="roundRect">
          <a:avLst/>
        </a:prstGeom>
        <a:solidFill>
          <a:srgbClr val="7030A0"/>
        </a:solidFill>
        <a:ln w="25400" cap="flat" cmpd="sng" algn="ctr">
          <a:solidFill>
            <a:sysClr val="window" lastClr="FFFFFF">
              <a:hueOff val="0"/>
              <a:satOff val="0"/>
              <a:lumOff val="0"/>
              <a:alphaOff val="0"/>
            </a:sysClr>
          </a:solidFill>
          <a:prstDash val="solid"/>
        </a:ln>
        <a:effectLst/>
      </dgm:spPr>
      <dgm:t>
        <a:bodyPr/>
        <a:lstStyle/>
        <a:p>
          <a:pPr algn="ctr"/>
          <a:r>
            <a:rPr lang="es-ES" sz="1400" b="1">
              <a:solidFill>
                <a:sysClr val="window" lastClr="FFFFFF"/>
              </a:solidFill>
              <a:latin typeface="Calibri"/>
              <a:ea typeface="+mn-ea"/>
              <a:cs typeface="+mn-cs"/>
            </a:rPr>
            <a:t>EQUIPO EDUCATIVO</a:t>
          </a:r>
        </a:p>
      </dgm:t>
    </dgm:pt>
    <dgm:pt modelId="{C95B3643-E9C9-4C64-90EE-5CE9095CC3CE}" type="parTrans" cxnId="{200DAEAD-3FCE-4FEA-B4CC-495D77B20105}">
      <dgm:prSet/>
      <dgm:spPr/>
      <dgm:t>
        <a:bodyPr/>
        <a:lstStyle/>
        <a:p>
          <a:pPr algn="just"/>
          <a:endParaRPr lang="es-ES" sz="2000"/>
        </a:p>
      </dgm:t>
    </dgm:pt>
    <dgm:pt modelId="{1462F4B9-7674-410A-9375-EC38ACEA54E5}" type="sibTrans" cxnId="{200DAEAD-3FCE-4FEA-B4CC-495D77B20105}">
      <dgm:prSet/>
      <dgm:spPr/>
      <dgm:t>
        <a:bodyPr/>
        <a:lstStyle/>
        <a:p>
          <a:pPr algn="just"/>
          <a:endParaRPr lang="es-ES" sz="2000"/>
        </a:p>
      </dgm:t>
    </dgm:pt>
    <dgm:pt modelId="{FD79364C-28D2-4F93-9648-DEAD067A19AF}">
      <dgm:prSet phldrT="[Texto]" custT="1"/>
      <dgm:spPr>
        <a:xfrm>
          <a:off x="0" y="276842"/>
          <a:ext cx="5650229" cy="1389150"/>
        </a:xfrm>
        <a:prstGeom prst="rect">
          <a:avLst/>
        </a:prstGeom>
        <a:solidFill>
          <a:srgbClr val="F79646">
            <a:lumMod val="40000"/>
            <a:lumOff val="60000"/>
            <a:alpha val="90000"/>
          </a:srgbClr>
        </a:solidFill>
        <a:ln w="25400" cap="flat" cmpd="sng" algn="ctr">
          <a:solidFill>
            <a:srgbClr val="8064A2">
              <a:hueOff val="0"/>
              <a:satOff val="0"/>
              <a:lumOff val="0"/>
              <a:alphaOff val="0"/>
            </a:srgbClr>
          </a:solidFill>
          <a:prstDash val="solid"/>
        </a:ln>
        <a:effectLst/>
      </dgm:spPr>
      <dgm:t>
        <a:bodyPr/>
        <a:lstStyle/>
        <a:p>
          <a:pPr algn="just"/>
          <a:r>
            <a:rPr lang="es-ES" sz="900">
              <a:solidFill>
                <a:sysClr val="windowText" lastClr="000000">
                  <a:hueOff val="0"/>
                  <a:satOff val="0"/>
                  <a:lumOff val="0"/>
                  <a:alphaOff val="0"/>
                </a:sysClr>
              </a:solidFill>
              <a:latin typeface="Calibri"/>
              <a:ea typeface="+mn-ea"/>
              <a:cs typeface="+mn-cs"/>
            </a:rPr>
            <a:t>-</a:t>
          </a:r>
          <a:r>
            <a:rPr lang="es-ES" sz="1100">
              <a:solidFill>
                <a:sysClr val="windowText" lastClr="000000">
                  <a:hueOff val="0"/>
                  <a:satOff val="0"/>
                  <a:lumOff val="0"/>
                  <a:alphaOff val="0"/>
                </a:sysClr>
              </a:solidFill>
              <a:latin typeface="Calibri"/>
              <a:ea typeface="+mn-ea"/>
              <a:cs typeface="+mn-cs"/>
            </a:rPr>
            <a:t>Valoración y propuestas para la organización y funcionamiento de la casa de acogida.</a:t>
          </a:r>
        </a:p>
      </dgm:t>
    </dgm:pt>
    <dgm:pt modelId="{00628FF3-76ED-4121-9DC7-57BE941DCD8F}" type="parTrans" cxnId="{66668B8F-E7EE-4863-A901-9949028278C4}">
      <dgm:prSet/>
      <dgm:spPr/>
      <dgm:t>
        <a:bodyPr/>
        <a:lstStyle/>
        <a:p>
          <a:pPr algn="just"/>
          <a:endParaRPr lang="es-ES" sz="2000"/>
        </a:p>
      </dgm:t>
    </dgm:pt>
    <dgm:pt modelId="{B3F3F8A5-CE8E-49C2-90F2-7869B710F901}" type="sibTrans" cxnId="{66668B8F-E7EE-4863-A901-9949028278C4}">
      <dgm:prSet/>
      <dgm:spPr/>
      <dgm:t>
        <a:bodyPr/>
        <a:lstStyle/>
        <a:p>
          <a:pPr algn="just"/>
          <a:endParaRPr lang="es-ES" sz="2000"/>
        </a:p>
      </dgm:t>
    </dgm:pt>
    <dgm:pt modelId="{B46B73C5-2668-45D5-B321-A00B82D86EF4}">
      <dgm:prSet phldrT="[Texto]" custT="1"/>
      <dgm:spPr>
        <a:xfrm>
          <a:off x="0" y="276842"/>
          <a:ext cx="5650229" cy="1389150"/>
        </a:xfrm>
        <a:prstGeom prst="rect">
          <a:avLst/>
        </a:prstGeom>
        <a:solidFill>
          <a:srgbClr val="F79646">
            <a:lumMod val="40000"/>
            <a:lumOff val="60000"/>
            <a:alpha val="90000"/>
          </a:srgbClr>
        </a:solidFill>
        <a:ln w="25400" cap="flat" cmpd="sng" algn="ctr">
          <a:solidFill>
            <a:srgbClr val="8064A2">
              <a:hueOff val="0"/>
              <a:satOff val="0"/>
              <a:lumOff val="0"/>
              <a:alphaOff val="0"/>
            </a:srgbClr>
          </a:solidFill>
          <a:prstDash val="solid"/>
        </a:ln>
        <a:effectLst/>
      </dgm:spPr>
      <dgm:t>
        <a:bodyPr/>
        <a:lstStyle/>
        <a:p>
          <a:pPr algn="just"/>
          <a:r>
            <a:rPr lang="es-ES" sz="1100">
              <a:solidFill>
                <a:sysClr val="windowText" lastClr="000000">
                  <a:hueOff val="0"/>
                  <a:satOff val="0"/>
                  <a:lumOff val="0"/>
                  <a:alphaOff val="0"/>
                </a:sysClr>
              </a:solidFill>
              <a:latin typeface="Calibri"/>
              <a:ea typeface="+mn-ea"/>
              <a:cs typeface="+mn-cs"/>
            </a:rPr>
            <a:t>-Valoración solicitudes de ingreso y solicitudes de pernocta.</a:t>
          </a:r>
        </a:p>
      </dgm:t>
    </dgm:pt>
    <dgm:pt modelId="{42C1266D-03BF-4824-B4A0-CFED07E7C170}" type="parTrans" cxnId="{925163D5-B5B3-4357-AA02-8CDF0776285B}">
      <dgm:prSet/>
      <dgm:spPr/>
      <dgm:t>
        <a:bodyPr/>
        <a:lstStyle/>
        <a:p>
          <a:pPr algn="just"/>
          <a:endParaRPr lang="es-ES" sz="2000"/>
        </a:p>
      </dgm:t>
    </dgm:pt>
    <dgm:pt modelId="{C335F869-35AE-4067-AD0D-F3A5E227D45A}" type="sibTrans" cxnId="{925163D5-B5B3-4357-AA02-8CDF0776285B}">
      <dgm:prSet/>
      <dgm:spPr/>
      <dgm:t>
        <a:bodyPr/>
        <a:lstStyle/>
        <a:p>
          <a:pPr algn="just"/>
          <a:endParaRPr lang="es-ES" sz="2000"/>
        </a:p>
      </dgm:t>
    </dgm:pt>
    <dgm:pt modelId="{EC482B42-D697-40E5-8619-8D928B58E7B5}">
      <dgm:prSet phldrT="[Texto]" custT="1"/>
      <dgm:spPr>
        <a:xfrm>
          <a:off x="282511" y="1763192"/>
          <a:ext cx="1976037" cy="531360"/>
        </a:xfrm>
        <a:prstGeom prst="roundRect">
          <a:avLst/>
        </a:prstGeom>
        <a:solidFill>
          <a:srgbClr val="7030A0"/>
        </a:solidFill>
        <a:ln w="25400" cap="flat" cmpd="sng" algn="ctr">
          <a:solidFill>
            <a:sysClr val="window" lastClr="FFFFFF">
              <a:hueOff val="0"/>
              <a:satOff val="0"/>
              <a:lumOff val="0"/>
              <a:alphaOff val="0"/>
            </a:sysClr>
          </a:solidFill>
          <a:prstDash val="solid"/>
        </a:ln>
        <a:effectLst/>
      </dgm:spPr>
      <dgm:t>
        <a:bodyPr/>
        <a:lstStyle/>
        <a:p>
          <a:pPr algn="ctr"/>
          <a:r>
            <a:rPr lang="es-ES" sz="1400" b="1">
              <a:solidFill>
                <a:sysClr val="window" lastClr="FFFFFF"/>
              </a:solidFill>
              <a:latin typeface="Calibri"/>
              <a:ea typeface="+mn-ea"/>
              <a:cs typeface="+mn-cs"/>
            </a:rPr>
            <a:t>EQUIPO INTERDISCIPLINAR</a:t>
          </a:r>
        </a:p>
      </dgm:t>
    </dgm:pt>
    <dgm:pt modelId="{84AF129E-93CD-44F5-B9A2-877BB7A36DF5}" type="parTrans" cxnId="{F9F3FF5C-0491-480F-936A-8815797C18F3}">
      <dgm:prSet/>
      <dgm:spPr/>
      <dgm:t>
        <a:bodyPr/>
        <a:lstStyle/>
        <a:p>
          <a:pPr algn="just"/>
          <a:endParaRPr lang="es-ES" sz="2000"/>
        </a:p>
      </dgm:t>
    </dgm:pt>
    <dgm:pt modelId="{F1D0DBD0-67DD-4D69-A920-6B5F2D1B9063}" type="sibTrans" cxnId="{F9F3FF5C-0491-480F-936A-8815797C18F3}">
      <dgm:prSet/>
      <dgm:spPr/>
      <dgm:t>
        <a:bodyPr/>
        <a:lstStyle/>
        <a:p>
          <a:pPr algn="just"/>
          <a:endParaRPr lang="es-ES" sz="2000"/>
        </a:p>
      </dgm:t>
    </dgm:pt>
    <dgm:pt modelId="{E9156BC7-3249-4F7C-B282-215BAA3A62CE}">
      <dgm:prSet phldrT="[Texto]" custT="1"/>
      <dgm:spPr>
        <a:xfrm>
          <a:off x="0" y="2028872"/>
          <a:ext cx="5650229" cy="1332450"/>
        </a:xfrm>
        <a:prstGeom prst="rect">
          <a:avLst/>
        </a:prstGeom>
        <a:solidFill>
          <a:srgbClr val="F79646">
            <a:lumMod val="40000"/>
            <a:lumOff val="60000"/>
            <a:alpha val="90000"/>
          </a:srgbClr>
        </a:solidFill>
        <a:ln w="25400" cap="flat" cmpd="sng" algn="ctr">
          <a:solidFill>
            <a:srgbClr val="8064A2">
              <a:lumMod val="75000"/>
            </a:srgbClr>
          </a:solidFill>
          <a:prstDash val="solid"/>
        </a:ln>
        <a:effectLst/>
      </dgm:spPr>
      <dgm:t>
        <a:bodyPr/>
        <a:lstStyle/>
        <a:p>
          <a:pPr algn="just"/>
          <a:r>
            <a:rPr lang="es-ES" sz="1100">
              <a:solidFill>
                <a:sysClr val="windowText" lastClr="000000">
                  <a:hueOff val="0"/>
                  <a:satOff val="0"/>
                  <a:lumOff val="0"/>
                  <a:alphaOff val="0"/>
                </a:sysClr>
              </a:solidFill>
              <a:latin typeface="Calibri"/>
              <a:ea typeface="+mn-ea"/>
              <a:cs typeface="+mn-cs"/>
            </a:rPr>
            <a:t>-Valoración y exposición multidisciplinar sobre los procesos de las mujeres: Puesta en común de los diferentes documentos técnicos.</a:t>
          </a:r>
        </a:p>
      </dgm:t>
    </dgm:pt>
    <dgm:pt modelId="{B0F9C6B1-F88E-41A7-A5E8-1B8486008062}" type="parTrans" cxnId="{659C8308-D948-4D1C-AF0E-883723AD7070}">
      <dgm:prSet/>
      <dgm:spPr/>
      <dgm:t>
        <a:bodyPr/>
        <a:lstStyle/>
        <a:p>
          <a:pPr algn="just"/>
          <a:endParaRPr lang="es-ES" sz="2000"/>
        </a:p>
      </dgm:t>
    </dgm:pt>
    <dgm:pt modelId="{40D85D5B-0AFE-4318-AF93-A9B6D0DCD255}" type="sibTrans" cxnId="{659C8308-D948-4D1C-AF0E-883723AD7070}">
      <dgm:prSet/>
      <dgm:spPr/>
      <dgm:t>
        <a:bodyPr/>
        <a:lstStyle/>
        <a:p>
          <a:pPr algn="just"/>
          <a:endParaRPr lang="es-ES" sz="2000"/>
        </a:p>
      </dgm:t>
    </dgm:pt>
    <dgm:pt modelId="{9E6C27BC-DB9E-417D-B4C5-C1B0CF74F990}">
      <dgm:prSet phldrT="[Texto]" custT="1"/>
      <dgm:spPr>
        <a:xfrm>
          <a:off x="0" y="2028872"/>
          <a:ext cx="5650229" cy="1332450"/>
        </a:xfrm>
        <a:prstGeom prst="rect">
          <a:avLst/>
        </a:prstGeom>
        <a:solidFill>
          <a:srgbClr val="F79646">
            <a:lumMod val="40000"/>
            <a:lumOff val="60000"/>
            <a:alpha val="90000"/>
          </a:srgbClr>
        </a:solidFill>
        <a:ln w="25400" cap="flat" cmpd="sng" algn="ctr">
          <a:solidFill>
            <a:srgbClr val="8064A2">
              <a:lumMod val="75000"/>
            </a:srgbClr>
          </a:solidFill>
          <a:prstDash val="solid"/>
        </a:ln>
        <a:effectLst/>
      </dgm:spPr>
      <dgm:t>
        <a:bodyPr/>
        <a:lstStyle/>
        <a:p>
          <a:pPr algn="just"/>
          <a:r>
            <a:rPr lang="es-ES" sz="1100">
              <a:solidFill>
                <a:sysClr val="windowText" lastClr="000000">
                  <a:hueOff val="0"/>
                  <a:satOff val="0"/>
                  <a:lumOff val="0"/>
                  <a:alphaOff val="0"/>
                </a:sysClr>
              </a:solidFill>
              <a:latin typeface="Calibri"/>
              <a:ea typeface="+mn-ea"/>
              <a:cs typeface="+mn-cs"/>
            </a:rPr>
            <a:t>-Otros puntos recogidos en la orden del día, que pueden versar sobre planificaciones, calendarización de acciones a realizar, información sobre formaciones o jornadas, etc.</a:t>
          </a:r>
        </a:p>
      </dgm:t>
    </dgm:pt>
    <dgm:pt modelId="{2F3F9381-5913-4F83-9A8F-05B229C39E0D}" type="parTrans" cxnId="{55B8CA9E-06A1-484E-8D88-8C281E0D0075}">
      <dgm:prSet/>
      <dgm:spPr/>
      <dgm:t>
        <a:bodyPr/>
        <a:lstStyle/>
        <a:p>
          <a:pPr algn="just"/>
          <a:endParaRPr lang="es-ES" sz="2000"/>
        </a:p>
      </dgm:t>
    </dgm:pt>
    <dgm:pt modelId="{16015775-6CE0-4275-B276-7AD2232CBD2C}" type="sibTrans" cxnId="{55B8CA9E-06A1-484E-8D88-8C281E0D0075}">
      <dgm:prSet/>
      <dgm:spPr/>
      <dgm:t>
        <a:bodyPr/>
        <a:lstStyle/>
        <a:p>
          <a:pPr algn="just"/>
          <a:endParaRPr lang="es-ES" sz="2000"/>
        </a:p>
      </dgm:t>
    </dgm:pt>
    <dgm:pt modelId="{E7095A3B-A87F-44D7-804E-4A628896D082}">
      <dgm:prSet phldrT="[Texto]" custT="1"/>
      <dgm:spPr>
        <a:xfrm>
          <a:off x="0" y="2028872"/>
          <a:ext cx="5650229" cy="1332450"/>
        </a:xfrm>
        <a:prstGeom prst="rect">
          <a:avLst/>
        </a:prstGeom>
        <a:solidFill>
          <a:srgbClr val="F79646">
            <a:lumMod val="40000"/>
            <a:lumOff val="60000"/>
            <a:alpha val="90000"/>
          </a:srgbClr>
        </a:solidFill>
        <a:ln w="25400" cap="flat" cmpd="sng" algn="ctr">
          <a:solidFill>
            <a:srgbClr val="8064A2">
              <a:lumMod val="75000"/>
            </a:srgbClr>
          </a:solidFill>
          <a:prstDash val="solid"/>
        </a:ln>
        <a:effectLst/>
      </dgm:spPr>
      <dgm:t>
        <a:bodyPr/>
        <a:lstStyle/>
        <a:p>
          <a:pPr algn="just"/>
          <a:r>
            <a:rPr lang="es-ES" sz="1100">
              <a:solidFill>
                <a:sysClr val="windowText" lastClr="000000">
                  <a:hueOff val="0"/>
                  <a:satOff val="0"/>
                  <a:lumOff val="0"/>
                  <a:alphaOff val="0"/>
                </a:sysClr>
              </a:solidFill>
              <a:latin typeface="Calibri"/>
              <a:ea typeface="+mn-ea"/>
              <a:cs typeface="+mn-cs"/>
            </a:rPr>
            <a:t>-Valoración solicitudes de nuevos ingresos y valoración de pernoctas desde cada área (aprobación o denegación en documento reglamentario por parte de dirección).</a:t>
          </a:r>
        </a:p>
      </dgm:t>
    </dgm:pt>
    <dgm:pt modelId="{5F00A4DB-B902-41FC-ABA3-3561446A83C9}" type="parTrans" cxnId="{8E2E62B7-0346-455A-AA08-A612B894C85B}">
      <dgm:prSet/>
      <dgm:spPr/>
      <dgm:t>
        <a:bodyPr/>
        <a:lstStyle/>
        <a:p>
          <a:pPr algn="just"/>
          <a:endParaRPr lang="es-ES"/>
        </a:p>
      </dgm:t>
    </dgm:pt>
    <dgm:pt modelId="{38CFB66D-BC39-4C67-9C25-305FA2666259}" type="sibTrans" cxnId="{8E2E62B7-0346-455A-AA08-A612B894C85B}">
      <dgm:prSet/>
      <dgm:spPr/>
      <dgm:t>
        <a:bodyPr/>
        <a:lstStyle/>
        <a:p>
          <a:pPr algn="just"/>
          <a:endParaRPr lang="es-ES"/>
        </a:p>
      </dgm:t>
    </dgm:pt>
    <dgm:pt modelId="{2107091C-A241-4ACB-92AF-158484787328}">
      <dgm:prSet phldrT="[Texto]" custT="1"/>
      <dgm:spPr>
        <a:xfrm>
          <a:off x="0" y="276842"/>
          <a:ext cx="5650229" cy="1389150"/>
        </a:xfrm>
        <a:prstGeom prst="rect">
          <a:avLst/>
        </a:prstGeom>
        <a:solidFill>
          <a:srgbClr val="F79646">
            <a:lumMod val="40000"/>
            <a:lumOff val="60000"/>
            <a:alpha val="90000"/>
          </a:srgbClr>
        </a:solidFill>
        <a:ln w="25400" cap="flat" cmpd="sng" algn="ctr">
          <a:solidFill>
            <a:srgbClr val="8064A2">
              <a:hueOff val="0"/>
              <a:satOff val="0"/>
              <a:lumOff val="0"/>
              <a:alphaOff val="0"/>
            </a:srgbClr>
          </a:solidFill>
          <a:prstDash val="solid"/>
        </a:ln>
        <a:effectLst/>
      </dgm:spPr>
      <dgm:t>
        <a:bodyPr/>
        <a:lstStyle/>
        <a:p>
          <a:pPr algn="just"/>
          <a:r>
            <a:rPr lang="es-ES" sz="1100">
              <a:solidFill>
                <a:sysClr val="windowText" lastClr="000000">
                  <a:hueOff val="0"/>
                  <a:satOff val="0"/>
                  <a:lumOff val="0"/>
                  <a:alphaOff val="0"/>
                </a:sysClr>
              </a:solidFill>
              <a:latin typeface="Calibri"/>
              <a:ea typeface="+mn-ea"/>
              <a:cs typeface="+mn-cs"/>
            </a:rPr>
            <a:t>Resolución y propuestas de intervención educativa ante los conflictos que se dan en la misma.</a:t>
          </a:r>
        </a:p>
      </dgm:t>
    </dgm:pt>
    <dgm:pt modelId="{8F5C712A-E562-43F5-AB26-EDDE2C06AE65}" type="parTrans" cxnId="{6035EE82-FBB9-4617-9219-8FC1FC3C9927}">
      <dgm:prSet/>
      <dgm:spPr/>
      <dgm:t>
        <a:bodyPr/>
        <a:lstStyle/>
        <a:p>
          <a:endParaRPr lang="es-ES"/>
        </a:p>
      </dgm:t>
    </dgm:pt>
    <dgm:pt modelId="{5237E7AA-BB82-4EDE-8D4F-6149ADC91093}" type="sibTrans" cxnId="{6035EE82-FBB9-4617-9219-8FC1FC3C9927}">
      <dgm:prSet/>
      <dgm:spPr/>
      <dgm:t>
        <a:bodyPr/>
        <a:lstStyle/>
        <a:p>
          <a:endParaRPr lang="es-ES"/>
        </a:p>
      </dgm:t>
    </dgm:pt>
    <dgm:pt modelId="{A8782F17-6BBD-401C-B07F-9A62840354AD}">
      <dgm:prSet phldrT="[Texto]" custT="1"/>
      <dgm:spPr>
        <a:xfrm>
          <a:off x="0" y="276842"/>
          <a:ext cx="5650229" cy="1389150"/>
        </a:xfrm>
        <a:prstGeom prst="rect">
          <a:avLst/>
        </a:prstGeom>
        <a:solidFill>
          <a:srgbClr val="F79646">
            <a:lumMod val="40000"/>
            <a:lumOff val="60000"/>
            <a:alpha val="90000"/>
          </a:srgbClr>
        </a:solidFill>
        <a:ln w="25400" cap="flat" cmpd="sng" algn="ctr">
          <a:solidFill>
            <a:srgbClr val="8064A2">
              <a:hueOff val="0"/>
              <a:satOff val="0"/>
              <a:lumOff val="0"/>
              <a:alphaOff val="0"/>
            </a:srgbClr>
          </a:solidFill>
          <a:prstDash val="solid"/>
        </a:ln>
        <a:effectLst/>
      </dgm:spPr>
      <dgm:t>
        <a:bodyPr/>
        <a:lstStyle/>
        <a:p>
          <a:pPr algn="just"/>
          <a:r>
            <a:rPr lang="es-ES" sz="1100">
              <a:solidFill>
                <a:sysClr val="windowText" lastClr="000000">
                  <a:hueOff val="0"/>
                  <a:satOff val="0"/>
                  <a:lumOff val="0"/>
                  <a:alphaOff val="0"/>
                </a:sysClr>
              </a:solidFill>
              <a:latin typeface="Calibri"/>
              <a:ea typeface="+mn-ea"/>
              <a:cs typeface="+mn-cs"/>
            </a:rPr>
            <a:t>Elaboración conjunta de documentación técnica (Valoración Diagnóstica, Plan de Trabajo </a:t>
          </a:r>
        </a:p>
        <a:p>
          <a:pPr algn="just"/>
          <a:r>
            <a:rPr lang="es-ES" sz="1100">
              <a:solidFill>
                <a:sysClr val="windowText" lastClr="000000">
                  <a:hueOff val="0"/>
                  <a:satOff val="0"/>
                  <a:lumOff val="0"/>
                  <a:alphaOff val="0"/>
                </a:sysClr>
              </a:solidFill>
              <a:latin typeface="Calibri"/>
              <a:ea typeface="+mn-ea"/>
              <a:cs typeface="+mn-cs"/>
            </a:rPr>
            <a:t>Individualizado Compartido, seguimientos semanales, etc.).</a:t>
          </a:r>
        </a:p>
      </dgm:t>
    </dgm:pt>
    <dgm:pt modelId="{09C12960-5558-49C2-9BEB-BFF848365F32}" type="parTrans" cxnId="{C07EDA2D-5A63-42C3-ADC0-E6AAE634CC80}">
      <dgm:prSet/>
      <dgm:spPr/>
      <dgm:t>
        <a:bodyPr/>
        <a:lstStyle/>
        <a:p>
          <a:endParaRPr lang="es-ES"/>
        </a:p>
      </dgm:t>
    </dgm:pt>
    <dgm:pt modelId="{BE07CFE3-6A69-4283-9F07-02FE43663F6D}" type="sibTrans" cxnId="{C07EDA2D-5A63-42C3-ADC0-E6AAE634CC80}">
      <dgm:prSet/>
      <dgm:spPr/>
      <dgm:t>
        <a:bodyPr/>
        <a:lstStyle/>
        <a:p>
          <a:endParaRPr lang="es-ES"/>
        </a:p>
      </dgm:t>
    </dgm:pt>
    <dgm:pt modelId="{748B4EDB-0E23-4EE7-807F-4BAD0A7D4A4E}" type="pres">
      <dgm:prSet presAssocID="{B072A8E7-0B20-466D-ABF1-D5BAB4ADFC54}" presName="linear" presStyleCnt="0">
        <dgm:presLayoutVars>
          <dgm:dir/>
          <dgm:animLvl val="lvl"/>
          <dgm:resizeHandles val="exact"/>
        </dgm:presLayoutVars>
      </dgm:prSet>
      <dgm:spPr/>
      <dgm:t>
        <a:bodyPr/>
        <a:lstStyle/>
        <a:p>
          <a:endParaRPr lang="es-ES"/>
        </a:p>
      </dgm:t>
    </dgm:pt>
    <dgm:pt modelId="{5F315585-BDA6-424A-8C41-FD7736071479}" type="pres">
      <dgm:prSet presAssocID="{CCE9297D-C44C-4763-A1ED-34B07CB40446}" presName="parentLin" presStyleCnt="0"/>
      <dgm:spPr/>
    </dgm:pt>
    <dgm:pt modelId="{A5E36B7D-D254-44B4-9237-A5008049DFED}" type="pres">
      <dgm:prSet presAssocID="{CCE9297D-C44C-4763-A1ED-34B07CB40446}" presName="parentLeftMargin" presStyleLbl="node1" presStyleIdx="0" presStyleCnt="2"/>
      <dgm:spPr/>
      <dgm:t>
        <a:bodyPr/>
        <a:lstStyle/>
        <a:p>
          <a:endParaRPr lang="es-ES"/>
        </a:p>
      </dgm:t>
    </dgm:pt>
    <dgm:pt modelId="{36C9C171-EB80-40A9-851C-7A1407D34F9F}" type="pres">
      <dgm:prSet presAssocID="{CCE9297D-C44C-4763-A1ED-34B07CB40446}" presName="parentText" presStyleLbl="node1" presStyleIdx="0" presStyleCnt="2" custScaleX="51525">
        <dgm:presLayoutVars>
          <dgm:chMax val="0"/>
          <dgm:bulletEnabled val="1"/>
        </dgm:presLayoutVars>
      </dgm:prSet>
      <dgm:spPr/>
      <dgm:t>
        <a:bodyPr/>
        <a:lstStyle/>
        <a:p>
          <a:endParaRPr lang="es-ES"/>
        </a:p>
      </dgm:t>
    </dgm:pt>
    <dgm:pt modelId="{A8F063EA-CD24-4592-8B3B-387E0B861E12}" type="pres">
      <dgm:prSet presAssocID="{CCE9297D-C44C-4763-A1ED-34B07CB40446}" presName="negativeSpace" presStyleCnt="0"/>
      <dgm:spPr/>
    </dgm:pt>
    <dgm:pt modelId="{B65E05DE-C99A-4310-804B-30286470F9D9}" type="pres">
      <dgm:prSet presAssocID="{CCE9297D-C44C-4763-A1ED-34B07CB40446}" presName="childText" presStyleLbl="conFgAcc1" presStyleIdx="0" presStyleCnt="2">
        <dgm:presLayoutVars>
          <dgm:bulletEnabled val="1"/>
        </dgm:presLayoutVars>
      </dgm:prSet>
      <dgm:spPr/>
      <dgm:t>
        <a:bodyPr/>
        <a:lstStyle/>
        <a:p>
          <a:endParaRPr lang="es-ES"/>
        </a:p>
      </dgm:t>
    </dgm:pt>
    <dgm:pt modelId="{CAD0A3EC-BD61-4470-A599-A4F6C224F268}" type="pres">
      <dgm:prSet presAssocID="{1462F4B9-7674-410A-9375-EC38ACEA54E5}" presName="spaceBetweenRectangles" presStyleCnt="0"/>
      <dgm:spPr/>
    </dgm:pt>
    <dgm:pt modelId="{5405B206-0A62-49CF-AF18-9027859B5FEB}" type="pres">
      <dgm:prSet presAssocID="{EC482B42-D697-40E5-8619-8D928B58E7B5}" presName="parentLin" presStyleCnt="0"/>
      <dgm:spPr/>
    </dgm:pt>
    <dgm:pt modelId="{168F178C-B5E5-44C0-AF73-09AE88DB8EDA}" type="pres">
      <dgm:prSet presAssocID="{EC482B42-D697-40E5-8619-8D928B58E7B5}" presName="parentLeftMargin" presStyleLbl="node1" presStyleIdx="0" presStyleCnt="2"/>
      <dgm:spPr/>
      <dgm:t>
        <a:bodyPr/>
        <a:lstStyle/>
        <a:p>
          <a:endParaRPr lang="es-ES"/>
        </a:p>
      </dgm:t>
    </dgm:pt>
    <dgm:pt modelId="{41A22ECE-F4DE-431B-A69A-9A8487C809C5}" type="pres">
      <dgm:prSet presAssocID="{EC482B42-D697-40E5-8619-8D928B58E7B5}" presName="parentText" presStyleLbl="node1" presStyleIdx="1" presStyleCnt="2" custScaleX="49961">
        <dgm:presLayoutVars>
          <dgm:chMax val="0"/>
          <dgm:bulletEnabled val="1"/>
        </dgm:presLayoutVars>
      </dgm:prSet>
      <dgm:spPr/>
      <dgm:t>
        <a:bodyPr/>
        <a:lstStyle/>
        <a:p>
          <a:endParaRPr lang="es-ES"/>
        </a:p>
      </dgm:t>
    </dgm:pt>
    <dgm:pt modelId="{E5A9B704-F48E-4FBF-974C-2D3665667C07}" type="pres">
      <dgm:prSet presAssocID="{EC482B42-D697-40E5-8619-8D928B58E7B5}" presName="negativeSpace" presStyleCnt="0"/>
      <dgm:spPr/>
    </dgm:pt>
    <dgm:pt modelId="{DD9B0EEF-3281-4C22-B15E-1E8827C5395F}" type="pres">
      <dgm:prSet presAssocID="{EC482B42-D697-40E5-8619-8D928B58E7B5}" presName="childText" presStyleLbl="conFgAcc1" presStyleIdx="1" presStyleCnt="2" custLinFactY="14383" custLinFactNeighborY="100000">
        <dgm:presLayoutVars>
          <dgm:bulletEnabled val="1"/>
        </dgm:presLayoutVars>
      </dgm:prSet>
      <dgm:spPr/>
      <dgm:t>
        <a:bodyPr/>
        <a:lstStyle/>
        <a:p>
          <a:endParaRPr lang="es-ES"/>
        </a:p>
      </dgm:t>
    </dgm:pt>
  </dgm:ptLst>
  <dgm:cxnLst>
    <dgm:cxn modelId="{6035EE82-FBB9-4617-9219-8FC1FC3C9927}" srcId="{CCE9297D-C44C-4763-A1ED-34B07CB40446}" destId="{2107091C-A241-4ACB-92AF-158484787328}" srcOrd="1" destOrd="0" parTransId="{8F5C712A-E562-43F5-AB26-EDDE2C06AE65}" sibTransId="{5237E7AA-BB82-4EDE-8D4F-6149ADC91093}"/>
    <dgm:cxn modelId="{DB1C1838-C42B-452D-9A12-EF2A95D06681}" type="presOf" srcId="{EC482B42-D697-40E5-8619-8D928B58E7B5}" destId="{41A22ECE-F4DE-431B-A69A-9A8487C809C5}" srcOrd="1" destOrd="0" presId="urn:microsoft.com/office/officeart/2005/8/layout/list1"/>
    <dgm:cxn modelId="{C444E178-0D80-4E00-817D-F97DC4BE8C37}" type="presOf" srcId="{CCE9297D-C44C-4763-A1ED-34B07CB40446}" destId="{36C9C171-EB80-40A9-851C-7A1407D34F9F}" srcOrd="1" destOrd="0" presId="urn:microsoft.com/office/officeart/2005/8/layout/list1"/>
    <dgm:cxn modelId="{200DAEAD-3FCE-4FEA-B4CC-495D77B20105}" srcId="{B072A8E7-0B20-466D-ABF1-D5BAB4ADFC54}" destId="{CCE9297D-C44C-4763-A1ED-34B07CB40446}" srcOrd="0" destOrd="0" parTransId="{C95B3643-E9C9-4C64-90EE-5CE9095CC3CE}" sibTransId="{1462F4B9-7674-410A-9375-EC38ACEA54E5}"/>
    <dgm:cxn modelId="{7F4DCFE7-CD84-4E4D-ACF3-D52438B195A0}" type="presOf" srcId="{EC482B42-D697-40E5-8619-8D928B58E7B5}" destId="{168F178C-B5E5-44C0-AF73-09AE88DB8EDA}" srcOrd="0" destOrd="0" presId="urn:microsoft.com/office/officeart/2005/8/layout/list1"/>
    <dgm:cxn modelId="{4DB27ED3-A823-45EA-A879-7C8E4958E266}" type="presOf" srcId="{FD79364C-28D2-4F93-9648-DEAD067A19AF}" destId="{B65E05DE-C99A-4310-804B-30286470F9D9}" srcOrd="0" destOrd="0" presId="urn:microsoft.com/office/officeart/2005/8/layout/list1"/>
    <dgm:cxn modelId="{481F67C7-9FDE-47C7-91BD-7A22FD8CFE04}" type="presOf" srcId="{CCE9297D-C44C-4763-A1ED-34B07CB40446}" destId="{A5E36B7D-D254-44B4-9237-A5008049DFED}" srcOrd="0" destOrd="0" presId="urn:microsoft.com/office/officeart/2005/8/layout/list1"/>
    <dgm:cxn modelId="{66668B8F-E7EE-4863-A901-9949028278C4}" srcId="{CCE9297D-C44C-4763-A1ED-34B07CB40446}" destId="{FD79364C-28D2-4F93-9648-DEAD067A19AF}" srcOrd="0" destOrd="0" parTransId="{00628FF3-76ED-4121-9DC7-57BE941DCD8F}" sibTransId="{B3F3F8A5-CE8E-49C2-90F2-7869B710F901}"/>
    <dgm:cxn modelId="{25DE6005-B091-4AFF-8D73-7DED75515261}" type="presOf" srcId="{E9156BC7-3249-4F7C-B282-215BAA3A62CE}" destId="{DD9B0EEF-3281-4C22-B15E-1E8827C5395F}" srcOrd="0" destOrd="0" presId="urn:microsoft.com/office/officeart/2005/8/layout/list1"/>
    <dgm:cxn modelId="{E3E82E60-64E8-4B56-AFE6-A1EDC7AAE9E2}" type="presOf" srcId="{B46B73C5-2668-45D5-B321-A00B82D86EF4}" destId="{B65E05DE-C99A-4310-804B-30286470F9D9}" srcOrd="0" destOrd="2" presId="urn:microsoft.com/office/officeart/2005/8/layout/list1"/>
    <dgm:cxn modelId="{86B1B004-7DAE-43B0-BBC1-629CEF0B87F1}" type="presOf" srcId="{E7095A3B-A87F-44D7-804E-4A628896D082}" destId="{DD9B0EEF-3281-4C22-B15E-1E8827C5395F}" srcOrd="0" destOrd="1" presId="urn:microsoft.com/office/officeart/2005/8/layout/list1"/>
    <dgm:cxn modelId="{6B344D5D-44B1-4A70-A7F5-64A05792825B}" type="presOf" srcId="{9E6C27BC-DB9E-417D-B4C5-C1B0CF74F990}" destId="{DD9B0EEF-3281-4C22-B15E-1E8827C5395F}" srcOrd="0" destOrd="2" presId="urn:microsoft.com/office/officeart/2005/8/layout/list1"/>
    <dgm:cxn modelId="{F9F3FF5C-0491-480F-936A-8815797C18F3}" srcId="{B072A8E7-0B20-466D-ABF1-D5BAB4ADFC54}" destId="{EC482B42-D697-40E5-8619-8D928B58E7B5}" srcOrd="1" destOrd="0" parTransId="{84AF129E-93CD-44F5-B9A2-877BB7A36DF5}" sibTransId="{F1D0DBD0-67DD-4D69-A920-6B5F2D1B9063}"/>
    <dgm:cxn modelId="{8E2E62B7-0346-455A-AA08-A612B894C85B}" srcId="{EC482B42-D697-40E5-8619-8D928B58E7B5}" destId="{E7095A3B-A87F-44D7-804E-4A628896D082}" srcOrd="1" destOrd="0" parTransId="{5F00A4DB-B902-41FC-ABA3-3561446A83C9}" sibTransId="{38CFB66D-BC39-4C67-9C25-305FA2666259}"/>
    <dgm:cxn modelId="{55B8CA9E-06A1-484E-8D88-8C281E0D0075}" srcId="{EC482B42-D697-40E5-8619-8D928B58E7B5}" destId="{9E6C27BC-DB9E-417D-B4C5-C1B0CF74F990}" srcOrd="2" destOrd="0" parTransId="{2F3F9381-5913-4F83-9A8F-05B229C39E0D}" sibTransId="{16015775-6CE0-4275-B276-7AD2232CBD2C}"/>
    <dgm:cxn modelId="{925163D5-B5B3-4357-AA02-8CDF0776285B}" srcId="{CCE9297D-C44C-4763-A1ED-34B07CB40446}" destId="{B46B73C5-2668-45D5-B321-A00B82D86EF4}" srcOrd="2" destOrd="0" parTransId="{42C1266D-03BF-4824-B4A0-CFED07E7C170}" sibTransId="{C335F869-35AE-4067-AD0D-F3A5E227D45A}"/>
    <dgm:cxn modelId="{970B3002-611D-48AD-9CCF-926D7BDA0914}" type="presOf" srcId="{B072A8E7-0B20-466D-ABF1-D5BAB4ADFC54}" destId="{748B4EDB-0E23-4EE7-807F-4BAD0A7D4A4E}" srcOrd="0" destOrd="0" presId="urn:microsoft.com/office/officeart/2005/8/layout/list1"/>
    <dgm:cxn modelId="{659C8308-D948-4D1C-AF0E-883723AD7070}" srcId="{EC482B42-D697-40E5-8619-8D928B58E7B5}" destId="{E9156BC7-3249-4F7C-B282-215BAA3A62CE}" srcOrd="0" destOrd="0" parTransId="{B0F9C6B1-F88E-41A7-A5E8-1B8486008062}" sibTransId="{40D85D5B-0AFE-4318-AF93-A9B6D0DCD255}"/>
    <dgm:cxn modelId="{C07EDA2D-5A63-42C3-ADC0-E6AAE634CC80}" srcId="{CCE9297D-C44C-4763-A1ED-34B07CB40446}" destId="{A8782F17-6BBD-401C-B07F-9A62840354AD}" srcOrd="3" destOrd="0" parTransId="{09C12960-5558-49C2-9BEB-BFF848365F32}" sibTransId="{BE07CFE3-6A69-4283-9F07-02FE43663F6D}"/>
    <dgm:cxn modelId="{9466F4E5-43A4-42D2-93B1-1510F09C15A1}" type="presOf" srcId="{2107091C-A241-4ACB-92AF-158484787328}" destId="{B65E05DE-C99A-4310-804B-30286470F9D9}" srcOrd="0" destOrd="1" presId="urn:microsoft.com/office/officeart/2005/8/layout/list1"/>
    <dgm:cxn modelId="{32281CD0-4BE1-4574-AE76-08836FD20536}" type="presOf" srcId="{A8782F17-6BBD-401C-B07F-9A62840354AD}" destId="{B65E05DE-C99A-4310-804B-30286470F9D9}" srcOrd="0" destOrd="3" presId="urn:microsoft.com/office/officeart/2005/8/layout/list1"/>
    <dgm:cxn modelId="{C2C3556D-7FF5-4AB0-BF4E-9FE06D2D9B9F}" type="presParOf" srcId="{748B4EDB-0E23-4EE7-807F-4BAD0A7D4A4E}" destId="{5F315585-BDA6-424A-8C41-FD7736071479}" srcOrd="0" destOrd="0" presId="urn:microsoft.com/office/officeart/2005/8/layout/list1"/>
    <dgm:cxn modelId="{038F85C4-1AE9-4185-A356-D74F6AC48945}" type="presParOf" srcId="{5F315585-BDA6-424A-8C41-FD7736071479}" destId="{A5E36B7D-D254-44B4-9237-A5008049DFED}" srcOrd="0" destOrd="0" presId="urn:microsoft.com/office/officeart/2005/8/layout/list1"/>
    <dgm:cxn modelId="{28840E71-5AEC-49C6-8FAB-2D4A020D2A81}" type="presParOf" srcId="{5F315585-BDA6-424A-8C41-FD7736071479}" destId="{36C9C171-EB80-40A9-851C-7A1407D34F9F}" srcOrd="1" destOrd="0" presId="urn:microsoft.com/office/officeart/2005/8/layout/list1"/>
    <dgm:cxn modelId="{2ABECFEF-5A53-42B3-A410-45230CA03344}" type="presParOf" srcId="{748B4EDB-0E23-4EE7-807F-4BAD0A7D4A4E}" destId="{A8F063EA-CD24-4592-8B3B-387E0B861E12}" srcOrd="1" destOrd="0" presId="urn:microsoft.com/office/officeart/2005/8/layout/list1"/>
    <dgm:cxn modelId="{649CF284-37CE-4864-AE9C-7C6F84560F5F}" type="presParOf" srcId="{748B4EDB-0E23-4EE7-807F-4BAD0A7D4A4E}" destId="{B65E05DE-C99A-4310-804B-30286470F9D9}" srcOrd="2" destOrd="0" presId="urn:microsoft.com/office/officeart/2005/8/layout/list1"/>
    <dgm:cxn modelId="{34304C66-C505-4ED7-9997-F88183A0DC70}" type="presParOf" srcId="{748B4EDB-0E23-4EE7-807F-4BAD0A7D4A4E}" destId="{CAD0A3EC-BD61-4470-A599-A4F6C224F268}" srcOrd="3" destOrd="0" presId="urn:microsoft.com/office/officeart/2005/8/layout/list1"/>
    <dgm:cxn modelId="{B4DD39F7-88C9-4602-88F8-B2130E1E2FD4}" type="presParOf" srcId="{748B4EDB-0E23-4EE7-807F-4BAD0A7D4A4E}" destId="{5405B206-0A62-49CF-AF18-9027859B5FEB}" srcOrd="4" destOrd="0" presId="urn:microsoft.com/office/officeart/2005/8/layout/list1"/>
    <dgm:cxn modelId="{83627B4B-796B-4FF2-ACCC-F2201E9C20F9}" type="presParOf" srcId="{5405B206-0A62-49CF-AF18-9027859B5FEB}" destId="{168F178C-B5E5-44C0-AF73-09AE88DB8EDA}" srcOrd="0" destOrd="0" presId="urn:microsoft.com/office/officeart/2005/8/layout/list1"/>
    <dgm:cxn modelId="{DD16A086-98ED-4BF3-A613-E9A68200FD19}" type="presParOf" srcId="{5405B206-0A62-49CF-AF18-9027859B5FEB}" destId="{41A22ECE-F4DE-431B-A69A-9A8487C809C5}" srcOrd="1" destOrd="0" presId="urn:microsoft.com/office/officeart/2005/8/layout/list1"/>
    <dgm:cxn modelId="{092B8C80-AAB4-46E2-9B32-B8389E80395F}" type="presParOf" srcId="{748B4EDB-0E23-4EE7-807F-4BAD0A7D4A4E}" destId="{E5A9B704-F48E-4FBF-974C-2D3665667C07}" srcOrd="5" destOrd="0" presId="urn:microsoft.com/office/officeart/2005/8/layout/list1"/>
    <dgm:cxn modelId="{CB5F73FD-4EAC-4700-995B-7BF015450002}" type="presParOf" srcId="{748B4EDB-0E23-4EE7-807F-4BAD0A7D4A4E}" destId="{DD9B0EEF-3281-4C22-B15E-1E8827C5395F}" srcOrd="6" destOrd="0" presId="urn:microsoft.com/office/officeart/2005/8/layout/lis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B0F159B6-012C-4B9C-A1C8-63420226C826}" type="doc">
      <dgm:prSet loTypeId="urn:microsoft.com/office/officeart/2005/8/layout/vList5" loCatId="list" qsTypeId="urn:microsoft.com/office/officeart/2005/8/quickstyle/3d2" qsCatId="3D" csTypeId="urn:microsoft.com/office/officeart/2005/8/colors/colorful1" csCatId="colorful" phldr="1"/>
      <dgm:spPr/>
      <dgm:t>
        <a:bodyPr/>
        <a:lstStyle/>
        <a:p>
          <a:endParaRPr lang="es-ES"/>
        </a:p>
      </dgm:t>
    </dgm:pt>
    <dgm:pt modelId="{77B72D25-72D1-485C-AFB2-E793AAF5D965}">
      <dgm:prSet phldrT="[Texto]" custT="1"/>
      <dgm:spPr>
        <a:xfrm>
          <a:off x="0" y="498707"/>
          <a:ext cx="1887533" cy="563626"/>
        </a:xfrm>
        <a:prstGeom prst="round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Convivencia</a:t>
          </a:r>
        </a:p>
      </dgm:t>
    </dgm:pt>
    <dgm:pt modelId="{4D56C44E-91C7-497E-9A0E-0E78EE3EF772}" type="parTrans" cxnId="{409EAAB0-1DEF-4FB0-84FE-16CBEF8DD728}">
      <dgm:prSet/>
      <dgm:spPr/>
      <dgm:t>
        <a:bodyPr/>
        <a:lstStyle/>
        <a:p>
          <a:endParaRPr lang="es-ES"/>
        </a:p>
      </dgm:t>
    </dgm:pt>
    <dgm:pt modelId="{DA237814-E26A-4319-BEA6-F1389E719CDD}" type="sibTrans" cxnId="{409EAAB0-1DEF-4FB0-84FE-16CBEF8DD728}">
      <dgm:prSet/>
      <dgm:spPr/>
      <dgm:t>
        <a:bodyPr/>
        <a:lstStyle/>
        <a:p>
          <a:endParaRPr lang="es-ES"/>
        </a:p>
      </dgm:t>
    </dgm:pt>
    <dgm:pt modelId="{1F652A43-F820-489F-B4CE-2494E21FA059}">
      <dgm:prSet phldrT="[Texto]" custT="1"/>
      <dgm:spPr>
        <a:xfrm rot="5400000">
          <a:off x="2791176" y="-899617"/>
          <a:ext cx="1541174" cy="3343334"/>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Integración en el grupo de residentes e interacción positiva con las compañeras.</a:t>
          </a:r>
        </a:p>
      </dgm:t>
    </dgm:pt>
    <dgm:pt modelId="{1A0C0F66-161E-4018-9CC5-52C537E4FB96}" type="parTrans" cxnId="{FF530EE8-825E-4600-91A6-A240D6A68487}">
      <dgm:prSet/>
      <dgm:spPr/>
      <dgm:t>
        <a:bodyPr/>
        <a:lstStyle/>
        <a:p>
          <a:endParaRPr lang="es-ES"/>
        </a:p>
      </dgm:t>
    </dgm:pt>
    <dgm:pt modelId="{2B7A28F7-A211-420A-9EAD-33B0DAB4A123}" type="sibTrans" cxnId="{FF530EE8-825E-4600-91A6-A240D6A68487}">
      <dgm:prSet/>
      <dgm:spPr/>
      <dgm:t>
        <a:bodyPr/>
        <a:lstStyle/>
        <a:p>
          <a:endParaRPr lang="es-ES"/>
        </a:p>
      </dgm:t>
    </dgm:pt>
    <dgm:pt modelId="{5AF64968-DD4F-4F66-B5E1-595F3BFE4DB4}">
      <dgm:prSet phldrT="[Texto]" custT="1"/>
      <dgm:spPr>
        <a:xfrm>
          <a:off x="2562" y="2109824"/>
          <a:ext cx="1887533" cy="563626"/>
        </a:xfrm>
        <a:prstGeom prst="roundRect">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Relaciones sociales externas</a:t>
          </a:r>
        </a:p>
      </dgm:t>
    </dgm:pt>
    <dgm:pt modelId="{5F77AA68-6D2F-4869-9E8B-7A9876EAFEF3}" type="parTrans" cxnId="{90CBE22A-7B9C-45E4-935B-08A3925402D9}">
      <dgm:prSet/>
      <dgm:spPr/>
      <dgm:t>
        <a:bodyPr/>
        <a:lstStyle/>
        <a:p>
          <a:endParaRPr lang="es-ES"/>
        </a:p>
      </dgm:t>
    </dgm:pt>
    <dgm:pt modelId="{3A9795FB-317C-4E32-8A76-6C1ECB84F65D}" type="sibTrans" cxnId="{90CBE22A-7B9C-45E4-935B-08A3925402D9}">
      <dgm:prSet/>
      <dgm:spPr/>
      <dgm:t>
        <a:bodyPr/>
        <a:lstStyle/>
        <a:p>
          <a:endParaRPr lang="es-ES"/>
        </a:p>
      </dgm:t>
    </dgm:pt>
    <dgm:pt modelId="{2A1C46BB-B699-4436-BB9B-7E9941945C90}">
      <dgm:prSet phldrT="[Texto]" custT="1"/>
      <dgm: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personas externas a la casa con las que mantiene contacto.</a:t>
          </a:r>
        </a:p>
      </dgm:t>
    </dgm:pt>
    <dgm:pt modelId="{00FE1E7A-14A0-439D-B302-008044E5DE98}" type="parTrans" cxnId="{09E8C78B-E420-4C8F-870B-D4B1240BEB3E}">
      <dgm:prSet/>
      <dgm:spPr/>
      <dgm:t>
        <a:bodyPr/>
        <a:lstStyle/>
        <a:p>
          <a:endParaRPr lang="es-ES"/>
        </a:p>
      </dgm:t>
    </dgm:pt>
    <dgm:pt modelId="{D51BB552-D243-43C5-9D63-CA2DEA51612D}" type="sibTrans" cxnId="{09E8C78B-E420-4C8F-870B-D4B1240BEB3E}">
      <dgm:prSet/>
      <dgm:spPr/>
      <dgm:t>
        <a:bodyPr/>
        <a:lstStyle/>
        <a:p>
          <a:endParaRPr lang="es-ES"/>
        </a:p>
      </dgm:t>
    </dgm:pt>
    <dgm:pt modelId="{DF330566-2774-4F75-B321-7E64D804F8F9}">
      <dgm:prSet phldrT="[Texto]" custT="1"/>
      <dgm:spPr>
        <a:xfrm>
          <a:off x="2562" y="3747600"/>
          <a:ext cx="1887533" cy="563626"/>
        </a:xfrm>
        <a:prstGeom prst="round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Higiene y cuidado personal</a:t>
          </a:r>
        </a:p>
      </dgm:t>
    </dgm:pt>
    <dgm:pt modelId="{D6DC72BA-7658-4D6B-9D30-131269D591D4}" type="parTrans" cxnId="{56301C62-0452-48B6-8B9F-B0CA545F8E75}">
      <dgm:prSet/>
      <dgm:spPr/>
      <dgm:t>
        <a:bodyPr/>
        <a:lstStyle/>
        <a:p>
          <a:endParaRPr lang="es-ES"/>
        </a:p>
      </dgm:t>
    </dgm:pt>
    <dgm:pt modelId="{353E336E-D0A1-426B-84A3-4B796354BE8F}" type="sibTrans" cxnId="{56301C62-0452-48B6-8B9F-B0CA545F8E75}">
      <dgm:prSet/>
      <dgm:spPr/>
      <dgm:t>
        <a:bodyPr/>
        <a:lstStyle/>
        <a:p>
          <a:endParaRPr lang="es-ES"/>
        </a:p>
      </dgm:t>
    </dgm:pt>
    <dgm:pt modelId="{FCB63E68-658F-41B5-BF18-0C36F1C5A3DA}">
      <dgm:prSet phldrT="[Texto]"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Nº de duchas diarias.</a:t>
          </a:r>
        </a:p>
      </dgm:t>
    </dgm:pt>
    <dgm:pt modelId="{E9D766F4-F575-4C2C-8B44-68E1E9408E98}" type="parTrans" cxnId="{9FB5DDB1-E1E2-4028-81C3-BCF822AABBD1}">
      <dgm:prSet/>
      <dgm:spPr/>
      <dgm:t>
        <a:bodyPr/>
        <a:lstStyle/>
        <a:p>
          <a:endParaRPr lang="es-ES"/>
        </a:p>
      </dgm:t>
    </dgm:pt>
    <dgm:pt modelId="{8A8D670B-1ED9-4D83-8A06-0C1E1B162D4C}" type="sibTrans" cxnId="{9FB5DDB1-E1E2-4028-81C3-BCF822AABBD1}">
      <dgm:prSet/>
      <dgm:spPr/>
      <dgm:t>
        <a:bodyPr/>
        <a:lstStyle/>
        <a:p>
          <a:endParaRPr lang="es-ES"/>
        </a:p>
      </dgm:t>
    </dgm:pt>
    <dgm:pt modelId="{892BB98D-C4DD-4213-99A1-012DB6EA4818}">
      <dgm:prSet custT="1"/>
      <dgm:spPr>
        <a:xfrm rot="5400000">
          <a:off x="2791176" y="-899617"/>
          <a:ext cx="1541174" cy="3343334"/>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compañeras con las que mantiene buena relación.</a:t>
          </a:r>
        </a:p>
      </dgm:t>
    </dgm:pt>
    <dgm:pt modelId="{32387431-08E4-4AE1-B392-FD1B66512C0B}" type="parTrans" cxnId="{0FCE237C-0A12-45A2-80CC-F6A1E9DD8ADA}">
      <dgm:prSet/>
      <dgm:spPr/>
      <dgm:t>
        <a:bodyPr/>
        <a:lstStyle/>
        <a:p>
          <a:endParaRPr lang="es-ES"/>
        </a:p>
      </dgm:t>
    </dgm:pt>
    <dgm:pt modelId="{FCB32802-4634-4D2E-823C-1CBDB9C66541}" type="sibTrans" cxnId="{0FCE237C-0A12-45A2-80CC-F6A1E9DD8ADA}">
      <dgm:prSet/>
      <dgm:spPr/>
      <dgm:t>
        <a:bodyPr/>
        <a:lstStyle/>
        <a:p>
          <a:endParaRPr lang="es-ES"/>
        </a:p>
      </dgm:t>
    </dgm:pt>
    <dgm:pt modelId="{18DD42C8-83BA-4244-93B1-D0DD5D265E76}">
      <dgm:prSet custT="1"/>
      <dgm:spPr>
        <a:xfrm rot="5400000">
          <a:off x="2791176" y="-899617"/>
          <a:ext cx="1541174" cy="3343334"/>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conflictos en los que ha estado involucrada, de índole físico o verbal.</a:t>
          </a:r>
        </a:p>
      </dgm:t>
    </dgm:pt>
    <dgm:pt modelId="{545DF756-2D5D-4FE3-A786-32072466147E}" type="parTrans" cxnId="{6B95478D-54F7-48EC-92C0-36C219AEC471}">
      <dgm:prSet/>
      <dgm:spPr/>
      <dgm:t>
        <a:bodyPr/>
        <a:lstStyle/>
        <a:p>
          <a:endParaRPr lang="es-ES"/>
        </a:p>
      </dgm:t>
    </dgm:pt>
    <dgm:pt modelId="{B50AF59D-CDE8-4A75-899A-1E0131764844}" type="sibTrans" cxnId="{6B95478D-54F7-48EC-92C0-36C219AEC471}">
      <dgm:prSet/>
      <dgm:spPr/>
      <dgm:t>
        <a:bodyPr/>
        <a:lstStyle/>
        <a:p>
          <a:endParaRPr lang="es-ES"/>
        </a:p>
      </dgm:t>
    </dgm:pt>
    <dgm:pt modelId="{64473697-A933-4AF0-99E3-BA812B83DE17}">
      <dgm:prSet custT="1"/>
      <dgm:spPr>
        <a:xfrm rot="5400000">
          <a:off x="2791176" y="-899617"/>
          <a:ext cx="1541174" cy="3343334"/>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Asistencia a las asambleas/talleres con participación activa y actitud positiva.</a:t>
          </a:r>
        </a:p>
      </dgm:t>
    </dgm:pt>
    <dgm:pt modelId="{B86BC695-2C51-4B7C-BB5D-B88BBF095597}" type="parTrans" cxnId="{590F35E5-3EA7-4E10-9B70-7644F9B02A12}">
      <dgm:prSet/>
      <dgm:spPr/>
      <dgm:t>
        <a:bodyPr/>
        <a:lstStyle/>
        <a:p>
          <a:endParaRPr lang="es-ES"/>
        </a:p>
      </dgm:t>
    </dgm:pt>
    <dgm:pt modelId="{52FC2347-C691-4D48-BF6A-477D35541D0B}" type="sibTrans" cxnId="{590F35E5-3EA7-4E10-9B70-7644F9B02A12}">
      <dgm:prSet/>
      <dgm:spPr/>
      <dgm:t>
        <a:bodyPr/>
        <a:lstStyle/>
        <a:p>
          <a:endParaRPr lang="es-ES"/>
        </a:p>
      </dgm:t>
    </dgm:pt>
    <dgm:pt modelId="{501E7CD1-F81C-44EA-823F-C14F303E3097}">
      <dgm:prSet custT="1"/>
      <dgm:spPr>
        <a:xfrm rot="5400000">
          <a:off x="2791176" y="-899617"/>
          <a:ext cx="1541174" cy="3343334"/>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 Cumplimiento con las tareas del  hogar y otras responsabilidades</a:t>
          </a:r>
          <a:endParaRPr lang="es-ES" sz="600">
            <a:solidFill>
              <a:sysClr val="windowText" lastClr="000000">
                <a:hueOff val="0"/>
                <a:satOff val="0"/>
                <a:lumOff val="0"/>
                <a:alphaOff val="0"/>
              </a:sysClr>
            </a:solidFill>
            <a:latin typeface="Calibri" panose="020F0502020204030204"/>
            <a:ea typeface="+mn-ea"/>
            <a:cs typeface="+mn-cs"/>
          </a:endParaRPr>
        </a:p>
      </dgm:t>
    </dgm:pt>
    <dgm:pt modelId="{E7B91452-44D1-48BE-B75B-95D8FFB91274}" type="parTrans" cxnId="{623252DF-DF9D-423C-BE6A-5F6D19D4C999}">
      <dgm:prSet/>
      <dgm:spPr/>
      <dgm:t>
        <a:bodyPr/>
        <a:lstStyle/>
        <a:p>
          <a:endParaRPr lang="es-ES"/>
        </a:p>
      </dgm:t>
    </dgm:pt>
    <dgm:pt modelId="{98E15989-E108-48ED-BCE4-7D983288E1EA}" type="sibTrans" cxnId="{623252DF-DF9D-423C-BE6A-5F6D19D4C999}">
      <dgm:prSet/>
      <dgm:spPr/>
      <dgm:t>
        <a:bodyPr/>
        <a:lstStyle/>
        <a:p>
          <a:endParaRPr lang="es-ES"/>
        </a:p>
      </dgm:t>
    </dgm:pt>
    <dgm:pt modelId="{349707CE-8295-4EA0-B7C8-561BD87392B4}">
      <dgm:prSet custT="1"/>
      <dgm: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acude a encuentros o actividades  externas.</a:t>
          </a:r>
        </a:p>
      </dgm:t>
    </dgm:pt>
    <dgm:pt modelId="{D38C6FA6-E7E4-4C11-8BA5-C1210B536D4A}" type="parTrans" cxnId="{9B515047-949B-454B-9AEB-6CC28A9FD2EB}">
      <dgm:prSet/>
      <dgm:spPr/>
      <dgm:t>
        <a:bodyPr/>
        <a:lstStyle/>
        <a:p>
          <a:endParaRPr lang="es-ES"/>
        </a:p>
      </dgm:t>
    </dgm:pt>
    <dgm:pt modelId="{220E6E32-19BD-4820-9C0D-631733D99095}" type="sibTrans" cxnId="{9B515047-949B-454B-9AEB-6CC28A9FD2EB}">
      <dgm:prSet/>
      <dgm:spPr/>
      <dgm:t>
        <a:bodyPr/>
        <a:lstStyle/>
        <a:p>
          <a:endParaRPr lang="es-ES"/>
        </a:p>
      </dgm:t>
    </dgm:pt>
    <dgm:pt modelId="{6A7DD7AE-9D02-44BB-9AAD-4469062CE6BA}">
      <dgm:prSet custT="1"/>
      <dgm: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Influencia de las personas/ambiente en el que se desarrollan las relaciones sociales.</a:t>
          </a:r>
        </a:p>
      </dgm:t>
    </dgm:pt>
    <dgm:pt modelId="{B09CCF03-3AC8-44A3-BA1E-FB379967EA46}" type="parTrans" cxnId="{2637E846-A50D-4445-846F-925C2FE433C6}">
      <dgm:prSet/>
      <dgm:spPr/>
      <dgm:t>
        <a:bodyPr/>
        <a:lstStyle/>
        <a:p>
          <a:endParaRPr lang="es-ES"/>
        </a:p>
      </dgm:t>
    </dgm:pt>
    <dgm:pt modelId="{8E0C31D7-171A-48B7-B57A-482A3733067F}" type="sibTrans" cxnId="{2637E846-A50D-4445-846F-925C2FE433C6}">
      <dgm:prSet/>
      <dgm:spPr/>
      <dgm:t>
        <a:bodyPr/>
        <a:lstStyle/>
        <a:p>
          <a:endParaRPr lang="es-ES"/>
        </a:p>
      </dgm:t>
    </dgm:pt>
    <dgm:pt modelId="{43533F0F-8887-49DC-8CC2-3B826912D796}">
      <dgm:prSet custT="1"/>
      <dgm: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Habilidad para desarrollar nuevas amistades o contactos.</a:t>
          </a:r>
        </a:p>
      </dgm:t>
    </dgm:pt>
    <dgm:pt modelId="{6394884D-F9C3-4BB3-B27E-6BA8E6F537A9}" type="parTrans" cxnId="{BE3BD842-98F7-4612-A7EE-38E72C7BFC32}">
      <dgm:prSet/>
      <dgm:spPr/>
      <dgm:t>
        <a:bodyPr/>
        <a:lstStyle/>
        <a:p>
          <a:endParaRPr lang="es-ES"/>
        </a:p>
      </dgm:t>
    </dgm:pt>
    <dgm:pt modelId="{34FDF5E2-517B-4051-A520-F21BB3E473C9}" type="sibTrans" cxnId="{BE3BD842-98F7-4612-A7EE-38E72C7BFC32}">
      <dgm:prSet/>
      <dgm:spPr/>
      <dgm:t>
        <a:bodyPr/>
        <a:lstStyle/>
        <a:p>
          <a:endParaRPr lang="es-ES"/>
        </a:p>
      </dgm:t>
    </dgm:pt>
    <dgm:pt modelId="{48731452-7D85-4169-981D-4A246B7C36BC}">
      <dgm:prSet custT="1"/>
      <dgm: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Frecuencia de llamadas telefónicas</a:t>
          </a:r>
        </a:p>
      </dgm:t>
    </dgm:pt>
    <dgm:pt modelId="{4F2C2CC1-FDBD-4506-B93B-FF3222655C93}" type="parTrans" cxnId="{ECF24ED9-1644-439B-9513-86F4CE995874}">
      <dgm:prSet/>
      <dgm:spPr/>
      <dgm:t>
        <a:bodyPr/>
        <a:lstStyle/>
        <a:p>
          <a:endParaRPr lang="es-ES"/>
        </a:p>
      </dgm:t>
    </dgm:pt>
    <dgm:pt modelId="{9445EB7A-524D-4057-B093-785D7AD45320}" type="sibTrans" cxnId="{ECF24ED9-1644-439B-9513-86F4CE995874}">
      <dgm:prSet/>
      <dgm:spPr/>
      <dgm:t>
        <a:bodyPr/>
        <a:lstStyle/>
        <a:p>
          <a:endParaRPr lang="es-ES"/>
        </a:p>
      </dgm:t>
    </dgm:pt>
    <dgm:pt modelId="{67B65BAC-3ADA-48F9-A794-E9052431AE58}">
      <dgm:prSet custT="1"/>
      <dgm: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endParaRPr lang="es-ES" sz="900">
            <a:solidFill>
              <a:sysClr val="windowText" lastClr="000000">
                <a:hueOff val="0"/>
                <a:satOff val="0"/>
                <a:lumOff val="0"/>
                <a:alphaOff val="0"/>
              </a:sysClr>
            </a:solidFill>
            <a:latin typeface="Calibri" panose="020F0502020204030204"/>
            <a:ea typeface="+mn-ea"/>
            <a:cs typeface="+mn-cs"/>
          </a:endParaRPr>
        </a:p>
      </dgm:t>
    </dgm:pt>
    <dgm:pt modelId="{D51B7261-EFC0-495C-8864-1AA2ADF080AB}" type="parTrans" cxnId="{739AB5FF-A535-4A0F-9860-9DBCB9D34550}">
      <dgm:prSet/>
      <dgm:spPr/>
      <dgm:t>
        <a:bodyPr/>
        <a:lstStyle/>
        <a:p>
          <a:endParaRPr lang="es-ES"/>
        </a:p>
      </dgm:t>
    </dgm:pt>
    <dgm:pt modelId="{4295F5A5-2C03-445A-9AFD-F5F2B25D0C45}" type="sibTrans" cxnId="{739AB5FF-A535-4A0F-9860-9DBCB9D34550}">
      <dgm:prSet/>
      <dgm:spPr/>
      <dgm:t>
        <a:bodyPr/>
        <a:lstStyle/>
        <a:p>
          <a:endParaRPr lang="es-ES"/>
        </a:p>
      </dgm:t>
    </dgm:pt>
    <dgm:pt modelId="{7813DC15-0F7B-4065-AD6A-C3A8FB56ABC5}">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Nº de veces que se cepilla los dientes.</a:t>
          </a:r>
        </a:p>
      </dgm:t>
    </dgm:pt>
    <dgm:pt modelId="{18A53E62-92D8-4D12-9B79-E836FBE34743}" type="parTrans" cxnId="{4EAEFE9C-FB30-439E-9E0A-04084E4537CA}">
      <dgm:prSet/>
      <dgm:spPr/>
      <dgm:t>
        <a:bodyPr/>
        <a:lstStyle/>
        <a:p>
          <a:endParaRPr lang="es-ES"/>
        </a:p>
      </dgm:t>
    </dgm:pt>
    <dgm:pt modelId="{0ECBCE4B-B946-4948-BFAF-3C2DAE48C0ED}" type="sibTrans" cxnId="{4EAEFE9C-FB30-439E-9E0A-04084E4537CA}">
      <dgm:prSet/>
      <dgm:spPr/>
      <dgm:t>
        <a:bodyPr/>
        <a:lstStyle/>
        <a:p>
          <a:endParaRPr lang="es-ES"/>
        </a:p>
      </dgm:t>
    </dgm:pt>
    <dgm:pt modelId="{B2545AA3-5ABE-4EA9-9610-04AD10B7E7AF}">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Nº de veces que se lava las manos antes de las comidas o preparación de la misma.</a:t>
          </a:r>
        </a:p>
      </dgm:t>
    </dgm:pt>
    <dgm:pt modelId="{0FA732A7-3BC6-4588-9677-A66B8C84C76D}" type="parTrans" cxnId="{BB26922C-EDAD-4FCD-8051-1FA911043286}">
      <dgm:prSet/>
      <dgm:spPr/>
      <dgm:t>
        <a:bodyPr/>
        <a:lstStyle/>
        <a:p>
          <a:endParaRPr lang="es-ES"/>
        </a:p>
      </dgm:t>
    </dgm:pt>
    <dgm:pt modelId="{ED52E469-76A0-4335-A857-483367EE2140}" type="sibTrans" cxnId="{BB26922C-EDAD-4FCD-8051-1FA911043286}">
      <dgm:prSet/>
      <dgm:spPr/>
      <dgm:t>
        <a:bodyPr/>
        <a:lstStyle/>
        <a:p>
          <a:endParaRPr lang="es-ES"/>
        </a:p>
      </dgm:t>
    </dgm:pt>
    <dgm:pt modelId="{82565C64-6D95-4731-BE8F-1C16DC93956F}">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Nivel de independencia en su higiene.</a:t>
          </a:r>
        </a:p>
      </dgm:t>
    </dgm:pt>
    <dgm:pt modelId="{C07712DD-BCBE-4DE7-98E1-6F0BF171BF9A}" type="parTrans" cxnId="{D455EE99-4039-4893-92AA-0F16EFB7C05A}">
      <dgm:prSet/>
      <dgm:spPr/>
      <dgm:t>
        <a:bodyPr/>
        <a:lstStyle/>
        <a:p>
          <a:endParaRPr lang="es-ES"/>
        </a:p>
      </dgm:t>
    </dgm:pt>
    <dgm:pt modelId="{9FA0DD29-9F42-4A19-ADA7-47CBF4205C36}" type="sibTrans" cxnId="{D455EE99-4039-4893-92AA-0F16EFB7C05A}">
      <dgm:prSet/>
      <dgm:spPr/>
      <dgm:t>
        <a:bodyPr/>
        <a:lstStyle/>
        <a:p>
          <a:endParaRPr lang="es-ES"/>
        </a:p>
      </dgm:t>
    </dgm:pt>
    <dgm:pt modelId="{D8A0FFCA-DBAB-45A6-BB72-81AB247AA535}">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Limpieza de su ropa o enseres de cama.</a:t>
          </a:r>
        </a:p>
      </dgm:t>
    </dgm:pt>
    <dgm:pt modelId="{C7A602DF-FDBC-4DA1-82B5-F39B9CF9B455}" type="parTrans" cxnId="{EE31456A-F26B-430A-9673-BCF2EF7E24C5}">
      <dgm:prSet/>
      <dgm:spPr/>
      <dgm:t>
        <a:bodyPr/>
        <a:lstStyle/>
        <a:p>
          <a:endParaRPr lang="es-ES"/>
        </a:p>
      </dgm:t>
    </dgm:pt>
    <dgm:pt modelId="{6DBD61D6-1856-484E-8061-7146BA9C2D3E}" type="sibTrans" cxnId="{EE31456A-F26B-430A-9673-BCF2EF7E24C5}">
      <dgm:prSet/>
      <dgm:spPr/>
      <dgm:t>
        <a:bodyPr/>
        <a:lstStyle/>
        <a:p>
          <a:endParaRPr lang="es-ES"/>
        </a:p>
      </dgm:t>
    </dgm:pt>
    <dgm:pt modelId="{9B12A683-A49F-4A64-8F03-B522382049D0}">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Atención al aspecto de sus manos y pies.</a:t>
          </a:r>
        </a:p>
      </dgm:t>
    </dgm:pt>
    <dgm:pt modelId="{09DB5F67-A8F3-410B-A418-24BD7856F30E}" type="parTrans" cxnId="{A5EB5C06-B82B-4622-BD4D-F90D6213F6A6}">
      <dgm:prSet/>
      <dgm:spPr/>
      <dgm:t>
        <a:bodyPr/>
        <a:lstStyle/>
        <a:p>
          <a:endParaRPr lang="es-ES"/>
        </a:p>
      </dgm:t>
    </dgm:pt>
    <dgm:pt modelId="{24375441-CD60-4584-A47A-38DCF27CB017}" type="sibTrans" cxnId="{A5EB5C06-B82B-4622-BD4D-F90D6213F6A6}">
      <dgm:prSet/>
      <dgm:spPr/>
      <dgm:t>
        <a:bodyPr/>
        <a:lstStyle/>
        <a:p>
          <a:endParaRPr lang="es-ES"/>
        </a:p>
      </dgm:t>
    </dgm:pt>
    <dgm:pt modelId="{EE6BEFC4-2E10-4762-83B3-7CA73398604C}">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Idoneidad del maquillaje, cabello y vestimenta.</a:t>
          </a:r>
        </a:p>
      </dgm:t>
    </dgm:pt>
    <dgm:pt modelId="{4A8CB655-C06E-4D69-A0B0-90C1B1DB841C}" type="parTrans" cxnId="{0C851167-40DA-4339-839D-E7BD399F929C}">
      <dgm:prSet/>
      <dgm:spPr/>
      <dgm:t>
        <a:bodyPr/>
        <a:lstStyle/>
        <a:p>
          <a:endParaRPr lang="es-ES"/>
        </a:p>
      </dgm:t>
    </dgm:pt>
    <dgm:pt modelId="{68777A07-0A12-4F0B-9E58-104791E332EB}" type="sibTrans" cxnId="{0C851167-40DA-4339-839D-E7BD399F929C}">
      <dgm:prSet/>
      <dgm:spPr/>
      <dgm:t>
        <a:bodyPr/>
        <a:lstStyle/>
        <a:p>
          <a:endParaRPr lang="es-ES"/>
        </a:p>
      </dgm:t>
    </dgm:pt>
    <dgm:pt modelId="{3B5D32E7-9C58-4D04-98D7-F58007BC88F8}">
      <dgm:prSet custT="1"/>
      <dgm: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Importancia otorgada a la imagen personal.</a:t>
          </a:r>
        </a:p>
      </dgm:t>
    </dgm:pt>
    <dgm:pt modelId="{8626CEA0-63B4-4C5E-92FA-74ECDE812978}" type="parTrans" cxnId="{2D7A4631-3E59-4805-A201-323A3CF7103F}">
      <dgm:prSet/>
      <dgm:spPr/>
      <dgm:t>
        <a:bodyPr/>
        <a:lstStyle/>
        <a:p>
          <a:endParaRPr lang="es-ES"/>
        </a:p>
      </dgm:t>
    </dgm:pt>
    <dgm:pt modelId="{8AB14E27-0710-4A9C-91CC-E1AB8040C8FA}" type="sibTrans" cxnId="{2D7A4631-3E59-4805-A201-323A3CF7103F}">
      <dgm:prSet/>
      <dgm:spPr/>
      <dgm:t>
        <a:bodyPr/>
        <a:lstStyle/>
        <a:p>
          <a:endParaRPr lang="es-ES"/>
        </a:p>
      </dgm:t>
    </dgm:pt>
    <dgm:pt modelId="{9DC6D41B-B371-4589-AAD7-53014528D372}" type="pres">
      <dgm:prSet presAssocID="{B0F159B6-012C-4B9C-A1C8-63420226C826}" presName="Name0" presStyleCnt="0">
        <dgm:presLayoutVars>
          <dgm:dir/>
          <dgm:animLvl val="lvl"/>
          <dgm:resizeHandles val="exact"/>
        </dgm:presLayoutVars>
      </dgm:prSet>
      <dgm:spPr/>
      <dgm:t>
        <a:bodyPr/>
        <a:lstStyle/>
        <a:p>
          <a:endParaRPr lang="es-ES"/>
        </a:p>
      </dgm:t>
    </dgm:pt>
    <dgm:pt modelId="{50A0F13E-1B6B-4E0D-96E8-95B81B881AC2}" type="pres">
      <dgm:prSet presAssocID="{77B72D25-72D1-485C-AFB2-E793AAF5D965}" presName="linNode" presStyleCnt="0"/>
      <dgm:spPr/>
      <dgm:t>
        <a:bodyPr/>
        <a:lstStyle/>
        <a:p>
          <a:endParaRPr lang="es-ES"/>
        </a:p>
      </dgm:t>
    </dgm:pt>
    <dgm:pt modelId="{38CE0231-978A-48B5-8374-8202FED02437}" type="pres">
      <dgm:prSet presAssocID="{77B72D25-72D1-485C-AFB2-E793AAF5D965}" presName="parentText" presStyleLbl="node1" presStyleIdx="0" presStyleCnt="3" custLinFactNeighborX="-2555" custLinFactNeighborY="1503">
        <dgm:presLayoutVars>
          <dgm:chMax val="1"/>
          <dgm:bulletEnabled val="1"/>
        </dgm:presLayoutVars>
      </dgm:prSet>
      <dgm:spPr/>
      <dgm:t>
        <a:bodyPr/>
        <a:lstStyle/>
        <a:p>
          <a:endParaRPr lang="es-ES"/>
        </a:p>
      </dgm:t>
    </dgm:pt>
    <dgm:pt modelId="{349A4A95-C16C-4A26-9B19-0E4936D5607E}" type="pres">
      <dgm:prSet presAssocID="{77B72D25-72D1-485C-AFB2-E793AAF5D965}" presName="descendantText" presStyleLbl="alignAccFollowNode1" presStyleIdx="0" presStyleCnt="3" custScaleX="99634" custScaleY="341799">
        <dgm:presLayoutVars>
          <dgm:bulletEnabled val="1"/>
        </dgm:presLayoutVars>
      </dgm:prSet>
      <dgm:spPr/>
      <dgm:t>
        <a:bodyPr/>
        <a:lstStyle/>
        <a:p>
          <a:endParaRPr lang="es-ES"/>
        </a:p>
      </dgm:t>
    </dgm:pt>
    <dgm:pt modelId="{613FB6A4-E4A0-4299-9EE5-190174E0ED65}" type="pres">
      <dgm:prSet presAssocID="{DA237814-E26A-4319-BEA6-F1389E719CDD}" presName="sp" presStyleCnt="0"/>
      <dgm:spPr/>
      <dgm:t>
        <a:bodyPr/>
        <a:lstStyle/>
        <a:p>
          <a:endParaRPr lang="es-ES"/>
        </a:p>
      </dgm:t>
    </dgm:pt>
    <dgm:pt modelId="{17D541ED-09DE-434E-9604-9176A9A0886E}" type="pres">
      <dgm:prSet presAssocID="{5AF64968-DD4F-4F66-B5E1-595F3BFE4DB4}" presName="linNode" presStyleCnt="0"/>
      <dgm:spPr/>
      <dgm:t>
        <a:bodyPr/>
        <a:lstStyle/>
        <a:p>
          <a:endParaRPr lang="es-ES"/>
        </a:p>
      </dgm:t>
    </dgm:pt>
    <dgm:pt modelId="{C0210D2E-C701-460D-B37E-41DF6A57A3AC}" type="pres">
      <dgm:prSet presAssocID="{5AF64968-DD4F-4F66-B5E1-595F3BFE4DB4}" presName="parentText" presStyleLbl="node1" presStyleIdx="1" presStyleCnt="3">
        <dgm:presLayoutVars>
          <dgm:chMax val="1"/>
          <dgm:bulletEnabled val="1"/>
        </dgm:presLayoutVars>
      </dgm:prSet>
      <dgm:spPr/>
      <dgm:t>
        <a:bodyPr/>
        <a:lstStyle/>
        <a:p>
          <a:endParaRPr lang="es-ES"/>
        </a:p>
      </dgm:t>
    </dgm:pt>
    <dgm:pt modelId="{96BA161E-E37E-4680-89E3-ABD507B913CF}" type="pres">
      <dgm:prSet presAssocID="{5AF64968-DD4F-4F66-B5E1-595F3BFE4DB4}" presName="descendantText" presStyleLbl="alignAccFollowNode1" presStyleIdx="1" presStyleCnt="3" custScaleY="364080">
        <dgm:presLayoutVars>
          <dgm:bulletEnabled val="1"/>
        </dgm:presLayoutVars>
      </dgm:prSet>
      <dgm:spPr/>
      <dgm:t>
        <a:bodyPr/>
        <a:lstStyle/>
        <a:p>
          <a:endParaRPr lang="es-ES"/>
        </a:p>
      </dgm:t>
    </dgm:pt>
    <dgm:pt modelId="{83E902D4-5D12-481E-A511-B96CBD2BDD1B}" type="pres">
      <dgm:prSet presAssocID="{3A9795FB-317C-4E32-8A76-6C1ECB84F65D}" presName="sp" presStyleCnt="0"/>
      <dgm:spPr/>
      <dgm:t>
        <a:bodyPr/>
        <a:lstStyle/>
        <a:p>
          <a:endParaRPr lang="es-ES"/>
        </a:p>
      </dgm:t>
    </dgm:pt>
    <dgm:pt modelId="{82A134D6-6481-44FA-8CCC-83E2B1B443B1}" type="pres">
      <dgm:prSet presAssocID="{DF330566-2774-4F75-B321-7E64D804F8F9}" presName="linNode" presStyleCnt="0"/>
      <dgm:spPr/>
      <dgm:t>
        <a:bodyPr/>
        <a:lstStyle/>
        <a:p>
          <a:endParaRPr lang="es-ES"/>
        </a:p>
      </dgm:t>
    </dgm:pt>
    <dgm:pt modelId="{CD708B2F-0177-4324-BC30-F951BAFF0D8C}" type="pres">
      <dgm:prSet presAssocID="{DF330566-2774-4F75-B321-7E64D804F8F9}" presName="parentText" presStyleLbl="node1" presStyleIdx="2" presStyleCnt="3">
        <dgm:presLayoutVars>
          <dgm:chMax val="1"/>
          <dgm:bulletEnabled val="1"/>
        </dgm:presLayoutVars>
      </dgm:prSet>
      <dgm:spPr/>
      <dgm:t>
        <a:bodyPr/>
        <a:lstStyle/>
        <a:p>
          <a:endParaRPr lang="es-ES"/>
        </a:p>
      </dgm:t>
    </dgm:pt>
    <dgm:pt modelId="{3A277E26-318A-4CAE-A707-57679F36307C}" type="pres">
      <dgm:prSet presAssocID="{DF330566-2774-4F75-B321-7E64D804F8F9}" presName="descendantText" presStyleLbl="alignAccFollowNode1" presStyleIdx="2" presStyleCnt="3" custScaleY="349866" custLinFactNeighborX="-436" custLinFactNeighborY="7308">
        <dgm:presLayoutVars>
          <dgm:bulletEnabled val="1"/>
        </dgm:presLayoutVars>
      </dgm:prSet>
      <dgm:spPr/>
      <dgm:t>
        <a:bodyPr/>
        <a:lstStyle/>
        <a:p>
          <a:endParaRPr lang="es-ES"/>
        </a:p>
      </dgm:t>
    </dgm:pt>
  </dgm:ptLst>
  <dgm:cxnLst>
    <dgm:cxn modelId="{BDE3AA4B-B7D6-49CE-829D-3A80DBCFC1F0}" type="presOf" srcId="{77B72D25-72D1-485C-AFB2-E793AAF5D965}" destId="{38CE0231-978A-48B5-8374-8202FED02437}" srcOrd="0" destOrd="0" presId="urn:microsoft.com/office/officeart/2005/8/layout/vList5"/>
    <dgm:cxn modelId="{2D7A4631-3E59-4805-A201-323A3CF7103F}" srcId="{DF330566-2774-4F75-B321-7E64D804F8F9}" destId="{3B5D32E7-9C58-4D04-98D7-F58007BC88F8}" srcOrd="7" destOrd="0" parTransId="{8626CEA0-63B4-4C5E-92FA-74ECDE812978}" sibTransId="{8AB14E27-0710-4A9C-91CC-E1AB8040C8FA}"/>
    <dgm:cxn modelId="{07A645B3-E708-4B59-BF09-56AE94DA8417}" type="presOf" srcId="{6A7DD7AE-9D02-44BB-9AAD-4469062CE6BA}" destId="{96BA161E-E37E-4680-89E3-ABD507B913CF}" srcOrd="0" destOrd="2" presId="urn:microsoft.com/office/officeart/2005/8/layout/vList5"/>
    <dgm:cxn modelId="{D455EE99-4039-4893-92AA-0F16EFB7C05A}" srcId="{DF330566-2774-4F75-B321-7E64D804F8F9}" destId="{82565C64-6D95-4731-BE8F-1C16DC93956F}" srcOrd="3" destOrd="0" parTransId="{C07712DD-BCBE-4DE7-98E1-6F0BF171BF9A}" sibTransId="{9FA0DD29-9F42-4A19-ADA7-47CBF4205C36}"/>
    <dgm:cxn modelId="{4EAEFE9C-FB30-439E-9E0A-04084E4537CA}" srcId="{DF330566-2774-4F75-B321-7E64D804F8F9}" destId="{7813DC15-0F7B-4065-AD6A-C3A8FB56ABC5}" srcOrd="1" destOrd="0" parTransId="{18A53E62-92D8-4D12-9B79-E836FBE34743}" sibTransId="{0ECBCE4B-B946-4948-BFAF-3C2DAE48C0ED}"/>
    <dgm:cxn modelId="{7FD4AAF4-50AA-4059-B2C2-43F270FE4ACF}" type="presOf" srcId="{5AF64968-DD4F-4F66-B5E1-595F3BFE4DB4}" destId="{C0210D2E-C701-460D-B37E-41DF6A57A3AC}" srcOrd="0" destOrd="0" presId="urn:microsoft.com/office/officeart/2005/8/layout/vList5"/>
    <dgm:cxn modelId="{0C851167-40DA-4339-839D-E7BD399F929C}" srcId="{DF330566-2774-4F75-B321-7E64D804F8F9}" destId="{EE6BEFC4-2E10-4762-83B3-7CA73398604C}" srcOrd="6" destOrd="0" parTransId="{4A8CB655-C06E-4D69-A0B0-90C1B1DB841C}" sibTransId="{68777A07-0A12-4F0B-9E58-104791E332EB}"/>
    <dgm:cxn modelId="{818B4052-0F31-42A9-81F4-7F1A6B7ACC6F}" type="presOf" srcId="{48731452-7D85-4169-981D-4A246B7C36BC}" destId="{96BA161E-E37E-4680-89E3-ABD507B913CF}" srcOrd="0" destOrd="4" presId="urn:microsoft.com/office/officeart/2005/8/layout/vList5"/>
    <dgm:cxn modelId="{724184EF-42BB-4C3A-BBD7-F06E3AF270A0}" type="presOf" srcId="{18DD42C8-83BA-4244-93B1-D0DD5D265E76}" destId="{349A4A95-C16C-4A26-9B19-0E4936D5607E}" srcOrd="0" destOrd="2" presId="urn:microsoft.com/office/officeart/2005/8/layout/vList5"/>
    <dgm:cxn modelId="{768B124F-F882-4EF5-BF67-8C4D0D50F710}" type="presOf" srcId="{D8A0FFCA-DBAB-45A6-BB72-81AB247AA535}" destId="{3A277E26-318A-4CAE-A707-57679F36307C}" srcOrd="0" destOrd="4" presId="urn:microsoft.com/office/officeart/2005/8/layout/vList5"/>
    <dgm:cxn modelId="{26F1D784-5F02-4903-BF7A-D60114420334}" type="presOf" srcId="{B2545AA3-5ABE-4EA9-9610-04AD10B7E7AF}" destId="{3A277E26-318A-4CAE-A707-57679F36307C}" srcOrd="0" destOrd="2" presId="urn:microsoft.com/office/officeart/2005/8/layout/vList5"/>
    <dgm:cxn modelId="{ECF24ED9-1644-439B-9513-86F4CE995874}" srcId="{5AF64968-DD4F-4F66-B5E1-595F3BFE4DB4}" destId="{48731452-7D85-4169-981D-4A246B7C36BC}" srcOrd="4" destOrd="0" parTransId="{4F2C2CC1-FDBD-4506-B93B-FF3222655C93}" sibTransId="{9445EB7A-524D-4057-B093-785D7AD45320}"/>
    <dgm:cxn modelId="{409EAAB0-1DEF-4FB0-84FE-16CBEF8DD728}" srcId="{B0F159B6-012C-4B9C-A1C8-63420226C826}" destId="{77B72D25-72D1-485C-AFB2-E793AAF5D965}" srcOrd="0" destOrd="0" parTransId="{4D56C44E-91C7-497E-9A0E-0E78EE3EF772}" sibTransId="{DA237814-E26A-4319-BEA6-F1389E719CDD}"/>
    <dgm:cxn modelId="{BB26922C-EDAD-4FCD-8051-1FA911043286}" srcId="{DF330566-2774-4F75-B321-7E64D804F8F9}" destId="{B2545AA3-5ABE-4EA9-9610-04AD10B7E7AF}" srcOrd="2" destOrd="0" parTransId="{0FA732A7-3BC6-4588-9677-A66B8C84C76D}" sibTransId="{ED52E469-76A0-4335-A857-483367EE2140}"/>
    <dgm:cxn modelId="{DE3031A8-B647-4E4E-BCB1-F7854CCE2063}" type="presOf" srcId="{2A1C46BB-B699-4436-BB9B-7E9941945C90}" destId="{96BA161E-E37E-4680-89E3-ABD507B913CF}" srcOrd="0" destOrd="0" presId="urn:microsoft.com/office/officeart/2005/8/layout/vList5"/>
    <dgm:cxn modelId="{BE3BD842-98F7-4612-A7EE-38E72C7BFC32}" srcId="{5AF64968-DD4F-4F66-B5E1-595F3BFE4DB4}" destId="{43533F0F-8887-49DC-8CC2-3B826912D796}" srcOrd="3" destOrd="0" parTransId="{6394884D-F9C3-4BB3-B27E-6BA8E6F537A9}" sibTransId="{34FDF5E2-517B-4051-A520-F21BB3E473C9}"/>
    <dgm:cxn modelId="{6CB9145D-6CCF-4290-902B-0D97AAE4A968}" type="presOf" srcId="{EE6BEFC4-2E10-4762-83B3-7CA73398604C}" destId="{3A277E26-318A-4CAE-A707-57679F36307C}" srcOrd="0" destOrd="6" presId="urn:microsoft.com/office/officeart/2005/8/layout/vList5"/>
    <dgm:cxn modelId="{9B515047-949B-454B-9AEB-6CC28A9FD2EB}" srcId="{5AF64968-DD4F-4F66-B5E1-595F3BFE4DB4}" destId="{349707CE-8295-4EA0-B7C8-561BD87392B4}" srcOrd="1" destOrd="0" parTransId="{D38C6FA6-E7E4-4C11-8BA5-C1210B536D4A}" sibTransId="{220E6E32-19BD-4820-9C0D-631733D99095}"/>
    <dgm:cxn modelId="{A5EB5C06-B82B-4622-BD4D-F90D6213F6A6}" srcId="{DF330566-2774-4F75-B321-7E64D804F8F9}" destId="{9B12A683-A49F-4A64-8F03-B522382049D0}" srcOrd="5" destOrd="0" parTransId="{09DB5F67-A8F3-410B-A418-24BD7856F30E}" sibTransId="{24375441-CD60-4584-A47A-38DCF27CB017}"/>
    <dgm:cxn modelId="{FF530EE8-825E-4600-91A6-A240D6A68487}" srcId="{77B72D25-72D1-485C-AFB2-E793AAF5D965}" destId="{1F652A43-F820-489F-B4CE-2494E21FA059}" srcOrd="0" destOrd="0" parTransId="{1A0C0F66-161E-4018-9CC5-52C537E4FB96}" sibTransId="{2B7A28F7-A211-420A-9EAD-33B0DAB4A123}"/>
    <dgm:cxn modelId="{E7599EAB-8390-48F9-AEE1-D3A04F120877}" type="presOf" srcId="{349707CE-8295-4EA0-B7C8-561BD87392B4}" destId="{96BA161E-E37E-4680-89E3-ABD507B913CF}" srcOrd="0" destOrd="1" presId="urn:microsoft.com/office/officeart/2005/8/layout/vList5"/>
    <dgm:cxn modelId="{D9053E6F-F0E9-4AC8-87EC-1A11F6139565}" type="presOf" srcId="{64473697-A933-4AF0-99E3-BA812B83DE17}" destId="{349A4A95-C16C-4A26-9B19-0E4936D5607E}" srcOrd="0" destOrd="3" presId="urn:microsoft.com/office/officeart/2005/8/layout/vList5"/>
    <dgm:cxn modelId="{56301C62-0452-48B6-8B9F-B0CA545F8E75}" srcId="{B0F159B6-012C-4B9C-A1C8-63420226C826}" destId="{DF330566-2774-4F75-B321-7E64D804F8F9}" srcOrd="2" destOrd="0" parTransId="{D6DC72BA-7658-4D6B-9D30-131269D591D4}" sibTransId="{353E336E-D0A1-426B-84A3-4B796354BE8F}"/>
    <dgm:cxn modelId="{09E8C78B-E420-4C8F-870B-D4B1240BEB3E}" srcId="{5AF64968-DD4F-4F66-B5E1-595F3BFE4DB4}" destId="{2A1C46BB-B699-4436-BB9B-7E9941945C90}" srcOrd="0" destOrd="0" parTransId="{00FE1E7A-14A0-439D-B302-008044E5DE98}" sibTransId="{D51BB552-D243-43C5-9D63-CA2DEA51612D}"/>
    <dgm:cxn modelId="{739AB5FF-A535-4A0F-9860-9DBCB9D34550}" srcId="{5AF64968-DD4F-4F66-B5E1-595F3BFE4DB4}" destId="{67B65BAC-3ADA-48F9-A794-E9052431AE58}" srcOrd="5" destOrd="0" parTransId="{D51B7261-EFC0-495C-8864-1AA2ADF080AB}" sibTransId="{4295F5A5-2C03-445A-9AFD-F5F2B25D0C45}"/>
    <dgm:cxn modelId="{590F35E5-3EA7-4E10-9B70-7644F9B02A12}" srcId="{77B72D25-72D1-485C-AFB2-E793AAF5D965}" destId="{64473697-A933-4AF0-99E3-BA812B83DE17}" srcOrd="3" destOrd="0" parTransId="{B86BC695-2C51-4B7C-BB5D-B88BBF095597}" sibTransId="{52FC2347-C691-4D48-BF6A-477D35541D0B}"/>
    <dgm:cxn modelId="{90CBE22A-7B9C-45E4-935B-08A3925402D9}" srcId="{B0F159B6-012C-4B9C-A1C8-63420226C826}" destId="{5AF64968-DD4F-4F66-B5E1-595F3BFE4DB4}" srcOrd="1" destOrd="0" parTransId="{5F77AA68-6D2F-4869-9E8B-7A9876EAFEF3}" sibTransId="{3A9795FB-317C-4E32-8A76-6C1ECB84F65D}"/>
    <dgm:cxn modelId="{6B95478D-54F7-48EC-92C0-36C219AEC471}" srcId="{77B72D25-72D1-485C-AFB2-E793AAF5D965}" destId="{18DD42C8-83BA-4244-93B1-D0DD5D265E76}" srcOrd="2" destOrd="0" parTransId="{545DF756-2D5D-4FE3-A786-32072466147E}" sibTransId="{B50AF59D-CDE8-4A75-899A-1E0131764844}"/>
    <dgm:cxn modelId="{5FE547F5-C0C3-4F61-BE84-E2A3FE2531B3}" type="presOf" srcId="{B0F159B6-012C-4B9C-A1C8-63420226C826}" destId="{9DC6D41B-B371-4589-AAD7-53014528D372}" srcOrd="0" destOrd="0" presId="urn:microsoft.com/office/officeart/2005/8/layout/vList5"/>
    <dgm:cxn modelId="{F86C6AF0-D441-4B03-A983-77748C8B23F0}" type="presOf" srcId="{43533F0F-8887-49DC-8CC2-3B826912D796}" destId="{96BA161E-E37E-4680-89E3-ABD507B913CF}" srcOrd="0" destOrd="3" presId="urn:microsoft.com/office/officeart/2005/8/layout/vList5"/>
    <dgm:cxn modelId="{DAA483F1-7FC5-4898-AAAA-B0740C8CCFDA}" type="presOf" srcId="{501E7CD1-F81C-44EA-823F-C14F303E3097}" destId="{349A4A95-C16C-4A26-9B19-0E4936D5607E}" srcOrd="0" destOrd="4" presId="urn:microsoft.com/office/officeart/2005/8/layout/vList5"/>
    <dgm:cxn modelId="{6F844227-164C-45A9-9445-F65204157FB6}" type="presOf" srcId="{892BB98D-C4DD-4213-99A1-012DB6EA4818}" destId="{349A4A95-C16C-4A26-9B19-0E4936D5607E}" srcOrd="0" destOrd="1" presId="urn:microsoft.com/office/officeart/2005/8/layout/vList5"/>
    <dgm:cxn modelId="{EE31456A-F26B-430A-9673-BCF2EF7E24C5}" srcId="{DF330566-2774-4F75-B321-7E64D804F8F9}" destId="{D8A0FFCA-DBAB-45A6-BB72-81AB247AA535}" srcOrd="4" destOrd="0" parTransId="{C7A602DF-FDBC-4DA1-82B5-F39B9CF9B455}" sibTransId="{6DBD61D6-1856-484E-8061-7146BA9C2D3E}"/>
    <dgm:cxn modelId="{FD755F76-096F-425F-9897-4D86F1F3F6B7}" type="presOf" srcId="{DF330566-2774-4F75-B321-7E64D804F8F9}" destId="{CD708B2F-0177-4324-BC30-F951BAFF0D8C}" srcOrd="0" destOrd="0" presId="urn:microsoft.com/office/officeart/2005/8/layout/vList5"/>
    <dgm:cxn modelId="{08C139BA-CC73-4427-9C4C-9566EAA68086}" type="presOf" srcId="{1F652A43-F820-489F-B4CE-2494E21FA059}" destId="{349A4A95-C16C-4A26-9B19-0E4936D5607E}" srcOrd="0" destOrd="0" presId="urn:microsoft.com/office/officeart/2005/8/layout/vList5"/>
    <dgm:cxn modelId="{D2DF3F33-14DC-4363-AABD-462D05E76962}" type="presOf" srcId="{82565C64-6D95-4731-BE8F-1C16DC93956F}" destId="{3A277E26-318A-4CAE-A707-57679F36307C}" srcOrd="0" destOrd="3" presId="urn:microsoft.com/office/officeart/2005/8/layout/vList5"/>
    <dgm:cxn modelId="{2637E846-A50D-4445-846F-925C2FE433C6}" srcId="{5AF64968-DD4F-4F66-B5E1-595F3BFE4DB4}" destId="{6A7DD7AE-9D02-44BB-9AAD-4469062CE6BA}" srcOrd="2" destOrd="0" parTransId="{B09CCF03-3AC8-44A3-BA1E-FB379967EA46}" sibTransId="{8E0C31D7-171A-48B7-B57A-482A3733067F}"/>
    <dgm:cxn modelId="{9FB5DDB1-E1E2-4028-81C3-BCF822AABBD1}" srcId="{DF330566-2774-4F75-B321-7E64D804F8F9}" destId="{FCB63E68-658F-41B5-BF18-0C36F1C5A3DA}" srcOrd="0" destOrd="0" parTransId="{E9D766F4-F575-4C2C-8B44-68E1E9408E98}" sibTransId="{8A8D670B-1ED9-4D83-8A06-0C1E1B162D4C}"/>
    <dgm:cxn modelId="{BB98EB61-31D7-432D-8AEB-E3DF29D9B39C}" type="presOf" srcId="{FCB63E68-658F-41B5-BF18-0C36F1C5A3DA}" destId="{3A277E26-318A-4CAE-A707-57679F36307C}" srcOrd="0" destOrd="0" presId="urn:microsoft.com/office/officeart/2005/8/layout/vList5"/>
    <dgm:cxn modelId="{0FCE237C-0A12-45A2-80CC-F6A1E9DD8ADA}" srcId="{77B72D25-72D1-485C-AFB2-E793AAF5D965}" destId="{892BB98D-C4DD-4213-99A1-012DB6EA4818}" srcOrd="1" destOrd="0" parTransId="{32387431-08E4-4AE1-B392-FD1B66512C0B}" sibTransId="{FCB32802-4634-4D2E-823C-1CBDB9C66541}"/>
    <dgm:cxn modelId="{4905894D-74D2-4D5E-9DC3-7A0969B02FE9}" type="presOf" srcId="{9B12A683-A49F-4A64-8F03-B522382049D0}" destId="{3A277E26-318A-4CAE-A707-57679F36307C}" srcOrd="0" destOrd="5" presId="urn:microsoft.com/office/officeart/2005/8/layout/vList5"/>
    <dgm:cxn modelId="{BC4E02C8-C31A-4EB8-A7CA-13943DDB1447}" type="presOf" srcId="{67B65BAC-3ADA-48F9-A794-E9052431AE58}" destId="{96BA161E-E37E-4680-89E3-ABD507B913CF}" srcOrd="0" destOrd="5" presId="urn:microsoft.com/office/officeart/2005/8/layout/vList5"/>
    <dgm:cxn modelId="{2F4EC2C5-0E76-4CFD-B884-2C2469AFC652}" type="presOf" srcId="{3B5D32E7-9C58-4D04-98D7-F58007BC88F8}" destId="{3A277E26-318A-4CAE-A707-57679F36307C}" srcOrd="0" destOrd="7" presId="urn:microsoft.com/office/officeart/2005/8/layout/vList5"/>
    <dgm:cxn modelId="{D0805CCF-22E6-41B6-B665-99451BCDC6B2}" type="presOf" srcId="{7813DC15-0F7B-4065-AD6A-C3A8FB56ABC5}" destId="{3A277E26-318A-4CAE-A707-57679F36307C}" srcOrd="0" destOrd="1" presId="urn:microsoft.com/office/officeart/2005/8/layout/vList5"/>
    <dgm:cxn modelId="{623252DF-DF9D-423C-BE6A-5F6D19D4C999}" srcId="{77B72D25-72D1-485C-AFB2-E793AAF5D965}" destId="{501E7CD1-F81C-44EA-823F-C14F303E3097}" srcOrd="4" destOrd="0" parTransId="{E7B91452-44D1-48BE-B75B-95D8FFB91274}" sibTransId="{98E15989-E108-48ED-BCE4-7D983288E1EA}"/>
    <dgm:cxn modelId="{A575D39D-7F5D-4988-BFA1-FB35BF8A28FA}" type="presParOf" srcId="{9DC6D41B-B371-4589-AAD7-53014528D372}" destId="{50A0F13E-1B6B-4E0D-96E8-95B81B881AC2}" srcOrd="0" destOrd="0" presId="urn:microsoft.com/office/officeart/2005/8/layout/vList5"/>
    <dgm:cxn modelId="{01E4A5CE-8C0C-4945-B05F-6D1FA89306FA}" type="presParOf" srcId="{50A0F13E-1B6B-4E0D-96E8-95B81B881AC2}" destId="{38CE0231-978A-48B5-8374-8202FED02437}" srcOrd="0" destOrd="0" presId="urn:microsoft.com/office/officeart/2005/8/layout/vList5"/>
    <dgm:cxn modelId="{7E9EAD15-FFF7-409F-9F3E-67F1734577B3}" type="presParOf" srcId="{50A0F13E-1B6B-4E0D-96E8-95B81B881AC2}" destId="{349A4A95-C16C-4A26-9B19-0E4936D5607E}" srcOrd="1" destOrd="0" presId="urn:microsoft.com/office/officeart/2005/8/layout/vList5"/>
    <dgm:cxn modelId="{04615B13-FF88-47CB-83E4-300EFE005826}" type="presParOf" srcId="{9DC6D41B-B371-4589-AAD7-53014528D372}" destId="{613FB6A4-E4A0-4299-9EE5-190174E0ED65}" srcOrd="1" destOrd="0" presId="urn:microsoft.com/office/officeart/2005/8/layout/vList5"/>
    <dgm:cxn modelId="{0A46B51B-711E-4FAB-8C49-5552A8284602}" type="presParOf" srcId="{9DC6D41B-B371-4589-AAD7-53014528D372}" destId="{17D541ED-09DE-434E-9604-9176A9A0886E}" srcOrd="2" destOrd="0" presId="urn:microsoft.com/office/officeart/2005/8/layout/vList5"/>
    <dgm:cxn modelId="{683B6266-2117-4523-B484-7B086412C7CF}" type="presParOf" srcId="{17D541ED-09DE-434E-9604-9176A9A0886E}" destId="{C0210D2E-C701-460D-B37E-41DF6A57A3AC}" srcOrd="0" destOrd="0" presId="urn:microsoft.com/office/officeart/2005/8/layout/vList5"/>
    <dgm:cxn modelId="{818FE16A-AA75-447C-AB90-4890E873D014}" type="presParOf" srcId="{17D541ED-09DE-434E-9604-9176A9A0886E}" destId="{96BA161E-E37E-4680-89E3-ABD507B913CF}" srcOrd="1" destOrd="0" presId="urn:microsoft.com/office/officeart/2005/8/layout/vList5"/>
    <dgm:cxn modelId="{201ABF68-DECB-486B-9223-9BA54C5EECC9}" type="presParOf" srcId="{9DC6D41B-B371-4589-AAD7-53014528D372}" destId="{83E902D4-5D12-481E-A511-B96CBD2BDD1B}" srcOrd="3" destOrd="0" presId="urn:microsoft.com/office/officeart/2005/8/layout/vList5"/>
    <dgm:cxn modelId="{E83F522E-DBA6-49B6-8550-B8099BF78287}" type="presParOf" srcId="{9DC6D41B-B371-4589-AAD7-53014528D372}" destId="{82A134D6-6481-44FA-8CCC-83E2B1B443B1}" srcOrd="4" destOrd="0" presId="urn:microsoft.com/office/officeart/2005/8/layout/vList5"/>
    <dgm:cxn modelId="{6ED5CAE6-E77C-44F0-9B48-E135A357EEAF}" type="presParOf" srcId="{82A134D6-6481-44FA-8CCC-83E2B1B443B1}" destId="{CD708B2F-0177-4324-BC30-F951BAFF0D8C}" srcOrd="0" destOrd="0" presId="urn:microsoft.com/office/officeart/2005/8/layout/vList5"/>
    <dgm:cxn modelId="{385E845A-454C-467E-9E80-0179B2A168A6}" type="presParOf" srcId="{82A134D6-6481-44FA-8CCC-83E2B1B443B1}" destId="{3A277E26-318A-4CAE-A707-57679F36307C}" srcOrd="1" destOrd="0" presId="urn:microsoft.com/office/officeart/2005/8/layout/vList5"/>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E11CC28-D188-4547-838B-4F400B9D42E9}" type="doc">
      <dgm:prSet loTypeId="urn:microsoft.com/office/officeart/2005/8/layout/vList5" loCatId="list" qsTypeId="urn:microsoft.com/office/officeart/2005/8/quickstyle/3d2" qsCatId="3D" csTypeId="urn:microsoft.com/office/officeart/2005/8/colors/colorful1" csCatId="colorful" phldr="1"/>
      <dgm:spPr/>
      <dgm:t>
        <a:bodyPr/>
        <a:lstStyle/>
        <a:p>
          <a:endParaRPr lang="es-ES"/>
        </a:p>
      </dgm:t>
    </dgm:pt>
    <dgm:pt modelId="{784A7DDA-75BC-4020-B622-DD0C797187B3}">
      <dgm:prSet phldrT="[Texto]" custT="1"/>
      <dgm:spPr>
        <a:xfrm>
          <a:off x="2562" y="304362"/>
          <a:ext cx="1887533" cy="543297"/>
        </a:xfrm>
        <a:prstGeom prst="round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Atención del hogar</a:t>
          </a:r>
        </a:p>
      </dgm:t>
    </dgm:pt>
    <dgm:pt modelId="{CEF70439-43E1-4FA6-97A7-6508061C6977}" type="parTrans" cxnId="{29579E31-EC5D-43B3-BC19-6943B18F57A6}">
      <dgm:prSet/>
      <dgm:spPr/>
      <dgm:t>
        <a:bodyPr/>
        <a:lstStyle/>
        <a:p>
          <a:endParaRPr lang="es-ES"/>
        </a:p>
      </dgm:t>
    </dgm:pt>
    <dgm:pt modelId="{71AE1F10-7A69-43C8-B5C6-BDC40AA85017}" type="sibTrans" cxnId="{29579E31-EC5D-43B3-BC19-6943B18F57A6}">
      <dgm:prSet/>
      <dgm:spPr/>
      <dgm:t>
        <a:bodyPr/>
        <a:lstStyle/>
        <a:p>
          <a:endParaRPr lang="es-ES"/>
        </a:p>
      </dgm:t>
    </dgm:pt>
    <dgm:pt modelId="{DA463746-5C1A-4D93-9EDF-73B2ED8F2968}">
      <dgm:prSet phldrT="[Texto]" custT="1"/>
      <dgm:spPr>
        <a:xfrm rot="5400000">
          <a:off x="2995850" y="-1102714"/>
          <a:ext cx="1149234" cy="3355615"/>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Nº de veces en la semana que realiza su tarea de manera responsable.</a:t>
          </a:r>
        </a:p>
      </dgm:t>
    </dgm:pt>
    <dgm:pt modelId="{0D00D2E1-9864-4702-A913-E2092F9852D2}" type="parTrans" cxnId="{913E05C5-5452-43F7-BC97-F1251E685D1B}">
      <dgm:prSet/>
      <dgm:spPr/>
      <dgm:t>
        <a:bodyPr/>
        <a:lstStyle/>
        <a:p>
          <a:endParaRPr lang="es-ES"/>
        </a:p>
      </dgm:t>
    </dgm:pt>
    <dgm:pt modelId="{5EC5C9EA-9946-4C93-B9CE-6092EBF73919}" type="sibTrans" cxnId="{913E05C5-5452-43F7-BC97-F1251E685D1B}">
      <dgm:prSet/>
      <dgm:spPr/>
      <dgm:t>
        <a:bodyPr/>
        <a:lstStyle/>
        <a:p>
          <a:endParaRPr lang="es-ES"/>
        </a:p>
      </dgm:t>
    </dgm:pt>
    <dgm:pt modelId="{02CD7E25-6FA7-4DA8-9EB8-7FD028311E65}">
      <dgm:prSet phldrT="[Texto]" custT="1"/>
      <dgm:spPr>
        <a:xfrm>
          <a:off x="2562" y="1514665"/>
          <a:ext cx="1887533" cy="543297"/>
        </a:xfrm>
        <a:prstGeom prst="roundRect">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Atención al cuidado de la salud</a:t>
          </a:r>
        </a:p>
      </dgm:t>
    </dgm:pt>
    <dgm:pt modelId="{1ED5D287-7087-48E3-AB8F-BC1DE9BD30B5}" type="parTrans" cxnId="{1466B4C1-8946-4849-92BF-AFDDB405344D}">
      <dgm:prSet/>
      <dgm:spPr/>
      <dgm:t>
        <a:bodyPr/>
        <a:lstStyle/>
        <a:p>
          <a:endParaRPr lang="es-ES"/>
        </a:p>
      </dgm:t>
    </dgm:pt>
    <dgm:pt modelId="{66775D64-482D-485A-AB94-D80F047352E6}" type="sibTrans" cxnId="{1466B4C1-8946-4849-92BF-AFDDB405344D}">
      <dgm:prSet/>
      <dgm:spPr/>
      <dgm:t>
        <a:bodyPr/>
        <a:lstStyle/>
        <a:p>
          <a:endParaRPr lang="es-ES"/>
        </a:p>
      </dgm:t>
    </dgm:pt>
    <dgm:pt modelId="{F61AF916-65A0-4D69-AEF6-C7D1FDB5FBDF}">
      <dgm:prSet phldrT="[Texto]" custT="1"/>
      <dgm:spPr>
        <a:xfrm rot="5400000">
          <a:off x="2961946" y="91207"/>
          <a:ext cx="1217041"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olvida tomar su medicación.</a:t>
          </a:r>
        </a:p>
      </dgm:t>
    </dgm:pt>
    <dgm:pt modelId="{0344835A-07EF-4472-97E2-FA70C28D3DF4}" type="parTrans" cxnId="{2BEECF0B-652A-4D90-8AAE-4115804DC6C7}">
      <dgm:prSet/>
      <dgm:spPr/>
      <dgm:t>
        <a:bodyPr/>
        <a:lstStyle/>
        <a:p>
          <a:endParaRPr lang="es-ES"/>
        </a:p>
      </dgm:t>
    </dgm:pt>
    <dgm:pt modelId="{121E22C2-0135-4A07-840F-77BFC6063CF8}" type="sibTrans" cxnId="{2BEECF0B-652A-4D90-8AAE-4115804DC6C7}">
      <dgm:prSet/>
      <dgm:spPr/>
      <dgm:t>
        <a:bodyPr/>
        <a:lstStyle/>
        <a:p>
          <a:endParaRPr lang="es-ES"/>
        </a:p>
      </dgm:t>
    </dgm:pt>
    <dgm:pt modelId="{AC25DA83-4A00-4212-9E58-8547ABDDB4B9}">
      <dgm:prSet phldrT="[Texto]" custT="1"/>
      <dgm:spPr>
        <a:xfrm>
          <a:off x="2562" y="2805554"/>
          <a:ext cx="1887533" cy="543297"/>
        </a:xfrm>
        <a:prstGeom prst="round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Ocio y tiempo libre</a:t>
          </a:r>
        </a:p>
      </dgm:t>
    </dgm:pt>
    <dgm:pt modelId="{F93BB8FB-270C-4F07-80E0-E652778848C2}" type="parTrans" cxnId="{64047A37-1955-41EF-8A42-1E74D54EEBCC}">
      <dgm:prSet/>
      <dgm:spPr/>
      <dgm:t>
        <a:bodyPr/>
        <a:lstStyle/>
        <a:p>
          <a:endParaRPr lang="es-ES"/>
        </a:p>
      </dgm:t>
    </dgm:pt>
    <dgm:pt modelId="{E0696C9A-C166-4792-9060-7B2420039FC4}" type="sibTrans" cxnId="{64047A37-1955-41EF-8A42-1E74D54EEBCC}">
      <dgm:prSet/>
      <dgm:spPr/>
      <dgm:t>
        <a:bodyPr/>
        <a:lstStyle/>
        <a:p>
          <a:endParaRPr lang="es-ES"/>
        </a:p>
      </dgm:t>
    </dgm:pt>
    <dgm:pt modelId="{44583226-9DF6-4A18-A2F6-6A4B22455B65}">
      <dgm:prSet phldrT="[Texto]" custT="1"/>
      <dgm:spPr>
        <a:xfrm rot="5400000">
          <a:off x="2912701" y="1399394"/>
          <a:ext cx="1310406"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actividades de disfrute personal que realiza por iniciativa propia.</a:t>
          </a:r>
        </a:p>
      </dgm:t>
    </dgm:pt>
    <dgm:pt modelId="{257A2800-0BE9-4B1E-BD37-59B049D917F3}" type="parTrans" cxnId="{0321DE05-1738-4B8F-BE2A-A66136CFE8F7}">
      <dgm:prSet/>
      <dgm:spPr/>
      <dgm:t>
        <a:bodyPr/>
        <a:lstStyle/>
        <a:p>
          <a:endParaRPr lang="es-ES"/>
        </a:p>
      </dgm:t>
    </dgm:pt>
    <dgm:pt modelId="{297B5C82-F98D-433E-A837-E9C5D0A19570}" type="sibTrans" cxnId="{0321DE05-1738-4B8F-BE2A-A66136CFE8F7}">
      <dgm:prSet/>
      <dgm:spPr/>
      <dgm:t>
        <a:bodyPr/>
        <a:lstStyle/>
        <a:p>
          <a:endParaRPr lang="es-ES"/>
        </a:p>
      </dgm:t>
    </dgm:pt>
    <dgm:pt modelId="{856C0FE7-0F14-4502-85E2-018E5B24B58B}">
      <dgm:prSet custT="1"/>
      <dgm:spPr>
        <a:xfrm rot="5400000">
          <a:off x="2995850" y="-1102714"/>
          <a:ext cx="1149234" cy="3355615"/>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Nº de veces que realiza su tarea de forma eficiente.</a:t>
          </a:r>
        </a:p>
      </dgm:t>
    </dgm:pt>
    <dgm:pt modelId="{868877FF-8A4C-4F7F-AEB9-A35645C5502A}" type="parTrans" cxnId="{3AE16EA3-3DDF-435D-8479-19D2636A427C}">
      <dgm:prSet/>
      <dgm:spPr/>
      <dgm:t>
        <a:bodyPr/>
        <a:lstStyle/>
        <a:p>
          <a:endParaRPr lang="es-ES"/>
        </a:p>
      </dgm:t>
    </dgm:pt>
    <dgm:pt modelId="{8BD1609D-9816-42AC-BE6D-BD7B4C7A63F7}" type="sibTrans" cxnId="{3AE16EA3-3DDF-435D-8479-19D2636A427C}">
      <dgm:prSet/>
      <dgm:spPr/>
      <dgm:t>
        <a:bodyPr/>
        <a:lstStyle/>
        <a:p>
          <a:endParaRPr lang="es-ES"/>
        </a:p>
      </dgm:t>
    </dgm:pt>
    <dgm:pt modelId="{7194CFEF-2D96-401C-A17B-DA41E35FDE33}">
      <dgm:prSet custT="1"/>
      <dgm:spPr>
        <a:xfrm rot="5400000">
          <a:off x="2995850" y="-1102714"/>
          <a:ext cx="1149234" cy="3355615"/>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Nociones sobre economía doméstica.</a:t>
          </a:r>
        </a:p>
      </dgm:t>
    </dgm:pt>
    <dgm:pt modelId="{E051BF7E-8E7A-45E3-8D4C-BF04354AA0FB}" type="parTrans" cxnId="{3974BDA2-31C8-4D7A-9036-0548FB5D34E0}">
      <dgm:prSet/>
      <dgm:spPr/>
      <dgm:t>
        <a:bodyPr/>
        <a:lstStyle/>
        <a:p>
          <a:endParaRPr lang="es-ES"/>
        </a:p>
      </dgm:t>
    </dgm:pt>
    <dgm:pt modelId="{8112268A-83D8-4CAE-B27B-4566A14CD960}" type="sibTrans" cxnId="{3974BDA2-31C8-4D7A-9036-0548FB5D34E0}">
      <dgm:prSet/>
      <dgm:spPr/>
      <dgm:t>
        <a:bodyPr/>
        <a:lstStyle/>
        <a:p>
          <a:endParaRPr lang="es-ES"/>
        </a:p>
      </dgm:t>
    </dgm:pt>
    <dgm:pt modelId="{96C2D0B9-D13F-4272-80C6-379FE59786A1}">
      <dgm:prSet custT="1"/>
      <dgm:spPr>
        <a:xfrm rot="5400000">
          <a:off x="2995850" y="-1102714"/>
          <a:ext cx="1149234" cy="3355615"/>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Cuidado de las instalaciones y los recursos del hogar.</a:t>
          </a:r>
        </a:p>
      </dgm:t>
    </dgm:pt>
    <dgm:pt modelId="{A87E6155-486D-4975-989D-29235E23001A}" type="parTrans" cxnId="{41E48D6F-901D-4344-8821-9E38691159CA}">
      <dgm:prSet/>
      <dgm:spPr/>
      <dgm:t>
        <a:bodyPr/>
        <a:lstStyle/>
        <a:p>
          <a:endParaRPr lang="es-ES"/>
        </a:p>
      </dgm:t>
    </dgm:pt>
    <dgm:pt modelId="{68773513-2404-4A4E-B701-4DF5C18DE48A}" type="sibTrans" cxnId="{41E48D6F-901D-4344-8821-9E38691159CA}">
      <dgm:prSet/>
      <dgm:spPr/>
      <dgm:t>
        <a:bodyPr/>
        <a:lstStyle/>
        <a:p>
          <a:endParaRPr lang="es-ES"/>
        </a:p>
      </dgm:t>
    </dgm:pt>
    <dgm:pt modelId="{126A50CF-3DFA-411A-8BD7-B861DB75522F}">
      <dgm:prSet custT="1"/>
      <dgm:spPr>
        <a:xfrm rot="5400000">
          <a:off x="2995850" y="-1102714"/>
          <a:ext cx="1149234" cy="3355615"/>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r>
            <a:rPr lang="es-ES" sz="900">
              <a:solidFill>
                <a:sysClr val="windowText" lastClr="000000">
                  <a:hueOff val="0"/>
                  <a:satOff val="0"/>
                  <a:lumOff val="0"/>
                  <a:alphaOff val="0"/>
                </a:sysClr>
              </a:solidFill>
              <a:latin typeface="Calibri" panose="020F0502020204030204"/>
              <a:ea typeface="+mn-ea"/>
              <a:cs typeface="+mn-cs"/>
            </a:rPr>
            <a:t>Limpieza y orden en su habitación.</a:t>
          </a:r>
        </a:p>
      </dgm:t>
    </dgm:pt>
    <dgm:pt modelId="{9202EBB8-6285-4426-A3A0-0393A9850124}" type="parTrans" cxnId="{922A6A1C-49BB-4911-9672-663EC7B5F3F8}">
      <dgm:prSet/>
      <dgm:spPr/>
      <dgm:t>
        <a:bodyPr/>
        <a:lstStyle/>
        <a:p>
          <a:endParaRPr lang="es-ES"/>
        </a:p>
      </dgm:t>
    </dgm:pt>
    <dgm:pt modelId="{6E32F337-706A-4729-89BF-A45A6B5C5D64}" type="sibTrans" cxnId="{922A6A1C-49BB-4911-9672-663EC7B5F3F8}">
      <dgm:prSet/>
      <dgm:spPr/>
      <dgm:t>
        <a:bodyPr/>
        <a:lstStyle/>
        <a:p>
          <a:endParaRPr lang="es-ES"/>
        </a:p>
      </dgm:t>
    </dgm:pt>
    <dgm:pt modelId="{F064E0FF-4BD4-46F0-9258-2831E56415DA}">
      <dgm:prSet custT="1"/>
      <dgm:spPr>
        <a:xfrm rot="5400000">
          <a:off x="2961946" y="91207"/>
          <a:ext cx="1217041"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acude al médico cuando es necesario</a:t>
          </a:r>
        </a:p>
      </dgm:t>
    </dgm:pt>
    <dgm:pt modelId="{A5E17FE1-1E5B-4D7B-9176-BA12C8208774}" type="parTrans" cxnId="{D898DA3E-B920-433C-8915-9B7991F6B633}">
      <dgm:prSet/>
      <dgm:spPr/>
      <dgm:t>
        <a:bodyPr/>
        <a:lstStyle/>
        <a:p>
          <a:endParaRPr lang="es-ES"/>
        </a:p>
      </dgm:t>
    </dgm:pt>
    <dgm:pt modelId="{51582610-EB3E-40AD-A0E3-319AC053626C}" type="sibTrans" cxnId="{D898DA3E-B920-433C-8915-9B7991F6B633}">
      <dgm:prSet/>
      <dgm:spPr/>
      <dgm:t>
        <a:bodyPr/>
        <a:lstStyle/>
        <a:p>
          <a:endParaRPr lang="es-ES"/>
        </a:p>
      </dgm:t>
    </dgm:pt>
    <dgm:pt modelId="{3DB1A8D3-C7A8-4399-8F53-37475439F027}">
      <dgm:prSet custT="1"/>
      <dgm:spPr>
        <a:xfrm rot="5400000">
          <a:off x="2961946" y="91207"/>
          <a:ext cx="1217041"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cumple/incumple con las tomas pautadas en tratamiento médico (adherencia al tratamiento médico).</a:t>
          </a:r>
        </a:p>
      </dgm:t>
    </dgm:pt>
    <dgm:pt modelId="{75A547BB-3426-45E5-9391-F41F701E2358}" type="parTrans" cxnId="{4DC91654-70D1-4BA3-84B8-C6EB3FBAFE45}">
      <dgm:prSet/>
      <dgm:spPr/>
      <dgm:t>
        <a:bodyPr/>
        <a:lstStyle/>
        <a:p>
          <a:endParaRPr lang="es-ES"/>
        </a:p>
      </dgm:t>
    </dgm:pt>
    <dgm:pt modelId="{6E027420-56F9-4947-987F-1B3538E9C09E}" type="sibTrans" cxnId="{4DC91654-70D1-4BA3-84B8-C6EB3FBAFE45}">
      <dgm:prSet/>
      <dgm:spPr/>
      <dgm:t>
        <a:bodyPr/>
        <a:lstStyle/>
        <a:p>
          <a:endParaRPr lang="es-ES"/>
        </a:p>
      </dgm:t>
    </dgm:pt>
    <dgm:pt modelId="{11F4B2AB-2A65-428D-A405-C360EB5E906F}">
      <dgm:prSet custT="1"/>
      <dgm:spPr>
        <a:xfrm rot="5400000">
          <a:off x="2961946" y="91207"/>
          <a:ext cx="1217041"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compromete su salud por ingesta de tóxicos.</a:t>
          </a:r>
        </a:p>
      </dgm:t>
    </dgm:pt>
    <dgm:pt modelId="{382BD4BE-E781-46A9-9E83-B00B11C525EC}" type="parTrans" cxnId="{CC81FDB2-DB98-46D3-B351-11C29D04224A}">
      <dgm:prSet/>
      <dgm:spPr/>
      <dgm:t>
        <a:bodyPr/>
        <a:lstStyle/>
        <a:p>
          <a:endParaRPr lang="es-ES"/>
        </a:p>
      </dgm:t>
    </dgm:pt>
    <dgm:pt modelId="{23C46903-C8C5-41AB-90B7-209D038D7CF3}" type="sibTrans" cxnId="{CC81FDB2-DB98-46D3-B351-11C29D04224A}">
      <dgm:prSet/>
      <dgm:spPr/>
      <dgm:t>
        <a:bodyPr/>
        <a:lstStyle/>
        <a:p>
          <a:endParaRPr lang="es-ES"/>
        </a:p>
      </dgm:t>
    </dgm:pt>
    <dgm:pt modelId="{35A3BBC8-784B-404D-A6B7-81286D85CE14}">
      <dgm:prSet custT="1"/>
      <dgm:spPr>
        <a:xfrm rot="5400000">
          <a:off x="2961946" y="91207"/>
          <a:ext cx="1217041"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realiza ejercicio</a:t>
          </a:r>
        </a:p>
      </dgm:t>
    </dgm:pt>
    <dgm:pt modelId="{5A10199B-3C86-422E-992C-95C04B151154}" type="parTrans" cxnId="{F5F2E139-24B2-448E-B4EB-695E93AC6224}">
      <dgm:prSet/>
      <dgm:spPr/>
      <dgm:t>
        <a:bodyPr/>
        <a:lstStyle/>
        <a:p>
          <a:endParaRPr lang="es-ES"/>
        </a:p>
      </dgm:t>
    </dgm:pt>
    <dgm:pt modelId="{E50BEEE2-BDC8-44D1-A5C5-EE96EF128808}" type="sibTrans" cxnId="{F5F2E139-24B2-448E-B4EB-695E93AC6224}">
      <dgm:prSet/>
      <dgm:spPr/>
      <dgm:t>
        <a:bodyPr/>
        <a:lstStyle/>
        <a:p>
          <a:endParaRPr lang="es-ES"/>
        </a:p>
      </dgm:t>
    </dgm:pt>
    <dgm:pt modelId="{B6BDDB54-B0B5-4D8B-AEBF-DD31BB28B66C}">
      <dgm:prSet custT="1"/>
      <dgm:spPr>
        <a:xfrm rot="5400000">
          <a:off x="2912701" y="1399394"/>
          <a:ext cx="1310406"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acude a la realización de actividades de ocio propuestas por el equipo.</a:t>
          </a:r>
        </a:p>
      </dgm:t>
    </dgm:pt>
    <dgm:pt modelId="{EF19C268-9DFE-4BEB-968F-F8909A843310}" type="parTrans" cxnId="{231A8054-29C4-45FF-AA32-A20E528C4F6C}">
      <dgm:prSet/>
      <dgm:spPr/>
      <dgm:t>
        <a:bodyPr/>
        <a:lstStyle/>
        <a:p>
          <a:endParaRPr lang="es-ES"/>
        </a:p>
      </dgm:t>
    </dgm:pt>
    <dgm:pt modelId="{05654666-A974-49F9-830F-BE4B1F19E6EA}" type="sibTrans" cxnId="{231A8054-29C4-45FF-AA32-A20E528C4F6C}">
      <dgm:prSet/>
      <dgm:spPr/>
      <dgm:t>
        <a:bodyPr/>
        <a:lstStyle/>
        <a:p>
          <a:endParaRPr lang="es-ES"/>
        </a:p>
      </dgm:t>
    </dgm:pt>
    <dgm:pt modelId="{B55384EA-143B-46EA-92B2-943C4F5F31A2}">
      <dgm:prSet custT="1"/>
      <dgm:spPr>
        <a:xfrm rot="5400000">
          <a:off x="2912701" y="1399394"/>
          <a:ext cx="1310406"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Habilidades Sociales presentes para iniciar/mantener relaciones sociales y desenvolverse en contextos de interacción social.</a:t>
          </a:r>
        </a:p>
      </dgm:t>
    </dgm:pt>
    <dgm:pt modelId="{1D2CC207-8014-46AB-8D79-E6E0370E842B}" type="parTrans" cxnId="{E17730EE-B294-407D-ADF5-1A4721A17449}">
      <dgm:prSet/>
      <dgm:spPr/>
      <dgm:t>
        <a:bodyPr/>
        <a:lstStyle/>
        <a:p>
          <a:endParaRPr lang="es-ES"/>
        </a:p>
      </dgm:t>
    </dgm:pt>
    <dgm:pt modelId="{4817A91A-FAC4-41ED-97F6-260036276C93}" type="sibTrans" cxnId="{E17730EE-B294-407D-ADF5-1A4721A17449}">
      <dgm:prSet/>
      <dgm:spPr/>
      <dgm:t>
        <a:bodyPr/>
        <a:lstStyle/>
        <a:p>
          <a:endParaRPr lang="es-ES"/>
        </a:p>
      </dgm:t>
    </dgm:pt>
    <dgm:pt modelId="{76D850DF-B075-4A4B-9B47-BEB19A6DB5F7}">
      <dgm:prSet custT="1"/>
      <dgm:spPr>
        <a:xfrm rot="5400000">
          <a:off x="2912701" y="1399394"/>
          <a:ext cx="1310406"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l"/>
          <a:endParaRPr lang="es-ES" sz="900">
            <a:solidFill>
              <a:sysClr val="windowText" lastClr="000000">
                <a:hueOff val="0"/>
                <a:satOff val="0"/>
                <a:lumOff val="0"/>
                <a:alphaOff val="0"/>
              </a:sysClr>
            </a:solidFill>
            <a:latin typeface="Calibri" panose="020F0502020204030204"/>
            <a:ea typeface="+mn-ea"/>
            <a:cs typeface="+mn-cs"/>
          </a:endParaRPr>
        </a:p>
      </dgm:t>
    </dgm:pt>
    <dgm:pt modelId="{10F576C6-BA52-4B6B-AAA3-6BB5FE60E5BA}" type="parTrans" cxnId="{2BFD6CB4-4977-428B-97D7-DD15BAE53FAF}">
      <dgm:prSet/>
      <dgm:spPr/>
      <dgm:t>
        <a:bodyPr/>
        <a:lstStyle/>
        <a:p>
          <a:endParaRPr lang="es-ES"/>
        </a:p>
      </dgm:t>
    </dgm:pt>
    <dgm:pt modelId="{CB436F17-362C-46CC-A7D3-E4F28238A287}" type="sibTrans" cxnId="{2BFD6CB4-4977-428B-97D7-DD15BAE53FAF}">
      <dgm:prSet/>
      <dgm:spPr/>
      <dgm:t>
        <a:bodyPr/>
        <a:lstStyle/>
        <a:p>
          <a:endParaRPr lang="es-ES"/>
        </a:p>
      </dgm:t>
    </dgm:pt>
    <dgm:pt modelId="{D969BD26-EEC8-49F4-AB95-44C9921101BC}" type="pres">
      <dgm:prSet presAssocID="{0E11CC28-D188-4547-838B-4F400B9D42E9}" presName="Name0" presStyleCnt="0">
        <dgm:presLayoutVars>
          <dgm:dir/>
          <dgm:animLvl val="lvl"/>
          <dgm:resizeHandles val="exact"/>
        </dgm:presLayoutVars>
      </dgm:prSet>
      <dgm:spPr/>
      <dgm:t>
        <a:bodyPr/>
        <a:lstStyle/>
        <a:p>
          <a:endParaRPr lang="es-ES"/>
        </a:p>
      </dgm:t>
    </dgm:pt>
    <dgm:pt modelId="{BD0852F0-E6D8-49E6-AB45-160C749333BD}" type="pres">
      <dgm:prSet presAssocID="{784A7DDA-75BC-4020-B622-DD0C797187B3}" presName="linNode" presStyleCnt="0"/>
      <dgm:spPr/>
      <dgm:t>
        <a:bodyPr/>
        <a:lstStyle/>
        <a:p>
          <a:endParaRPr lang="es-ES"/>
        </a:p>
      </dgm:t>
    </dgm:pt>
    <dgm:pt modelId="{8BEDABDC-2664-4908-8856-B5653ABA242E}" type="pres">
      <dgm:prSet presAssocID="{784A7DDA-75BC-4020-B622-DD0C797187B3}" presName="parentText" presStyleLbl="node1" presStyleIdx="0" presStyleCnt="3">
        <dgm:presLayoutVars>
          <dgm:chMax val="1"/>
          <dgm:bulletEnabled val="1"/>
        </dgm:presLayoutVars>
      </dgm:prSet>
      <dgm:spPr/>
      <dgm:t>
        <a:bodyPr/>
        <a:lstStyle/>
        <a:p>
          <a:endParaRPr lang="es-ES"/>
        </a:p>
      </dgm:t>
    </dgm:pt>
    <dgm:pt modelId="{96AB1F29-6BB0-456B-81CE-F3BD6CE94D7D}" type="pres">
      <dgm:prSet presAssocID="{784A7DDA-75BC-4020-B622-DD0C797187B3}" presName="descendantText" presStyleLbl="alignAccFollowNode1" presStyleIdx="0" presStyleCnt="3" custScaleY="264412" custLinFactNeighborX="3923" custLinFactNeighborY="-211">
        <dgm:presLayoutVars>
          <dgm:bulletEnabled val="1"/>
        </dgm:presLayoutVars>
      </dgm:prSet>
      <dgm:spPr/>
      <dgm:t>
        <a:bodyPr/>
        <a:lstStyle/>
        <a:p>
          <a:endParaRPr lang="es-ES"/>
        </a:p>
      </dgm:t>
    </dgm:pt>
    <dgm:pt modelId="{BD875190-F0CA-402A-9CF4-3D5650922A4F}" type="pres">
      <dgm:prSet presAssocID="{71AE1F10-7A69-43C8-B5C6-BDC40AA85017}" presName="sp" presStyleCnt="0"/>
      <dgm:spPr/>
      <dgm:t>
        <a:bodyPr/>
        <a:lstStyle/>
        <a:p>
          <a:endParaRPr lang="es-ES"/>
        </a:p>
      </dgm:t>
    </dgm:pt>
    <dgm:pt modelId="{93FBDDE2-60EB-4B51-BF68-0EF34C44AA4A}" type="pres">
      <dgm:prSet presAssocID="{02CD7E25-6FA7-4DA8-9EB8-7FD028311E65}" presName="linNode" presStyleCnt="0"/>
      <dgm:spPr/>
      <dgm:t>
        <a:bodyPr/>
        <a:lstStyle/>
        <a:p>
          <a:endParaRPr lang="es-ES"/>
        </a:p>
      </dgm:t>
    </dgm:pt>
    <dgm:pt modelId="{2E4D0394-52E5-43B2-9CDB-A443B7ECBF85}" type="pres">
      <dgm:prSet presAssocID="{02CD7E25-6FA7-4DA8-9EB8-7FD028311E65}" presName="parentText" presStyleLbl="node1" presStyleIdx="1" presStyleCnt="3">
        <dgm:presLayoutVars>
          <dgm:chMax val="1"/>
          <dgm:bulletEnabled val="1"/>
        </dgm:presLayoutVars>
      </dgm:prSet>
      <dgm:spPr/>
      <dgm:t>
        <a:bodyPr/>
        <a:lstStyle/>
        <a:p>
          <a:endParaRPr lang="es-ES"/>
        </a:p>
      </dgm:t>
    </dgm:pt>
    <dgm:pt modelId="{C8373ABC-FB0F-40BC-8E35-19A020F9F82A}" type="pres">
      <dgm:prSet presAssocID="{02CD7E25-6FA7-4DA8-9EB8-7FD028311E65}" presName="descendantText" presStyleLbl="alignAccFollowNode1" presStyleIdx="1" presStyleCnt="3" custScaleY="280013" custLinFactNeighborX="136" custLinFactNeighborY="-3980">
        <dgm:presLayoutVars>
          <dgm:bulletEnabled val="1"/>
        </dgm:presLayoutVars>
      </dgm:prSet>
      <dgm:spPr/>
      <dgm:t>
        <a:bodyPr/>
        <a:lstStyle/>
        <a:p>
          <a:endParaRPr lang="es-ES"/>
        </a:p>
      </dgm:t>
    </dgm:pt>
    <dgm:pt modelId="{C0DCC1F6-2647-4C0A-B62E-200B8CEA701A}" type="pres">
      <dgm:prSet presAssocID="{66775D64-482D-485A-AB94-D80F047352E6}" presName="sp" presStyleCnt="0"/>
      <dgm:spPr/>
      <dgm:t>
        <a:bodyPr/>
        <a:lstStyle/>
        <a:p>
          <a:endParaRPr lang="es-ES"/>
        </a:p>
      </dgm:t>
    </dgm:pt>
    <dgm:pt modelId="{A33ED4DB-25A6-4FF4-B29B-76EE48720F16}" type="pres">
      <dgm:prSet presAssocID="{AC25DA83-4A00-4212-9E58-8547ABDDB4B9}" presName="linNode" presStyleCnt="0"/>
      <dgm:spPr/>
      <dgm:t>
        <a:bodyPr/>
        <a:lstStyle/>
        <a:p>
          <a:endParaRPr lang="es-ES"/>
        </a:p>
      </dgm:t>
    </dgm:pt>
    <dgm:pt modelId="{6FC372E4-0224-4514-8C8D-09E07CDC2229}" type="pres">
      <dgm:prSet presAssocID="{AC25DA83-4A00-4212-9E58-8547ABDDB4B9}" presName="parentText" presStyleLbl="node1" presStyleIdx="2" presStyleCnt="3">
        <dgm:presLayoutVars>
          <dgm:chMax val="1"/>
          <dgm:bulletEnabled val="1"/>
        </dgm:presLayoutVars>
      </dgm:prSet>
      <dgm:spPr/>
      <dgm:t>
        <a:bodyPr/>
        <a:lstStyle/>
        <a:p>
          <a:endParaRPr lang="es-ES"/>
        </a:p>
      </dgm:t>
    </dgm:pt>
    <dgm:pt modelId="{62B6CB1C-1869-4627-A4C8-9AE5C244020B}" type="pres">
      <dgm:prSet presAssocID="{AC25DA83-4A00-4212-9E58-8547ABDDB4B9}" presName="descendantText" presStyleLbl="alignAccFollowNode1" presStyleIdx="2" presStyleCnt="3" custScaleY="301494">
        <dgm:presLayoutVars>
          <dgm:bulletEnabled val="1"/>
        </dgm:presLayoutVars>
      </dgm:prSet>
      <dgm:spPr/>
      <dgm:t>
        <a:bodyPr/>
        <a:lstStyle/>
        <a:p>
          <a:endParaRPr lang="es-ES"/>
        </a:p>
      </dgm:t>
    </dgm:pt>
  </dgm:ptLst>
  <dgm:cxnLst>
    <dgm:cxn modelId="{184E911B-A025-4511-B9EF-EE37FDE4E932}" type="presOf" srcId="{02CD7E25-6FA7-4DA8-9EB8-7FD028311E65}" destId="{2E4D0394-52E5-43B2-9CDB-A443B7ECBF85}" srcOrd="0" destOrd="0" presId="urn:microsoft.com/office/officeart/2005/8/layout/vList5"/>
    <dgm:cxn modelId="{3408D55C-6CB0-467B-BA62-0613918C22E1}" type="presOf" srcId="{11F4B2AB-2A65-428D-A405-C360EB5E906F}" destId="{C8373ABC-FB0F-40BC-8E35-19A020F9F82A}" srcOrd="0" destOrd="3" presId="urn:microsoft.com/office/officeart/2005/8/layout/vList5"/>
    <dgm:cxn modelId="{7DD6EC4D-086A-478F-92D5-E4E049D11E4D}" type="presOf" srcId="{126A50CF-3DFA-411A-8BD7-B861DB75522F}" destId="{96AB1F29-6BB0-456B-81CE-F3BD6CE94D7D}" srcOrd="0" destOrd="4" presId="urn:microsoft.com/office/officeart/2005/8/layout/vList5"/>
    <dgm:cxn modelId="{14315795-A877-4CE4-AC64-4715869387C6}" type="presOf" srcId="{784A7DDA-75BC-4020-B622-DD0C797187B3}" destId="{8BEDABDC-2664-4908-8856-B5653ABA242E}" srcOrd="0" destOrd="0" presId="urn:microsoft.com/office/officeart/2005/8/layout/vList5"/>
    <dgm:cxn modelId="{3974BDA2-31C8-4D7A-9036-0548FB5D34E0}" srcId="{784A7DDA-75BC-4020-B622-DD0C797187B3}" destId="{7194CFEF-2D96-401C-A17B-DA41E35FDE33}" srcOrd="2" destOrd="0" parTransId="{E051BF7E-8E7A-45E3-8D4C-BF04354AA0FB}" sibTransId="{8112268A-83D8-4CAE-B27B-4566A14CD960}"/>
    <dgm:cxn modelId="{6B1CF677-53E7-4B55-BC72-8ECEA708D594}" type="presOf" srcId="{44583226-9DF6-4A18-A2F6-6A4B22455B65}" destId="{62B6CB1C-1869-4627-A4C8-9AE5C244020B}" srcOrd="0" destOrd="0" presId="urn:microsoft.com/office/officeart/2005/8/layout/vList5"/>
    <dgm:cxn modelId="{E17730EE-B294-407D-ADF5-1A4721A17449}" srcId="{AC25DA83-4A00-4212-9E58-8547ABDDB4B9}" destId="{B55384EA-143B-46EA-92B2-943C4F5F31A2}" srcOrd="2" destOrd="0" parTransId="{1D2CC207-8014-46AB-8D79-E6E0370E842B}" sibTransId="{4817A91A-FAC4-41ED-97F6-260036276C93}"/>
    <dgm:cxn modelId="{5AFD2109-2CC8-4602-802C-028343D1CEDD}" type="presOf" srcId="{76D850DF-B075-4A4B-9B47-BEB19A6DB5F7}" destId="{62B6CB1C-1869-4627-A4C8-9AE5C244020B}" srcOrd="0" destOrd="3" presId="urn:microsoft.com/office/officeart/2005/8/layout/vList5"/>
    <dgm:cxn modelId="{A96836E2-F573-43EB-99C0-837A431C8FC0}" type="presOf" srcId="{0E11CC28-D188-4547-838B-4F400B9D42E9}" destId="{D969BD26-EEC8-49F4-AB95-44C9921101BC}" srcOrd="0" destOrd="0" presId="urn:microsoft.com/office/officeart/2005/8/layout/vList5"/>
    <dgm:cxn modelId="{0321DE05-1738-4B8F-BE2A-A66136CFE8F7}" srcId="{AC25DA83-4A00-4212-9E58-8547ABDDB4B9}" destId="{44583226-9DF6-4A18-A2F6-6A4B22455B65}" srcOrd="0" destOrd="0" parTransId="{257A2800-0BE9-4B1E-BD37-59B049D917F3}" sibTransId="{297B5C82-F98D-433E-A837-E9C5D0A19570}"/>
    <dgm:cxn modelId="{1466B4C1-8946-4849-92BF-AFDDB405344D}" srcId="{0E11CC28-D188-4547-838B-4F400B9D42E9}" destId="{02CD7E25-6FA7-4DA8-9EB8-7FD028311E65}" srcOrd="1" destOrd="0" parTransId="{1ED5D287-7087-48E3-AB8F-BC1DE9BD30B5}" sibTransId="{66775D64-482D-485A-AB94-D80F047352E6}"/>
    <dgm:cxn modelId="{231A8054-29C4-45FF-AA32-A20E528C4F6C}" srcId="{AC25DA83-4A00-4212-9E58-8547ABDDB4B9}" destId="{B6BDDB54-B0B5-4D8B-AEBF-DD31BB28B66C}" srcOrd="1" destOrd="0" parTransId="{EF19C268-9DFE-4BEB-968F-F8909A843310}" sibTransId="{05654666-A974-49F9-830F-BE4B1F19E6EA}"/>
    <dgm:cxn modelId="{F5F2E139-24B2-448E-B4EB-695E93AC6224}" srcId="{02CD7E25-6FA7-4DA8-9EB8-7FD028311E65}" destId="{35A3BBC8-784B-404D-A6B7-81286D85CE14}" srcOrd="4" destOrd="0" parTransId="{5A10199B-3C86-422E-992C-95C04B151154}" sibTransId="{E50BEEE2-BDC8-44D1-A5C5-EE96EF128808}"/>
    <dgm:cxn modelId="{A1F0E8ED-7920-415B-B48D-E0C3E8A1DF25}" type="presOf" srcId="{96C2D0B9-D13F-4272-80C6-379FE59786A1}" destId="{96AB1F29-6BB0-456B-81CE-F3BD6CE94D7D}" srcOrd="0" destOrd="3" presId="urn:microsoft.com/office/officeart/2005/8/layout/vList5"/>
    <dgm:cxn modelId="{47673B1F-09A5-4402-8153-00CECB55C4F1}" type="presOf" srcId="{7194CFEF-2D96-401C-A17B-DA41E35FDE33}" destId="{96AB1F29-6BB0-456B-81CE-F3BD6CE94D7D}" srcOrd="0" destOrd="2" presId="urn:microsoft.com/office/officeart/2005/8/layout/vList5"/>
    <dgm:cxn modelId="{3673686F-05BC-4910-B376-DAD2C29F5BCB}" type="presOf" srcId="{B55384EA-143B-46EA-92B2-943C4F5F31A2}" destId="{62B6CB1C-1869-4627-A4C8-9AE5C244020B}" srcOrd="0" destOrd="2" presId="urn:microsoft.com/office/officeart/2005/8/layout/vList5"/>
    <dgm:cxn modelId="{64047A37-1955-41EF-8A42-1E74D54EEBCC}" srcId="{0E11CC28-D188-4547-838B-4F400B9D42E9}" destId="{AC25DA83-4A00-4212-9E58-8547ABDDB4B9}" srcOrd="2" destOrd="0" parTransId="{F93BB8FB-270C-4F07-80E0-E652778848C2}" sibTransId="{E0696C9A-C166-4792-9060-7B2420039FC4}"/>
    <dgm:cxn modelId="{29579E31-EC5D-43B3-BC19-6943B18F57A6}" srcId="{0E11CC28-D188-4547-838B-4F400B9D42E9}" destId="{784A7DDA-75BC-4020-B622-DD0C797187B3}" srcOrd="0" destOrd="0" parTransId="{CEF70439-43E1-4FA6-97A7-6508061C6977}" sibTransId="{71AE1F10-7A69-43C8-B5C6-BDC40AA85017}"/>
    <dgm:cxn modelId="{012D886E-AF1D-4C5D-9795-AC4EBFD20174}" type="presOf" srcId="{DA463746-5C1A-4D93-9EDF-73B2ED8F2968}" destId="{96AB1F29-6BB0-456B-81CE-F3BD6CE94D7D}" srcOrd="0" destOrd="0" presId="urn:microsoft.com/office/officeart/2005/8/layout/vList5"/>
    <dgm:cxn modelId="{D782839A-3B53-4732-B08C-CB68324567B9}" type="presOf" srcId="{F61AF916-65A0-4D69-AEF6-C7D1FDB5FBDF}" destId="{C8373ABC-FB0F-40BC-8E35-19A020F9F82A}" srcOrd="0" destOrd="0" presId="urn:microsoft.com/office/officeart/2005/8/layout/vList5"/>
    <dgm:cxn modelId="{922A6A1C-49BB-4911-9672-663EC7B5F3F8}" srcId="{784A7DDA-75BC-4020-B622-DD0C797187B3}" destId="{126A50CF-3DFA-411A-8BD7-B861DB75522F}" srcOrd="4" destOrd="0" parTransId="{9202EBB8-6285-4426-A3A0-0393A9850124}" sibTransId="{6E32F337-706A-4729-89BF-A45A6B5C5D64}"/>
    <dgm:cxn modelId="{6A1159AE-760D-49C6-9B08-1547F164B843}" type="presOf" srcId="{F064E0FF-4BD4-46F0-9258-2831E56415DA}" destId="{C8373ABC-FB0F-40BC-8E35-19A020F9F82A}" srcOrd="0" destOrd="1" presId="urn:microsoft.com/office/officeart/2005/8/layout/vList5"/>
    <dgm:cxn modelId="{41E48D6F-901D-4344-8821-9E38691159CA}" srcId="{784A7DDA-75BC-4020-B622-DD0C797187B3}" destId="{96C2D0B9-D13F-4272-80C6-379FE59786A1}" srcOrd="3" destOrd="0" parTransId="{A87E6155-486D-4975-989D-29235E23001A}" sibTransId="{68773513-2404-4A4E-B701-4DF5C18DE48A}"/>
    <dgm:cxn modelId="{2BEECF0B-652A-4D90-8AAE-4115804DC6C7}" srcId="{02CD7E25-6FA7-4DA8-9EB8-7FD028311E65}" destId="{F61AF916-65A0-4D69-AEF6-C7D1FDB5FBDF}" srcOrd="0" destOrd="0" parTransId="{0344835A-07EF-4472-97E2-FA70C28D3DF4}" sibTransId="{121E22C2-0135-4A07-840F-77BFC6063CF8}"/>
    <dgm:cxn modelId="{6A693D7E-3BF8-4826-A76B-5E8A65FB38C3}" type="presOf" srcId="{AC25DA83-4A00-4212-9E58-8547ABDDB4B9}" destId="{6FC372E4-0224-4514-8C8D-09E07CDC2229}" srcOrd="0" destOrd="0" presId="urn:microsoft.com/office/officeart/2005/8/layout/vList5"/>
    <dgm:cxn modelId="{2BFD6CB4-4977-428B-97D7-DD15BAE53FAF}" srcId="{AC25DA83-4A00-4212-9E58-8547ABDDB4B9}" destId="{76D850DF-B075-4A4B-9B47-BEB19A6DB5F7}" srcOrd="3" destOrd="0" parTransId="{10F576C6-BA52-4B6B-AAA3-6BB5FE60E5BA}" sibTransId="{CB436F17-362C-46CC-A7D3-E4F28238A287}"/>
    <dgm:cxn modelId="{D898DA3E-B920-433C-8915-9B7991F6B633}" srcId="{02CD7E25-6FA7-4DA8-9EB8-7FD028311E65}" destId="{F064E0FF-4BD4-46F0-9258-2831E56415DA}" srcOrd="1" destOrd="0" parTransId="{A5E17FE1-1E5B-4D7B-9176-BA12C8208774}" sibTransId="{51582610-EB3E-40AD-A0E3-319AC053626C}"/>
    <dgm:cxn modelId="{3AE16EA3-3DDF-435D-8479-19D2636A427C}" srcId="{784A7DDA-75BC-4020-B622-DD0C797187B3}" destId="{856C0FE7-0F14-4502-85E2-018E5B24B58B}" srcOrd="1" destOrd="0" parTransId="{868877FF-8A4C-4F7F-AEB9-A35645C5502A}" sibTransId="{8BD1609D-9816-42AC-BE6D-BD7B4C7A63F7}"/>
    <dgm:cxn modelId="{CC81FDB2-DB98-46D3-B351-11C29D04224A}" srcId="{02CD7E25-6FA7-4DA8-9EB8-7FD028311E65}" destId="{11F4B2AB-2A65-428D-A405-C360EB5E906F}" srcOrd="3" destOrd="0" parTransId="{382BD4BE-E781-46A9-9E83-B00B11C525EC}" sibTransId="{23C46903-C8C5-41AB-90B7-209D038D7CF3}"/>
    <dgm:cxn modelId="{ACDD31ED-FA65-4E12-A685-3C379F5F563C}" type="presOf" srcId="{856C0FE7-0F14-4502-85E2-018E5B24B58B}" destId="{96AB1F29-6BB0-456B-81CE-F3BD6CE94D7D}" srcOrd="0" destOrd="1" presId="urn:microsoft.com/office/officeart/2005/8/layout/vList5"/>
    <dgm:cxn modelId="{913E05C5-5452-43F7-BC97-F1251E685D1B}" srcId="{784A7DDA-75BC-4020-B622-DD0C797187B3}" destId="{DA463746-5C1A-4D93-9EDF-73B2ED8F2968}" srcOrd="0" destOrd="0" parTransId="{0D00D2E1-9864-4702-A913-E2092F9852D2}" sibTransId="{5EC5C9EA-9946-4C93-B9CE-6092EBF73919}"/>
    <dgm:cxn modelId="{968B51AB-57B0-4204-90EB-0EF2AAAFBCE7}" type="presOf" srcId="{35A3BBC8-784B-404D-A6B7-81286D85CE14}" destId="{C8373ABC-FB0F-40BC-8E35-19A020F9F82A}" srcOrd="0" destOrd="4" presId="urn:microsoft.com/office/officeart/2005/8/layout/vList5"/>
    <dgm:cxn modelId="{4DC91654-70D1-4BA3-84B8-C6EB3FBAFE45}" srcId="{02CD7E25-6FA7-4DA8-9EB8-7FD028311E65}" destId="{3DB1A8D3-C7A8-4399-8F53-37475439F027}" srcOrd="2" destOrd="0" parTransId="{75A547BB-3426-45E5-9391-F41F701E2358}" sibTransId="{6E027420-56F9-4947-987F-1B3538E9C09E}"/>
    <dgm:cxn modelId="{95B9AED5-659B-41D6-9B98-032486B45D37}" type="presOf" srcId="{B6BDDB54-B0B5-4D8B-AEBF-DD31BB28B66C}" destId="{62B6CB1C-1869-4627-A4C8-9AE5C244020B}" srcOrd="0" destOrd="1" presId="urn:microsoft.com/office/officeart/2005/8/layout/vList5"/>
    <dgm:cxn modelId="{66AF8E58-5C2A-41E2-98C4-CB291623E8AE}" type="presOf" srcId="{3DB1A8D3-C7A8-4399-8F53-37475439F027}" destId="{C8373ABC-FB0F-40BC-8E35-19A020F9F82A}" srcOrd="0" destOrd="2" presId="urn:microsoft.com/office/officeart/2005/8/layout/vList5"/>
    <dgm:cxn modelId="{7CA0E678-B7FB-41EA-A227-1C88B69B51CA}" type="presParOf" srcId="{D969BD26-EEC8-49F4-AB95-44C9921101BC}" destId="{BD0852F0-E6D8-49E6-AB45-160C749333BD}" srcOrd="0" destOrd="0" presId="urn:microsoft.com/office/officeart/2005/8/layout/vList5"/>
    <dgm:cxn modelId="{B02A8483-BB50-4335-92F0-8B30BBC9B1DA}" type="presParOf" srcId="{BD0852F0-E6D8-49E6-AB45-160C749333BD}" destId="{8BEDABDC-2664-4908-8856-B5653ABA242E}" srcOrd="0" destOrd="0" presId="urn:microsoft.com/office/officeart/2005/8/layout/vList5"/>
    <dgm:cxn modelId="{F598D331-EDE5-47ED-A39E-CE2E3F51E682}" type="presParOf" srcId="{BD0852F0-E6D8-49E6-AB45-160C749333BD}" destId="{96AB1F29-6BB0-456B-81CE-F3BD6CE94D7D}" srcOrd="1" destOrd="0" presId="urn:microsoft.com/office/officeart/2005/8/layout/vList5"/>
    <dgm:cxn modelId="{05BC3A90-1E27-4E74-9615-CF46CA88D046}" type="presParOf" srcId="{D969BD26-EEC8-49F4-AB95-44C9921101BC}" destId="{BD875190-F0CA-402A-9CF4-3D5650922A4F}" srcOrd="1" destOrd="0" presId="urn:microsoft.com/office/officeart/2005/8/layout/vList5"/>
    <dgm:cxn modelId="{BC6DAC13-14D2-44C0-9B03-3BDBF5A70E81}" type="presParOf" srcId="{D969BD26-EEC8-49F4-AB95-44C9921101BC}" destId="{93FBDDE2-60EB-4B51-BF68-0EF34C44AA4A}" srcOrd="2" destOrd="0" presId="urn:microsoft.com/office/officeart/2005/8/layout/vList5"/>
    <dgm:cxn modelId="{4F302CA5-6FC1-4896-974A-7DEB55F51F56}" type="presParOf" srcId="{93FBDDE2-60EB-4B51-BF68-0EF34C44AA4A}" destId="{2E4D0394-52E5-43B2-9CDB-A443B7ECBF85}" srcOrd="0" destOrd="0" presId="urn:microsoft.com/office/officeart/2005/8/layout/vList5"/>
    <dgm:cxn modelId="{8668D47E-58C5-4AB2-83AD-18FA94AACF00}" type="presParOf" srcId="{93FBDDE2-60EB-4B51-BF68-0EF34C44AA4A}" destId="{C8373ABC-FB0F-40BC-8E35-19A020F9F82A}" srcOrd="1" destOrd="0" presId="urn:microsoft.com/office/officeart/2005/8/layout/vList5"/>
    <dgm:cxn modelId="{A3FC3EA3-E0E2-4F08-A1DB-AEEAA7BBBAF9}" type="presParOf" srcId="{D969BD26-EEC8-49F4-AB95-44C9921101BC}" destId="{C0DCC1F6-2647-4C0A-B62E-200B8CEA701A}" srcOrd="3" destOrd="0" presId="urn:microsoft.com/office/officeart/2005/8/layout/vList5"/>
    <dgm:cxn modelId="{266A9792-9602-4AAA-9401-EBD51757D419}" type="presParOf" srcId="{D969BD26-EEC8-49F4-AB95-44C9921101BC}" destId="{A33ED4DB-25A6-4FF4-B29B-76EE48720F16}" srcOrd="4" destOrd="0" presId="urn:microsoft.com/office/officeart/2005/8/layout/vList5"/>
    <dgm:cxn modelId="{1ED5C275-8180-4187-9A6B-05E626ABD92A}" type="presParOf" srcId="{A33ED4DB-25A6-4FF4-B29B-76EE48720F16}" destId="{6FC372E4-0224-4514-8C8D-09E07CDC2229}" srcOrd="0" destOrd="0" presId="urn:microsoft.com/office/officeart/2005/8/layout/vList5"/>
    <dgm:cxn modelId="{B8AC9CFC-AE2B-452A-AFDF-6EF9266E863C}" type="presParOf" srcId="{A33ED4DB-25A6-4FF4-B29B-76EE48720F16}" destId="{62B6CB1C-1869-4627-A4C8-9AE5C244020B}" srcOrd="1" destOrd="0" presId="urn:microsoft.com/office/officeart/2005/8/layout/vList5"/>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D421E42-E9D9-438D-A580-4A42F2D273EE}" type="doc">
      <dgm:prSet loTypeId="urn:microsoft.com/office/officeart/2005/8/layout/vList5" loCatId="list" qsTypeId="urn:microsoft.com/office/officeart/2005/8/quickstyle/3d2" qsCatId="3D" csTypeId="urn:microsoft.com/office/officeart/2005/8/colors/colorful1" csCatId="colorful" phldr="1"/>
      <dgm:spPr/>
      <dgm:t>
        <a:bodyPr/>
        <a:lstStyle/>
        <a:p>
          <a:endParaRPr lang="es-ES"/>
        </a:p>
      </dgm:t>
    </dgm:pt>
    <dgm:pt modelId="{14C3133B-0D52-4BD9-BB9B-4A7385ED40D0}">
      <dgm:prSet phldrT="[Texto]" custT="1"/>
      <dgm:spPr>
        <a:xfrm>
          <a:off x="2590" y="228065"/>
          <a:ext cx="1908087" cy="562507"/>
        </a:xfrm>
        <a:prstGeom prst="round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Hábitos alimenticios</a:t>
          </a:r>
        </a:p>
      </dgm:t>
    </dgm:pt>
    <dgm:pt modelId="{5E40CAA6-D4FF-40BA-9781-6B74DAC004FF}" type="parTrans" cxnId="{233084C9-F02F-4D88-8652-E6A8ADECFFC7}">
      <dgm:prSet/>
      <dgm:spPr/>
      <dgm:t>
        <a:bodyPr/>
        <a:lstStyle/>
        <a:p>
          <a:endParaRPr lang="es-ES"/>
        </a:p>
      </dgm:t>
    </dgm:pt>
    <dgm:pt modelId="{532AE8DD-0C0F-42A8-82F1-C1910D1C5EB5}" type="sibTrans" cxnId="{233084C9-F02F-4D88-8652-E6A8ADECFFC7}">
      <dgm:prSet/>
      <dgm:spPr/>
      <dgm:t>
        <a:bodyPr/>
        <a:lstStyle/>
        <a:p>
          <a:endParaRPr lang="es-ES"/>
        </a:p>
      </dgm:t>
    </dgm:pt>
    <dgm:pt modelId="{77865833-BEB3-44FE-B0EC-B161C1A05B25}">
      <dgm:prSet phldrT="[Texto]" custT="1"/>
      <dgm:spPr>
        <a:xfrm rot="5400000">
          <a:off x="3098674" y="-1186758"/>
          <a:ext cx="1016164" cy="3392156"/>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comidas que realiza al día.</a:t>
          </a:r>
        </a:p>
      </dgm:t>
    </dgm:pt>
    <dgm:pt modelId="{981224E4-A9C4-4000-9D9E-73FF936BBAC2}" type="parTrans" cxnId="{3AD4B147-026B-4B82-99D0-52C84F6DDF3D}">
      <dgm:prSet/>
      <dgm:spPr/>
      <dgm:t>
        <a:bodyPr/>
        <a:lstStyle/>
        <a:p>
          <a:endParaRPr lang="es-ES"/>
        </a:p>
      </dgm:t>
    </dgm:pt>
    <dgm:pt modelId="{36C750CF-D8FC-4D67-BE66-76862C4700E1}" type="sibTrans" cxnId="{3AD4B147-026B-4B82-99D0-52C84F6DDF3D}">
      <dgm:prSet/>
      <dgm:spPr/>
      <dgm:t>
        <a:bodyPr/>
        <a:lstStyle/>
        <a:p>
          <a:endParaRPr lang="es-ES"/>
        </a:p>
      </dgm:t>
    </dgm:pt>
    <dgm:pt modelId="{651C0C2D-7213-430A-94D3-6200268B4C0F}">
      <dgm:prSet phldrT="[Texto]" custT="1"/>
      <dgm:spPr>
        <a:xfrm>
          <a:off x="2590" y="1400176"/>
          <a:ext cx="1908087" cy="473855"/>
        </a:xfrm>
        <a:prstGeom prst="roundRect">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Estado emocional</a:t>
          </a:r>
        </a:p>
      </dgm:t>
    </dgm:pt>
    <dgm:pt modelId="{BB9B2B89-1316-4C7E-A640-5004AF1B97D8}" type="parTrans" cxnId="{8A7D614D-5A56-43BC-9099-C31DD2570682}">
      <dgm:prSet/>
      <dgm:spPr/>
      <dgm:t>
        <a:bodyPr/>
        <a:lstStyle/>
        <a:p>
          <a:endParaRPr lang="es-ES"/>
        </a:p>
      </dgm:t>
    </dgm:pt>
    <dgm:pt modelId="{FC0CB0D3-BDA6-4579-931B-0A1EF13C2A75}" type="sibTrans" cxnId="{8A7D614D-5A56-43BC-9099-C31DD2570682}">
      <dgm:prSet/>
      <dgm:spPr/>
      <dgm:t>
        <a:bodyPr/>
        <a:lstStyle/>
        <a:p>
          <a:endParaRPr lang="es-ES"/>
        </a:p>
      </dgm:t>
    </dgm:pt>
    <dgm:pt modelId="{BC6ED834-29F6-42DF-AC9B-46743ADB3F7A}">
      <dgm:prSet phldrT="[Texto]" custT="1"/>
      <dgm:spPr>
        <a:xfrm>
          <a:off x="2590" y="2524126"/>
          <a:ext cx="1908087" cy="712516"/>
        </a:xfrm>
        <a:prstGeom prst="round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Motivación académica /laboral</a:t>
          </a:r>
        </a:p>
      </dgm:t>
    </dgm:pt>
    <dgm:pt modelId="{167714ED-BBDE-4662-B17C-D8BF94F46FB2}" type="parTrans" cxnId="{B017AE20-45FC-478F-B24E-B0FF23C242B3}">
      <dgm:prSet/>
      <dgm:spPr/>
      <dgm:t>
        <a:bodyPr/>
        <a:lstStyle/>
        <a:p>
          <a:endParaRPr lang="es-ES"/>
        </a:p>
      </dgm:t>
    </dgm:pt>
    <dgm:pt modelId="{3BE7D8CD-5CD6-49A9-89E7-148C467310EB}" type="sibTrans" cxnId="{B017AE20-45FC-478F-B24E-B0FF23C242B3}">
      <dgm:prSet/>
      <dgm:spPr/>
      <dgm:t>
        <a:bodyPr/>
        <a:lstStyle/>
        <a:p>
          <a:endParaRPr lang="es-ES"/>
        </a:p>
      </dgm:t>
    </dgm:pt>
    <dgm:pt modelId="{EF014993-C075-4466-817D-735D5FF85106}">
      <dgm:prSet phldrT="[Texto]" custT="1"/>
      <dgm:spPr>
        <a:xfrm rot="5400000">
          <a:off x="2983178" y="1184306"/>
          <a:ext cx="1247155" cy="3392156"/>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manifiesta interés por mejorar su capacitación o formación.</a:t>
          </a:r>
        </a:p>
      </dgm:t>
    </dgm:pt>
    <dgm:pt modelId="{67A15BDA-F565-449B-9702-F330D5592DC6}" type="parTrans" cxnId="{2D5FE6F5-FC2A-4B99-8765-F549537ACD4E}">
      <dgm:prSet/>
      <dgm:spPr/>
      <dgm:t>
        <a:bodyPr/>
        <a:lstStyle/>
        <a:p>
          <a:endParaRPr lang="es-ES"/>
        </a:p>
      </dgm:t>
    </dgm:pt>
    <dgm:pt modelId="{2B21D35A-2391-43DE-A0FE-AC58FFC8C36D}" type="sibTrans" cxnId="{2D5FE6F5-FC2A-4B99-8765-F549537ACD4E}">
      <dgm:prSet/>
      <dgm:spPr/>
      <dgm:t>
        <a:bodyPr/>
        <a:lstStyle/>
        <a:p>
          <a:endParaRPr lang="es-ES"/>
        </a:p>
      </dgm:t>
    </dgm:pt>
    <dgm:pt modelId="{2F36FA7E-F657-42F5-8E29-EF78364F4134}">
      <dgm:prSet custT="1"/>
      <dgm:spPr>
        <a:xfrm rot="5400000">
          <a:off x="3098674" y="-1186758"/>
          <a:ext cx="1016164" cy="3392156"/>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Variedad de alimentos que ingesta.</a:t>
          </a:r>
        </a:p>
      </dgm:t>
    </dgm:pt>
    <dgm:pt modelId="{691598D3-4201-47DD-B821-E7D2CF43CB34}" type="parTrans" cxnId="{24349C10-F43A-43B1-9FBB-F7C430DEB2A7}">
      <dgm:prSet/>
      <dgm:spPr/>
      <dgm:t>
        <a:bodyPr/>
        <a:lstStyle/>
        <a:p>
          <a:endParaRPr lang="es-ES"/>
        </a:p>
      </dgm:t>
    </dgm:pt>
    <dgm:pt modelId="{D89DFD18-E8A4-45A8-BA7C-DC147482FF77}" type="sibTrans" cxnId="{24349C10-F43A-43B1-9FBB-F7C430DEB2A7}">
      <dgm:prSet/>
      <dgm:spPr/>
      <dgm:t>
        <a:bodyPr/>
        <a:lstStyle/>
        <a:p>
          <a:endParaRPr lang="es-ES"/>
        </a:p>
      </dgm:t>
    </dgm:pt>
    <dgm:pt modelId="{87F4686D-8C77-4156-94C7-EAFE1CC9792B}">
      <dgm:prSet custT="1"/>
      <dgm:spPr>
        <a:xfrm rot="5400000">
          <a:off x="3098674" y="-1186758"/>
          <a:ext cx="1016164" cy="3392156"/>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Horarios saludables.</a:t>
          </a:r>
        </a:p>
      </dgm:t>
    </dgm:pt>
    <dgm:pt modelId="{85088630-B80E-43B0-8ED1-FF11337B3AEB}" type="parTrans" cxnId="{8CD169BF-7BE9-4E6C-A3ED-8D65CB03758A}">
      <dgm:prSet/>
      <dgm:spPr/>
      <dgm:t>
        <a:bodyPr/>
        <a:lstStyle/>
        <a:p>
          <a:endParaRPr lang="es-ES"/>
        </a:p>
      </dgm:t>
    </dgm:pt>
    <dgm:pt modelId="{25DED0C7-5142-4A5D-B695-620625CCF87A}" type="sibTrans" cxnId="{8CD169BF-7BE9-4E6C-A3ED-8D65CB03758A}">
      <dgm:prSet/>
      <dgm:spPr/>
      <dgm:t>
        <a:bodyPr/>
        <a:lstStyle/>
        <a:p>
          <a:endParaRPr lang="es-ES"/>
        </a:p>
      </dgm:t>
    </dgm:pt>
    <dgm:pt modelId="{193955FF-7D04-48FD-B809-13B2983B7E42}">
      <dgm:prSet custT="1"/>
      <dgm:spPr>
        <a:xfrm rot="5400000">
          <a:off x="3098674" y="-1186758"/>
          <a:ext cx="1016164" cy="3392156"/>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Cantidad.</a:t>
          </a:r>
        </a:p>
      </dgm:t>
    </dgm:pt>
    <dgm:pt modelId="{C07FF195-4A69-4DD9-96C3-99866AE08618}" type="parTrans" cxnId="{C49FA2FA-09ED-4396-A375-9B301EB57AAE}">
      <dgm:prSet/>
      <dgm:spPr/>
      <dgm:t>
        <a:bodyPr/>
        <a:lstStyle/>
        <a:p>
          <a:endParaRPr lang="es-ES"/>
        </a:p>
      </dgm:t>
    </dgm:pt>
    <dgm:pt modelId="{623A4609-74CF-4C74-B0EF-021B22751660}" type="sibTrans" cxnId="{C49FA2FA-09ED-4396-A375-9B301EB57AAE}">
      <dgm:prSet/>
      <dgm:spPr/>
      <dgm:t>
        <a:bodyPr/>
        <a:lstStyle/>
        <a:p>
          <a:endParaRPr lang="es-ES"/>
        </a:p>
      </dgm:t>
    </dgm:pt>
    <dgm:pt modelId="{026BAB25-59C4-4961-A0A4-8460A66794F6}">
      <dgm:prSet custT="1"/>
      <dgm:spPr>
        <a:xfrm rot="5400000">
          <a:off x="3098674" y="-1186758"/>
          <a:ext cx="1016164" cy="3392156"/>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Conciencia sobre la importancia de la dieta sana y equilibrada</a:t>
          </a:r>
        </a:p>
      </dgm:t>
    </dgm:pt>
    <dgm:pt modelId="{7DF2A7EE-4F18-4D9D-ACD4-BE4AF265C87D}" type="parTrans" cxnId="{CB904EBA-8364-4EA2-AEE6-B399013A7444}">
      <dgm:prSet/>
      <dgm:spPr/>
      <dgm:t>
        <a:bodyPr/>
        <a:lstStyle/>
        <a:p>
          <a:endParaRPr lang="es-ES"/>
        </a:p>
      </dgm:t>
    </dgm:pt>
    <dgm:pt modelId="{79BAE623-1AB5-467B-920E-CF2E4ECD8A8B}" type="sibTrans" cxnId="{CB904EBA-8364-4EA2-AEE6-B399013A7444}">
      <dgm:prSet/>
      <dgm:spPr/>
      <dgm:t>
        <a:bodyPr/>
        <a:lstStyle/>
        <a:p>
          <a:endParaRPr lang="es-ES"/>
        </a:p>
      </dgm:t>
    </dgm:pt>
    <dgm:pt modelId="{A07B7052-D1C6-4C92-BE12-CF61D6BEB26F}">
      <dgm:prSet custT="1"/>
      <dgm:spPr>
        <a:xfrm rot="5400000">
          <a:off x="3036431" y="-58973"/>
          <a:ext cx="1140650" cy="3392156"/>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Expresión de emociones, gestión de las mismas y autocontrol . </a:t>
          </a:r>
        </a:p>
      </dgm:t>
    </dgm:pt>
    <dgm:pt modelId="{104241C8-A04B-49DD-A54C-370449654D85}" type="parTrans" cxnId="{B3E1F2CF-B6F1-4868-8551-A4A48463DB5E}">
      <dgm:prSet/>
      <dgm:spPr/>
      <dgm:t>
        <a:bodyPr/>
        <a:lstStyle/>
        <a:p>
          <a:endParaRPr lang="es-ES"/>
        </a:p>
      </dgm:t>
    </dgm:pt>
    <dgm:pt modelId="{ED2A12AC-DD30-4925-8EBA-0ED7A92984E8}" type="sibTrans" cxnId="{B3E1F2CF-B6F1-4868-8551-A4A48463DB5E}">
      <dgm:prSet/>
      <dgm:spPr/>
      <dgm:t>
        <a:bodyPr/>
        <a:lstStyle/>
        <a:p>
          <a:endParaRPr lang="es-ES"/>
        </a:p>
      </dgm:t>
    </dgm:pt>
    <dgm:pt modelId="{6DF62BE5-A406-4C76-B6D7-81A59386456D}">
      <dgm:prSet custT="1"/>
      <dgm:spPr>
        <a:xfrm rot="5400000">
          <a:off x="3036431" y="-58973"/>
          <a:ext cx="1140650" cy="3392156"/>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Nª de actividades/ejercicios que realiza en beneficio/perjuicio de su bienestar, (Ejemplo: realizar deporte, pasear, etc.)</a:t>
          </a:r>
        </a:p>
      </dgm:t>
    </dgm:pt>
    <dgm:pt modelId="{DDABC6BD-257E-4A84-A1EF-2DA0AC9EF9B7}" type="parTrans" cxnId="{7C89C4EC-C9F3-40F9-8C07-3BBC516D663F}">
      <dgm:prSet/>
      <dgm:spPr/>
      <dgm:t>
        <a:bodyPr/>
        <a:lstStyle/>
        <a:p>
          <a:endParaRPr lang="es-ES"/>
        </a:p>
      </dgm:t>
    </dgm:pt>
    <dgm:pt modelId="{0365C016-10E0-4AF7-B099-34A28B499D86}" type="sibTrans" cxnId="{7C89C4EC-C9F3-40F9-8C07-3BBC516D663F}">
      <dgm:prSet/>
      <dgm:spPr/>
      <dgm:t>
        <a:bodyPr/>
        <a:lstStyle/>
        <a:p>
          <a:endParaRPr lang="es-ES"/>
        </a:p>
      </dgm:t>
    </dgm:pt>
    <dgm:pt modelId="{BED4729E-B729-49A1-8162-DB7DBDF04240}">
      <dgm:prSet custT="1"/>
      <dgm:spPr>
        <a:xfrm rot="5400000">
          <a:off x="3036431" y="-58973"/>
          <a:ext cx="1140650" cy="3392156"/>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cumple/incumple con sus citas para atención psicológica individual.</a:t>
          </a:r>
        </a:p>
      </dgm:t>
    </dgm:pt>
    <dgm:pt modelId="{0A1FADA5-8758-4EA1-8DD6-4C5A105FD2FA}" type="parTrans" cxnId="{706B0D63-9D01-4A85-8270-9A56B30A2983}">
      <dgm:prSet/>
      <dgm:spPr/>
      <dgm:t>
        <a:bodyPr/>
        <a:lstStyle/>
        <a:p>
          <a:endParaRPr lang="es-ES"/>
        </a:p>
      </dgm:t>
    </dgm:pt>
    <dgm:pt modelId="{7EC4737A-EBEA-4ABE-A7D2-1D7C8EB6F5A2}" type="sibTrans" cxnId="{706B0D63-9D01-4A85-8270-9A56B30A2983}">
      <dgm:prSet/>
      <dgm:spPr/>
      <dgm:t>
        <a:bodyPr/>
        <a:lstStyle/>
        <a:p>
          <a:endParaRPr lang="es-ES"/>
        </a:p>
      </dgm:t>
    </dgm:pt>
    <dgm:pt modelId="{CD5DB760-6732-4B60-B673-E89C32535A28}">
      <dgm:prSet custT="1"/>
      <dgm:spPr>
        <a:xfrm rot="5400000">
          <a:off x="2983178" y="1184306"/>
          <a:ext cx="1247155" cy="3392156"/>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Nº de veces que realiza búsquedas de información sobre empleo o estudios.</a:t>
          </a:r>
        </a:p>
      </dgm:t>
    </dgm:pt>
    <dgm:pt modelId="{D323A75E-FC00-4E36-96CC-53A574B47EA6}" type="parTrans" cxnId="{756E9874-FDB1-4C1E-8395-46EB1D5AAF52}">
      <dgm:prSet/>
      <dgm:spPr/>
      <dgm:t>
        <a:bodyPr/>
        <a:lstStyle/>
        <a:p>
          <a:endParaRPr lang="es-ES"/>
        </a:p>
      </dgm:t>
    </dgm:pt>
    <dgm:pt modelId="{CFEC6083-7EAA-4A95-B0EB-953BFC13DE8E}" type="sibTrans" cxnId="{756E9874-FDB1-4C1E-8395-46EB1D5AAF52}">
      <dgm:prSet/>
      <dgm:spPr/>
      <dgm:t>
        <a:bodyPr/>
        <a:lstStyle/>
        <a:p>
          <a:endParaRPr lang="es-ES"/>
        </a:p>
      </dgm:t>
    </dgm:pt>
    <dgm:pt modelId="{8FCD6F4D-3B4B-4B40-98AA-AC2F4F077D64}">
      <dgm:prSet custT="1"/>
      <dgm:spPr>
        <a:xfrm rot="5400000">
          <a:off x="2983178" y="1184306"/>
          <a:ext cx="1247155" cy="3392156"/>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Constancia en el desempeño laboral o en la actividad formativa.</a:t>
          </a:r>
        </a:p>
      </dgm:t>
    </dgm:pt>
    <dgm:pt modelId="{198446A5-F0CE-4FB5-8814-D80F436CD69C}" type="parTrans" cxnId="{FDCC3A2C-0E52-4916-972E-407C3C475FC4}">
      <dgm:prSet/>
      <dgm:spPr/>
      <dgm:t>
        <a:bodyPr/>
        <a:lstStyle/>
        <a:p>
          <a:endParaRPr lang="es-ES"/>
        </a:p>
      </dgm:t>
    </dgm:pt>
    <dgm:pt modelId="{289F1E68-DDD0-4C95-994B-23327CC276BE}" type="sibTrans" cxnId="{FDCC3A2C-0E52-4916-972E-407C3C475FC4}">
      <dgm:prSet/>
      <dgm:spPr/>
      <dgm:t>
        <a:bodyPr/>
        <a:lstStyle/>
        <a:p>
          <a:endParaRPr lang="es-ES"/>
        </a:p>
      </dgm:t>
    </dgm:pt>
    <dgm:pt modelId="{66493CF0-D198-45BF-BDC8-1CD4536BBE8F}">
      <dgm:prSet custT="1"/>
      <dgm:spPr>
        <a:xfrm rot="5400000">
          <a:off x="2983178" y="1184306"/>
          <a:ext cx="1247155" cy="3392156"/>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Participación activa en el desarrollo de los talleres educativos.</a:t>
          </a:r>
        </a:p>
      </dgm:t>
    </dgm:pt>
    <dgm:pt modelId="{AB148F5D-161D-429A-820B-2CD979652A09}" type="parTrans" cxnId="{BECD452E-C649-4852-A1B3-5299B9CBA644}">
      <dgm:prSet/>
      <dgm:spPr/>
      <dgm:t>
        <a:bodyPr/>
        <a:lstStyle/>
        <a:p>
          <a:endParaRPr lang="es-ES"/>
        </a:p>
      </dgm:t>
    </dgm:pt>
    <dgm:pt modelId="{123AC320-BF05-4057-B221-9124A0EE33F2}" type="sibTrans" cxnId="{BECD452E-C649-4852-A1B3-5299B9CBA644}">
      <dgm:prSet/>
      <dgm:spPr/>
      <dgm:t>
        <a:bodyPr/>
        <a:lstStyle/>
        <a:p>
          <a:endParaRPr lang="es-ES"/>
        </a:p>
      </dgm:t>
    </dgm:pt>
    <dgm:pt modelId="{CA82BC5D-6158-43D2-90EE-158D83EA31BE}">
      <dgm:prSet custT="1"/>
      <dgm:spPr>
        <a:xfrm rot="5400000">
          <a:off x="2983178" y="1184306"/>
          <a:ext cx="1247155" cy="3392156"/>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l"/>
          <a:endParaRPr lang="es-ES" sz="900">
            <a:solidFill>
              <a:sysClr val="windowText" lastClr="000000">
                <a:hueOff val="0"/>
                <a:satOff val="0"/>
                <a:lumOff val="0"/>
                <a:alphaOff val="0"/>
              </a:sysClr>
            </a:solidFill>
            <a:latin typeface="Calibri" panose="020F0502020204030204"/>
            <a:ea typeface="+mn-ea"/>
            <a:cs typeface="+mn-cs"/>
          </a:endParaRPr>
        </a:p>
      </dgm:t>
    </dgm:pt>
    <dgm:pt modelId="{2D66670C-6DFE-4761-B017-1195E3295991}" type="parTrans" cxnId="{DA5CE657-6D79-4102-8A34-EE8CD520658D}">
      <dgm:prSet/>
      <dgm:spPr/>
      <dgm:t>
        <a:bodyPr/>
        <a:lstStyle/>
        <a:p>
          <a:endParaRPr lang="es-ES"/>
        </a:p>
      </dgm:t>
    </dgm:pt>
    <dgm:pt modelId="{15C21270-EEEC-4E34-9EB7-D0095FE492C1}" type="sibTrans" cxnId="{DA5CE657-6D79-4102-8A34-EE8CD520658D}">
      <dgm:prSet/>
      <dgm:spPr/>
      <dgm:t>
        <a:bodyPr/>
        <a:lstStyle/>
        <a:p>
          <a:endParaRPr lang="es-ES"/>
        </a:p>
      </dgm:t>
    </dgm:pt>
    <dgm:pt modelId="{4E26E7C5-D73E-4E97-9D06-AB840726C68B}" type="pres">
      <dgm:prSet presAssocID="{8D421E42-E9D9-438D-A580-4A42F2D273EE}" presName="Name0" presStyleCnt="0">
        <dgm:presLayoutVars>
          <dgm:dir/>
          <dgm:animLvl val="lvl"/>
          <dgm:resizeHandles val="exact"/>
        </dgm:presLayoutVars>
      </dgm:prSet>
      <dgm:spPr/>
      <dgm:t>
        <a:bodyPr/>
        <a:lstStyle/>
        <a:p>
          <a:endParaRPr lang="es-ES"/>
        </a:p>
      </dgm:t>
    </dgm:pt>
    <dgm:pt modelId="{92B47583-6611-435E-8C7B-57CE75E326E7}" type="pres">
      <dgm:prSet presAssocID="{14C3133B-0D52-4BD9-BB9B-4A7385ED40D0}" presName="linNode" presStyleCnt="0"/>
      <dgm:spPr/>
      <dgm:t>
        <a:bodyPr/>
        <a:lstStyle/>
        <a:p>
          <a:endParaRPr lang="es-ES"/>
        </a:p>
      </dgm:t>
    </dgm:pt>
    <dgm:pt modelId="{C932E462-8227-4DE2-A6B2-B8972D970E46}" type="pres">
      <dgm:prSet presAssocID="{14C3133B-0D52-4BD9-BB9B-4A7385ED40D0}" presName="parentText" presStyleLbl="node1" presStyleIdx="0" presStyleCnt="3" custScaleY="56960">
        <dgm:presLayoutVars>
          <dgm:chMax val="1"/>
          <dgm:bulletEnabled val="1"/>
        </dgm:presLayoutVars>
      </dgm:prSet>
      <dgm:spPr/>
      <dgm:t>
        <a:bodyPr/>
        <a:lstStyle/>
        <a:p>
          <a:endParaRPr lang="es-ES"/>
        </a:p>
      </dgm:t>
    </dgm:pt>
    <dgm:pt modelId="{1EDFB513-16DE-46DB-B3BA-CF771C6D8B6F}" type="pres">
      <dgm:prSet presAssocID="{14C3133B-0D52-4BD9-BB9B-4A7385ED40D0}" presName="descendantText" presStyleLbl="alignAccFollowNode1" presStyleIdx="0" presStyleCnt="3" custScaleY="128622">
        <dgm:presLayoutVars>
          <dgm:bulletEnabled val="1"/>
        </dgm:presLayoutVars>
      </dgm:prSet>
      <dgm:spPr/>
      <dgm:t>
        <a:bodyPr/>
        <a:lstStyle/>
        <a:p>
          <a:endParaRPr lang="es-ES"/>
        </a:p>
      </dgm:t>
    </dgm:pt>
    <dgm:pt modelId="{E233B335-8868-46E5-9859-4CD03DBD5527}" type="pres">
      <dgm:prSet presAssocID="{532AE8DD-0C0F-42A8-82F1-C1910D1C5EB5}" presName="sp" presStyleCnt="0"/>
      <dgm:spPr/>
      <dgm:t>
        <a:bodyPr/>
        <a:lstStyle/>
        <a:p>
          <a:endParaRPr lang="es-ES"/>
        </a:p>
      </dgm:t>
    </dgm:pt>
    <dgm:pt modelId="{BA523465-2DD0-4232-87D9-FB91415AF5F9}" type="pres">
      <dgm:prSet presAssocID="{651C0C2D-7213-430A-94D3-6200268B4C0F}" presName="linNode" presStyleCnt="0"/>
      <dgm:spPr/>
      <dgm:t>
        <a:bodyPr/>
        <a:lstStyle/>
        <a:p>
          <a:endParaRPr lang="es-ES"/>
        </a:p>
      </dgm:t>
    </dgm:pt>
    <dgm:pt modelId="{97C5DA8F-3AC9-48F4-BF17-FF6B97EFD64A}" type="pres">
      <dgm:prSet presAssocID="{651C0C2D-7213-430A-94D3-6200268B4C0F}" presName="parentText" presStyleLbl="node1" presStyleIdx="1" presStyleCnt="3" custScaleY="47983">
        <dgm:presLayoutVars>
          <dgm:chMax val="1"/>
          <dgm:bulletEnabled val="1"/>
        </dgm:presLayoutVars>
      </dgm:prSet>
      <dgm:spPr/>
      <dgm:t>
        <a:bodyPr/>
        <a:lstStyle/>
        <a:p>
          <a:endParaRPr lang="es-ES"/>
        </a:p>
      </dgm:t>
    </dgm:pt>
    <dgm:pt modelId="{E6A4EB83-9A61-4425-876F-BF72896CAB98}" type="pres">
      <dgm:prSet presAssocID="{651C0C2D-7213-430A-94D3-6200268B4C0F}" presName="descendantText" presStyleLbl="alignAccFollowNode1" presStyleIdx="1" presStyleCnt="3" custScaleY="144379">
        <dgm:presLayoutVars>
          <dgm:bulletEnabled val="1"/>
        </dgm:presLayoutVars>
      </dgm:prSet>
      <dgm:spPr/>
      <dgm:t>
        <a:bodyPr/>
        <a:lstStyle/>
        <a:p>
          <a:endParaRPr lang="es-ES"/>
        </a:p>
      </dgm:t>
    </dgm:pt>
    <dgm:pt modelId="{8FE3DE32-E071-4885-97AD-FE4AAABEDA63}" type="pres">
      <dgm:prSet presAssocID="{FC0CB0D3-BDA6-4579-931B-0A1EF13C2A75}" presName="sp" presStyleCnt="0"/>
      <dgm:spPr/>
      <dgm:t>
        <a:bodyPr/>
        <a:lstStyle/>
        <a:p>
          <a:endParaRPr lang="es-ES"/>
        </a:p>
      </dgm:t>
    </dgm:pt>
    <dgm:pt modelId="{D44E7C3C-CE18-494B-9593-5F7197A89952}" type="pres">
      <dgm:prSet presAssocID="{BC6ED834-29F6-42DF-AC9B-46743ADB3F7A}" presName="linNode" presStyleCnt="0"/>
      <dgm:spPr/>
      <dgm:t>
        <a:bodyPr/>
        <a:lstStyle/>
        <a:p>
          <a:endParaRPr lang="es-ES"/>
        </a:p>
      </dgm:t>
    </dgm:pt>
    <dgm:pt modelId="{8D06011D-B68A-42BF-92DC-D7E96ABC2407}" type="pres">
      <dgm:prSet presAssocID="{BC6ED834-29F6-42DF-AC9B-46743ADB3F7A}" presName="parentText" presStyleLbl="node1" presStyleIdx="2" presStyleCnt="3" custScaleY="72150">
        <dgm:presLayoutVars>
          <dgm:chMax val="1"/>
          <dgm:bulletEnabled val="1"/>
        </dgm:presLayoutVars>
      </dgm:prSet>
      <dgm:spPr/>
      <dgm:t>
        <a:bodyPr/>
        <a:lstStyle/>
        <a:p>
          <a:endParaRPr lang="es-ES"/>
        </a:p>
      </dgm:t>
    </dgm:pt>
    <dgm:pt modelId="{044B0A23-80AB-423E-ADCF-06F6ABDB3FEB}" type="pres">
      <dgm:prSet presAssocID="{BC6ED834-29F6-42DF-AC9B-46743ADB3F7A}" presName="descendantText" presStyleLbl="alignAccFollowNode1" presStyleIdx="2" presStyleCnt="3" custScaleY="157860">
        <dgm:presLayoutVars>
          <dgm:bulletEnabled val="1"/>
        </dgm:presLayoutVars>
      </dgm:prSet>
      <dgm:spPr/>
      <dgm:t>
        <a:bodyPr/>
        <a:lstStyle/>
        <a:p>
          <a:endParaRPr lang="es-ES"/>
        </a:p>
      </dgm:t>
    </dgm:pt>
  </dgm:ptLst>
  <dgm:cxnLst>
    <dgm:cxn modelId="{D1494ECB-224B-4F2A-AB5E-EC6D3DCD44C9}" type="presOf" srcId="{BC6ED834-29F6-42DF-AC9B-46743ADB3F7A}" destId="{8D06011D-B68A-42BF-92DC-D7E96ABC2407}" srcOrd="0" destOrd="0" presId="urn:microsoft.com/office/officeart/2005/8/layout/vList5"/>
    <dgm:cxn modelId="{0845292A-F7FE-4E76-B7C0-8EBD709B5021}" type="presOf" srcId="{A07B7052-D1C6-4C92-BE12-CF61D6BEB26F}" destId="{E6A4EB83-9A61-4425-876F-BF72896CAB98}" srcOrd="0" destOrd="0" presId="urn:microsoft.com/office/officeart/2005/8/layout/vList5"/>
    <dgm:cxn modelId="{7C89C4EC-C9F3-40F9-8C07-3BBC516D663F}" srcId="{651C0C2D-7213-430A-94D3-6200268B4C0F}" destId="{6DF62BE5-A406-4C76-B6D7-81A59386456D}" srcOrd="1" destOrd="0" parTransId="{DDABC6BD-257E-4A84-A1EF-2DA0AC9EF9B7}" sibTransId="{0365C016-10E0-4AF7-B099-34A28B499D86}"/>
    <dgm:cxn modelId="{B017AE20-45FC-478F-B24E-B0FF23C242B3}" srcId="{8D421E42-E9D9-438D-A580-4A42F2D273EE}" destId="{BC6ED834-29F6-42DF-AC9B-46743ADB3F7A}" srcOrd="2" destOrd="0" parTransId="{167714ED-BBDE-4662-B17C-D8BF94F46FB2}" sibTransId="{3BE7D8CD-5CD6-49A9-89E7-148C467310EB}"/>
    <dgm:cxn modelId="{2A6997B2-370C-47F7-A997-9D6618DD7AD1}" type="presOf" srcId="{87F4686D-8C77-4156-94C7-EAFE1CC9792B}" destId="{1EDFB513-16DE-46DB-B3BA-CF771C6D8B6F}" srcOrd="0" destOrd="2" presId="urn:microsoft.com/office/officeart/2005/8/layout/vList5"/>
    <dgm:cxn modelId="{756E9874-FDB1-4C1E-8395-46EB1D5AAF52}" srcId="{BC6ED834-29F6-42DF-AC9B-46743ADB3F7A}" destId="{CD5DB760-6732-4B60-B673-E89C32535A28}" srcOrd="1" destOrd="0" parTransId="{D323A75E-FC00-4E36-96CC-53A574B47EA6}" sibTransId="{CFEC6083-7EAA-4A95-B0EB-953BFC13DE8E}"/>
    <dgm:cxn modelId="{B3E1F2CF-B6F1-4868-8551-A4A48463DB5E}" srcId="{651C0C2D-7213-430A-94D3-6200268B4C0F}" destId="{A07B7052-D1C6-4C92-BE12-CF61D6BEB26F}" srcOrd="0" destOrd="0" parTransId="{104241C8-A04B-49DD-A54C-370449654D85}" sibTransId="{ED2A12AC-DD30-4925-8EBA-0ED7A92984E8}"/>
    <dgm:cxn modelId="{5593E429-6AB3-448A-949E-16DF8409B07A}" type="presOf" srcId="{6DF62BE5-A406-4C76-B6D7-81A59386456D}" destId="{E6A4EB83-9A61-4425-876F-BF72896CAB98}" srcOrd="0" destOrd="1" presId="urn:microsoft.com/office/officeart/2005/8/layout/vList5"/>
    <dgm:cxn modelId="{FDCC3A2C-0E52-4916-972E-407C3C475FC4}" srcId="{BC6ED834-29F6-42DF-AC9B-46743ADB3F7A}" destId="{8FCD6F4D-3B4B-4B40-98AA-AC2F4F077D64}" srcOrd="2" destOrd="0" parTransId="{198446A5-F0CE-4FB5-8814-D80F436CD69C}" sibTransId="{289F1E68-DDD0-4C95-994B-23327CC276BE}"/>
    <dgm:cxn modelId="{8A7D614D-5A56-43BC-9099-C31DD2570682}" srcId="{8D421E42-E9D9-438D-A580-4A42F2D273EE}" destId="{651C0C2D-7213-430A-94D3-6200268B4C0F}" srcOrd="1" destOrd="0" parTransId="{BB9B2B89-1316-4C7E-A640-5004AF1B97D8}" sibTransId="{FC0CB0D3-BDA6-4579-931B-0A1EF13C2A75}"/>
    <dgm:cxn modelId="{24349C10-F43A-43B1-9FBB-F7C430DEB2A7}" srcId="{14C3133B-0D52-4BD9-BB9B-4A7385ED40D0}" destId="{2F36FA7E-F657-42F5-8E29-EF78364F4134}" srcOrd="1" destOrd="0" parTransId="{691598D3-4201-47DD-B821-E7D2CF43CB34}" sibTransId="{D89DFD18-E8A4-45A8-BA7C-DC147482FF77}"/>
    <dgm:cxn modelId="{DA5CE657-6D79-4102-8A34-EE8CD520658D}" srcId="{BC6ED834-29F6-42DF-AC9B-46743ADB3F7A}" destId="{CA82BC5D-6158-43D2-90EE-158D83EA31BE}" srcOrd="4" destOrd="0" parTransId="{2D66670C-6DFE-4761-B017-1195E3295991}" sibTransId="{15C21270-EEEC-4E34-9EB7-D0095FE492C1}"/>
    <dgm:cxn modelId="{CB904EBA-8364-4EA2-AEE6-B399013A7444}" srcId="{14C3133B-0D52-4BD9-BB9B-4A7385ED40D0}" destId="{026BAB25-59C4-4961-A0A4-8460A66794F6}" srcOrd="4" destOrd="0" parTransId="{7DF2A7EE-4F18-4D9D-ACD4-BE4AF265C87D}" sibTransId="{79BAE623-1AB5-467B-920E-CF2E4ECD8A8B}"/>
    <dgm:cxn modelId="{71E925BE-349A-46C4-AD31-9A416024909C}" type="presOf" srcId="{EF014993-C075-4466-817D-735D5FF85106}" destId="{044B0A23-80AB-423E-ADCF-06F6ABDB3FEB}" srcOrd="0" destOrd="0" presId="urn:microsoft.com/office/officeart/2005/8/layout/vList5"/>
    <dgm:cxn modelId="{3AD4B147-026B-4B82-99D0-52C84F6DDF3D}" srcId="{14C3133B-0D52-4BD9-BB9B-4A7385ED40D0}" destId="{77865833-BEB3-44FE-B0EC-B161C1A05B25}" srcOrd="0" destOrd="0" parTransId="{981224E4-A9C4-4000-9D9E-73FF936BBAC2}" sibTransId="{36C750CF-D8FC-4D67-BE66-76862C4700E1}"/>
    <dgm:cxn modelId="{1C1145E0-C286-4D2C-9D55-E3EDCEE2D9E6}" type="presOf" srcId="{66493CF0-D198-45BF-BDC8-1CD4536BBE8F}" destId="{044B0A23-80AB-423E-ADCF-06F6ABDB3FEB}" srcOrd="0" destOrd="3" presId="urn:microsoft.com/office/officeart/2005/8/layout/vList5"/>
    <dgm:cxn modelId="{03B79E38-3A26-4FCF-8EBF-F12E3906C7F4}" type="presOf" srcId="{CD5DB760-6732-4B60-B673-E89C32535A28}" destId="{044B0A23-80AB-423E-ADCF-06F6ABDB3FEB}" srcOrd="0" destOrd="1" presId="urn:microsoft.com/office/officeart/2005/8/layout/vList5"/>
    <dgm:cxn modelId="{8A05B07A-B7A0-4C42-B8AE-DF9D72304E56}" type="presOf" srcId="{77865833-BEB3-44FE-B0EC-B161C1A05B25}" destId="{1EDFB513-16DE-46DB-B3BA-CF771C6D8B6F}" srcOrd="0" destOrd="0" presId="urn:microsoft.com/office/officeart/2005/8/layout/vList5"/>
    <dgm:cxn modelId="{F69B4E3D-9D96-4632-9891-11B547DE985E}" type="presOf" srcId="{651C0C2D-7213-430A-94D3-6200268B4C0F}" destId="{97C5DA8F-3AC9-48F4-BF17-FF6B97EFD64A}" srcOrd="0" destOrd="0" presId="urn:microsoft.com/office/officeart/2005/8/layout/vList5"/>
    <dgm:cxn modelId="{2D5FE6F5-FC2A-4B99-8765-F549537ACD4E}" srcId="{BC6ED834-29F6-42DF-AC9B-46743ADB3F7A}" destId="{EF014993-C075-4466-817D-735D5FF85106}" srcOrd="0" destOrd="0" parTransId="{67A15BDA-F565-449B-9702-F330D5592DC6}" sibTransId="{2B21D35A-2391-43DE-A0FE-AC58FFC8C36D}"/>
    <dgm:cxn modelId="{233084C9-F02F-4D88-8652-E6A8ADECFFC7}" srcId="{8D421E42-E9D9-438D-A580-4A42F2D273EE}" destId="{14C3133B-0D52-4BD9-BB9B-4A7385ED40D0}" srcOrd="0" destOrd="0" parTransId="{5E40CAA6-D4FF-40BA-9781-6B74DAC004FF}" sibTransId="{532AE8DD-0C0F-42A8-82F1-C1910D1C5EB5}"/>
    <dgm:cxn modelId="{1A06D3F2-5E6C-4BE7-A504-1CE8BBA413AD}" type="presOf" srcId="{14C3133B-0D52-4BD9-BB9B-4A7385ED40D0}" destId="{C932E462-8227-4DE2-A6B2-B8972D970E46}" srcOrd="0" destOrd="0" presId="urn:microsoft.com/office/officeart/2005/8/layout/vList5"/>
    <dgm:cxn modelId="{BECD452E-C649-4852-A1B3-5299B9CBA644}" srcId="{BC6ED834-29F6-42DF-AC9B-46743ADB3F7A}" destId="{66493CF0-D198-45BF-BDC8-1CD4536BBE8F}" srcOrd="3" destOrd="0" parTransId="{AB148F5D-161D-429A-820B-2CD979652A09}" sibTransId="{123AC320-BF05-4057-B221-9124A0EE33F2}"/>
    <dgm:cxn modelId="{F137C392-9CC6-42A3-BEA0-6DC9E9488203}" type="presOf" srcId="{2F36FA7E-F657-42F5-8E29-EF78364F4134}" destId="{1EDFB513-16DE-46DB-B3BA-CF771C6D8B6F}" srcOrd="0" destOrd="1" presId="urn:microsoft.com/office/officeart/2005/8/layout/vList5"/>
    <dgm:cxn modelId="{C49FA2FA-09ED-4396-A375-9B301EB57AAE}" srcId="{14C3133B-0D52-4BD9-BB9B-4A7385ED40D0}" destId="{193955FF-7D04-48FD-B809-13B2983B7E42}" srcOrd="3" destOrd="0" parTransId="{C07FF195-4A69-4DD9-96C3-99866AE08618}" sibTransId="{623A4609-74CF-4C74-B0EF-021B22751660}"/>
    <dgm:cxn modelId="{21774527-E0FE-424F-8DBB-53EDB22E0070}" type="presOf" srcId="{193955FF-7D04-48FD-B809-13B2983B7E42}" destId="{1EDFB513-16DE-46DB-B3BA-CF771C6D8B6F}" srcOrd="0" destOrd="3" presId="urn:microsoft.com/office/officeart/2005/8/layout/vList5"/>
    <dgm:cxn modelId="{77EB79F1-72DB-4B27-B65A-E1C26066EFBB}" type="presOf" srcId="{8D421E42-E9D9-438D-A580-4A42F2D273EE}" destId="{4E26E7C5-D73E-4E97-9D06-AB840726C68B}" srcOrd="0" destOrd="0" presId="urn:microsoft.com/office/officeart/2005/8/layout/vList5"/>
    <dgm:cxn modelId="{96BD9FBF-6AF2-480B-84DD-DBF27F8E9F24}" type="presOf" srcId="{026BAB25-59C4-4961-A0A4-8460A66794F6}" destId="{1EDFB513-16DE-46DB-B3BA-CF771C6D8B6F}" srcOrd="0" destOrd="4" presId="urn:microsoft.com/office/officeart/2005/8/layout/vList5"/>
    <dgm:cxn modelId="{706B0D63-9D01-4A85-8270-9A56B30A2983}" srcId="{651C0C2D-7213-430A-94D3-6200268B4C0F}" destId="{BED4729E-B729-49A1-8162-DB7DBDF04240}" srcOrd="2" destOrd="0" parTransId="{0A1FADA5-8758-4EA1-8DD6-4C5A105FD2FA}" sibTransId="{7EC4737A-EBEA-4ABE-A7D2-1D7C8EB6F5A2}"/>
    <dgm:cxn modelId="{5E34F57C-42E8-409C-9310-904F722F15C7}" type="presOf" srcId="{8FCD6F4D-3B4B-4B40-98AA-AC2F4F077D64}" destId="{044B0A23-80AB-423E-ADCF-06F6ABDB3FEB}" srcOrd="0" destOrd="2" presId="urn:microsoft.com/office/officeart/2005/8/layout/vList5"/>
    <dgm:cxn modelId="{7E8E19B8-A05D-47BA-A4EB-578B81C6E06B}" type="presOf" srcId="{CA82BC5D-6158-43D2-90EE-158D83EA31BE}" destId="{044B0A23-80AB-423E-ADCF-06F6ABDB3FEB}" srcOrd="0" destOrd="4" presId="urn:microsoft.com/office/officeart/2005/8/layout/vList5"/>
    <dgm:cxn modelId="{8E8B8FAD-E622-4A90-8AD8-DB2F1BCB4080}" type="presOf" srcId="{BED4729E-B729-49A1-8162-DB7DBDF04240}" destId="{E6A4EB83-9A61-4425-876F-BF72896CAB98}" srcOrd="0" destOrd="2" presId="urn:microsoft.com/office/officeart/2005/8/layout/vList5"/>
    <dgm:cxn modelId="{8CD169BF-7BE9-4E6C-A3ED-8D65CB03758A}" srcId="{14C3133B-0D52-4BD9-BB9B-4A7385ED40D0}" destId="{87F4686D-8C77-4156-94C7-EAFE1CC9792B}" srcOrd="2" destOrd="0" parTransId="{85088630-B80E-43B0-8ED1-FF11337B3AEB}" sibTransId="{25DED0C7-5142-4A5D-B695-620625CCF87A}"/>
    <dgm:cxn modelId="{C2C86545-66D5-4BC1-861D-7EF13BC8D97D}" type="presParOf" srcId="{4E26E7C5-D73E-4E97-9D06-AB840726C68B}" destId="{92B47583-6611-435E-8C7B-57CE75E326E7}" srcOrd="0" destOrd="0" presId="urn:microsoft.com/office/officeart/2005/8/layout/vList5"/>
    <dgm:cxn modelId="{5CC48E35-619A-4B53-A7D7-03D5DEE09EA4}" type="presParOf" srcId="{92B47583-6611-435E-8C7B-57CE75E326E7}" destId="{C932E462-8227-4DE2-A6B2-B8972D970E46}" srcOrd="0" destOrd="0" presId="urn:microsoft.com/office/officeart/2005/8/layout/vList5"/>
    <dgm:cxn modelId="{1B55FFB4-BE17-42FE-A1CD-32EF32199218}" type="presParOf" srcId="{92B47583-6611-435E-8C7B-57CE75E326E7}" destId="{1EDFB513-16DE-46DB-B3BA-CF771C6D8B6F}" srcOrd="1" destOrd="0" presId="urn:microsoft.com/office/officeart/2005/8/layout/vList5"/>
    <dgm:cxn modelId="{9298ECA1-397B-4C3E-ACA4-C8E41EE91C8B}" type="presParOf" srcId="{4E26E7C5-D73E-4E97-9D06-AB840726C68B}" destId="{E233B335-8868-46E5-9859-4CD03DBD5527}" srcOrd="1" destOrd="0" presId="urn:microsoft.com/office/officeart/2005/8/layout/vList5"/>
    <dgm:cxn modelId="{757113C8-9C5C-4E30-9869-AD333CA5771E}" type="presParOf" srcId="{4E26E7C5-D73E-4E97-9D06-AB840726C68B}" destId="{BA523465-2DD0-4232-87D9-FB91415AF5F9}" srcOrd="2" destOrd="0" presId="urn:microsoft.com/office/officeart/2005/8/layout/vList5"/>
    <dgm:cxn modelId="{3D3D7201-A8EB-4F36-8BB8-8BAAA41232D7}" type="presParOf" srcId="{BA523465-2DD0-4232-87D9-FB91415AF5F9}" destId="{97C5DA8F-3AC9-48F4-BF17-FF6B97EFD64A}" srcOrd="0" destOrd="0" presId="urn:microsoft.com/office/officeart/2005/8/layout/vList5"/>
    <dgm:cxn modelId="{45200364-FF4C-4C2F-AE45-1B2933548116}" type="presParOf" srcId="{BA523465-2DD0-4232-87D9-FB91415AF5F9}" destId="{E6A4EB83-9A61-4425-876F-BF72896CAB98}" srcOrd="1" destOrd="0" presId="urn:microsoft.com/office/officeart/2005/8/layout/vList5"/>
    <dgm:cxn modelId="{5835E458-8103-4DEA-92B2-889530D2E1B1}" type="presParOf" srcId="{4E26E7C5-D73E-4E97-9D06-AB840726C68B}" destId="{8FE3DE32-E071-4885-97AD-FE4AAABEDA63}" srcOrd="3" destOrd="0" presId="urn:microsoft.com/office/officeart/2005/8/layout/vList5"/>
    <dgm:cxn modelId="{B15E1606-1797-49FF-838F-FFBBA0C88AAA}" type="presParOf" srcId="{4E26E7C5-D73E-4E97-9D06-AB840726C68B}" destId="{D44E7C3C-CE18-494B-9593-5F7197A89952}" srcOrd="4" destOrd="0" presId="urn:microsoft.com/office/officeart/2005/8/layout/vList5"/>
    <dgm:cxn modelId="{423DE0F0-8B03-4A05-A2A4-FC32F4032C31}" type="presParOf" srcId="{D44E7C3C-CE18-494B-9593-5F7197A89952}" destId="{8D06011D-B68A-42BF-92DC-D7E96ABC2407}" srcOrd="0" destOrd="0" presId="urn:microsoft.com/office/officeart/2005/8/layout/vList5"/>
    <dgm:cxn modelId="{DDDD5320-8FB2-4EA0-ABA3-E1FD4E94D90C}" type="presParOf" srcId="{D44E7C3C-CE18-494B-9593-5F7197A89952}" destId="{044B0A23-80AB-423E-ADCF-06F6ABDB3FEB}" srcOrd="1" destOrd="0" presId="urn:microsoft.com/office/officeart/2005/8/layout/vList5"/>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4EB41F6E-F7F9-48BE-AB17-2D2C75C8BE9C}" type="doc">
      <dgm:prSet loTypeId="urn:microsoft.com/office/officeart/2005/8/layout/vList5" loCatId="list" qsTypeId="urn:microsoft.com/office/officeart/2005/8/quickstyle/3d2" qsCatId="3D" csTypeId="urn:microsoft.com/office/officeart/2005/8/colors/accent1_2" csCatId="accent1" phldr="1"/>
      <dgm:spPr/>
      <dgm:t>
        <a:bodyPr/>
        <a:lstStyle/>
        <a:p>
          <a:endParaRPr lang="es-ES"/>
        </a:p>
      </dgm:t>
    </dgm:pt>
    <dgm:pt modelId="{5432C91A-03EF-4A72-AE85-58AD2390484B}">
      <dgm:prSet phldrT="[Texto]" custT="1"/>
      <dgm:spPr>
        <a:xfrm>
          <a:off x="0" y="185885"/>
          <a:ext cx="1901236" cy="713725"/>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Gestión económica</a:t>
          </a:r>
        </a:p>
      </dgm:t>
    </dgm:pt>
    <dgm:pt modelId="{B54A14DC-99A6-4FB5-9393-1203F27C12A8}" type="parTrans" cxnId="{E4FCD271-4B4C-4AD4-9ADA-4FF075ED25F5}">
      <dgm:prSet/>
      <dgm:spPr/>
      <dgm:t>
        <a:bodyPr/>
        <a:lstStyle/>
        <a:p>
          <a:endParaRPr lang="es-ES"/>
        </a:p>
      </dgm:t>
    </dgm:pt>
    <dgm:pt modelId="{697012FC-221F-40FE-A44C-8337AB561767}" type="sibTrans" cxnId="{E4FCD271-4B4C-4AD4-9ADA-4FF075ED25F5}">
      <dgm:prSet/>
      <dgm:spPr/>
      <dgm:t>
        <a:bodyPr/>
        <a:lstStyle/>
        <a:p>
          <a:endParaRPr lang="es-ES"/>
        </a:p>
      </dgm:t>
    </dgm:pt>
    <dgm:pt modelId="{1BA14B0F-2892-4EDF-8947-2847F731001C}">
      <dgm:prSet phldrT="[Texto]" custT="1"/>
      <dgm:spPr>
        <a:xfrm rot="5400000">
          <a:off x="3048599" y="-1147239"/>
          <a:ext cx="108525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Previsión de ingresos, gastos y establecimiento Plan de ahorro mensual. </a:t>
          </a:r>
        </a:p>
      </dgm:t>
    </dgm:pt>
    <dgm:pt modelId="{3E837E5D-029F-49C8-9F54-4492CD5F55D1}" type="parTrans" cxnId="{0468FEF8-7023-4181-BD0D-BE2217C00781}">
      <dgm:prSet/>
      <dgm:spPr/>
      <dgm:t>
        <a:bodyPr/>
        <a:lstStyle/>
        <a:p>
          <a:endParaRPr lang="es-ES"/>
        </a:p>
      </dgm:t>
    </dgm:pt>
    <dgm:pt modelId="{332BF984-2DE5-4450-9BC0-1EFE6E5C4241}" type="sibTrans" cxnId="{0468FEF8-7023-4181-BD0D-BE2217C00781}">
      <dgm:prSet/>
      <dgm:spPr/>
      <dgm:t>
        <a:bodyPr/>
        <a:lstStyle/>
        <a:p>
          <a:endParaRPr lang="es-ES"/>
        </a:p>
      </dgm:t>
    </dgm:pt>
    <dgm:pt modelId="{F2F74370-A7B2-4508-B346-98FD8DBF273A}">
      <dgm:prSet phldrT="[Texto]" custT="1"/>
      <dgm:spPr>
        <a:xfrm>
          <a:off x="0" y="1404017"/>
          <a:ext cx="1901236" cy="713725"/>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Relación Materno-filial</a:t>
          </a:r>
        </a:p>
      </dgm:t>
    </dgm:pt>
    <dgm:pt modelId="{468741C7-FB15-4868-8851-F329B914BBCF}" type="parTrans" cxnId="{4474F8F9-5CD0-4E44-A036-C1A661F5DF29}">
      <dgm:prSet/>
      <dgm:spPr/>
      <dgm:t>
        <a:bodyPr/>
        <a:lstStyle/>
        <a:p>
          <a:endParaRPr lang="es-ES"/>
        </a:p>
      </dgm:t>
    </dgm:pt>
    <dgm:pt modelId="{535C43E3-BE98-4A44-9FA8-5220B09C7F80}" type="sibTrans" cxnId="{4474F8F9-5CD0-4E44-A036-C1A661F5DF29}">
      <dgm:prSet/>
      <dgm:spPr/>
      <dgm:t>
        <a:bodyPr/>
        <a:lstStyle/>
        <a:p>
          <a:endParaRPr lang="es-ES"/>
        </a:p>
      </dgm:t>
    </dgm:pt>
    <dgm:pt modelId="{70F3D16F-A72A-48DC-A256-19949B365954}">
      <dgm:prSet phldrT="[Texto]"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Estilo educativo y transmisión de valores.</a:t>
          </a:r>
        </a:p>
      </dgm:t>
    </dgm:pt>
    <dgm:pt modelId="{B7E21FA3-325F-4413-82C1-E270945EEBB2}" type="parTrans" cxnId="{64E53FB0-FABA-4828-9D7A-F0E644ED8ADA}">
      <dgm:prSet/>
      <dgm:spPr/>
      <dgm:t>
        <a:bodyPr/>
        <a:lstStyle/>
        <a:p>
          <a:endParaRPr lang="es-ES"/>
        </a:p>
      </dgm:t>
    </dgm:pt>
    <dgm:pt modelId="{67E9976E-7C9B-400B-AFC2-6FD99A01BB6A}" type="sibTrans" cxnId="{64E53FB0-FABA-4828-9D7A-F0E644ED8ADA}">
      <dgm:prSet/>
      <dgm:spPr/>
      <dgm:t>
        <a:bodyPr/>
        <a:lstStyle/>
        <a:p>
          <a:endParaRPr lang="es-ES"/>
        </a:p>
      </dgm:t>
    </dgm:pt>
    <dgm:pt modelId="{7008AAB0-A609-437C-BE04-BE0809105F84}">
      <dgm:prSet phldrT="[Texto]" custT="1"/>
      <dgm:spPr>
        <a:xfrm rot="5400000">
          <a:off x="3263780" y="1101609"/>
          <a:ext cx="661908" cy="3383280"/>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Grado de consecución de autonomía en relación a las dimensiones educativas sobre las que se ha trabajado a lo largo de su estancia-proceso en la casa</a:t>
          </a:r>
        </a:p>
      </dgm:t>
    </dgm:pt>
    <dgm:pt modelId="{E41450AB-DD63-43C0-B929-F5CBFE14D460}" type="parTrans" cxnId="{39EBC15B-5C20-46F4-A1B7-8EA03ED179DD}">
      <dgm:prSet/>
      <dgm:spPr/>
      <dgm:t>
        <a:bodyPr/>
        <a:lstStyle/>
        <a:p>
          <a:endParaRPr lang="es-ES"/>
        </a:p>
      </dgm:t>
    </dgm:pt>
    <dgm:pt modelId="{F1B03412-763D-472A-A62A-4F55C7CB298B}" type="sibTrans" cxnId="{39EBC15B-5C20-46F4-A1B7-8EA03ED179DD}">
      <dgm:prSet/>
      <dgm:spPr/>
      <dgm:t>
        <a:bodyPr/>
        <a:lstStyle/>
        <a:p>
          <a:endParaRPr lang="es-ES"/>
        </a:p>
      </dgm:t>
    </dgm:pt>
    <dgm:pt modelId="{79E7B1C3-1B2C-4CCF-B73F-4DC78CA23156}">
      <dgm:prSet custT="1"/>
      <dgm:spPr>
        <a:xfrm rot="5400000">
          <a:off x="3048599" y="-1147239"/>
          <a:ext cx="108525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Finalidad en la que invierte los ingresos (Ej.: gastos útiles/necesarios o no). </a:t>
          </a:r>
        </a:p>
      </dgm:t>
    </dgm:pt>
    <dgm:pt modelId="{48204FB8-CA9F-4822-BBA0-1DFA075E7F15}" type="parTrans" cxnId="{57ADED2E-8B60-4BA0-B326-16E4F4462379}">
      <dgm:prSet/>
      <dgm:spPr/>
      <dgm:t>
        <a:bodyPr/>
        <a:lstStyle/>
        <a:p>
          <a:endParaRPr lang="es-ES"/>
        </a:p>
      </dgm:t>
    </dgm:pt>
    <dgm:pt modelId="{CB185D90-7C5B-43ED-BBCB-1F8812DF61AD}" type="sibTrans" cxnId="{57ADED2E-8B60-4BA0-B326-16E4F4462379}">
      <dgm:prSet/>
      <dgm:spPr/>
      <dgm:t>
        <a:bodyPr/>
        <a:lstStyle/>
        <a:p>
          <a:endParaRPr lang="es-ES"/>
        </a:p>
      </dgm:t>
    </dgm:pt>
    <dgm:pt modelId="{C66BF3E4-A78E-42E5-90EA-DA66A03743F9}">
      <dgm:prSet custT="1"/>
      <dgm:spPr>
        <a:xfrm rot="5400000">
          <a:off x="3048599" y="-1147239"/>
          <a:ext cx="108525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Importancia que otorga la mujer a la necesidad de tener ahorros en pro de su futura emancipación. </a:t>
          </a:r>
        </a:p>
      </dgm:t>
    </dgm:pt>
    <dgm:pt modelId="{50C6D1C3-DF47-4FCC-AE50-D09AA4F56375}" type="parTrans" cxnId="{00607A17-8C91-40CD-964C-0BFCED730FE5}">
      <dgm:prSet/>
      <dgm:spPr/>
      <dgm:t>
        <a:bodyPr/>
        <a:lstStyle/>
        <a:p>
          <a:endParaRPr lang="es-ES"/>
        </a:p>
      </dgm:t>
    </dgm:pt>
    <dgm:pt modelId="{82FCD157-9679-4699-A2F0-6FBFE653B11F}" type="sibTrans" cxnId="{00607A17-8C91-40CD-964C-0BFCED730FE5}">
      <dgm:prSet/>
      <dgm:spPr/>
      <dgm:t>
        <a:bodyPr/>
        <a:lstStyle/>
        <a:p>
          <a:endParaRPr lang="es-ES"/>
        </a:p>
      </dgm:t>
    </dgm:pt>
    <dgm:pt modelId="{0D7DED7C-4862-431E-9AD8-BD1A68BD4AAE}">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Cuidados de higiene.</a:t>
          </a:r>
        </a:p>
      </dgm:t>
    </dgm:pt>
    <dgm:pt modelId="{00F355A1-2357-4CBC-B56D-19504144C2F1}" type="parTrans" cxnId="{62090872-7AC5-4972-AB76-2A056DA9DD32}">
      <dgm:prSet/>
      <dgm:spPr/>
      <dgm:t>
        <a:bodyPr/>
        <a:lstStyle/>
        <a:p>
          <a:endParaRPr lang="es-ES"/>
        </a:p>
      </dgm:t>
    </dgm:pt>
    <dgm:pt modelId="{BAD208FE-E7A2-4657-9F29-9400A1AA8975}" type="sibTrans" cxnId="{62090872-7AC5-4972-AB76-2A056DA9DD32}">
      <dgm:prSet/>
      <dgm:spPr/>
      <dgm:t>
        <a:bodyPr/>
        <a:lstStyle/>
        <a:p>
          <a:endParaRPr lang="es-ES"/>
        </a:p>
      </dgm:t>
    </dgm:pt>
    <dgm:pt modelId="{C33F9E7C-1CA5-4B2A-B9E2-CA7FB6F5E101}">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Cuidado de la salud.</a:t>
          </a:r>
        </a:p>
      </dgm:t>
    </dgm:pt>
    <dgm:pt modelId="{E072E32D-B072-4A52-8B57-1E1B757F441C}" type="parTrans" cxnId="{06195EEA-C50F-4C5C-A664-49B1673E025E}">
      <dgm:prSet/>
      <dgm:spPr/>
      <dgm:t>
        <a:bodyPr/>
        <a:lstStyle/>
        <a:p>
          <a:endParaRPr lang="es-ES"/>
        </a:p>
      </dgm:t>
    </dgm:pt>
    <dgm:pt modelId="{57E83846-5432-49F5-BF81-1C6E7C7C4E91}" type="sibTrans" cxnId="{06195EEA-C50F-4C5C-A664-49B1673E025E}">
      <dgm:prSet/>
      <dgm:spPr/>
      <dgm:t>
        <a:bodyPr/>
        <a:lstStyle/>
        <a:p>
          <a:endParaRPr lang="es-ES"/>
        </a:p>
      </dgm:t>
    </dgm:pt>
    <dgm:pt modelId="{8FA9FDB3-E21E-4461-8981-5375EAF55C6C}">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Realización de comidas principales del menor.</a:t>
          </a:r>
        </a:p>
      </dgm:t>
    </dgm:pt>
    <dgm:pt modelId="{24B60724-76CB-46CB-A07D-04C432B27B23}" type="parTrans" cxnId="{CC639FF8-5D5D-41EA-BEE7-0F03F4F524D9}">
      <dgm:prSet/>
      <dgm:spPr/>
      <dgm:t>
        <a:bodyPr/>
        <a:lstStyle/>
        <a:p>
          <a:endParaRPr lang="es-ES"/>
        </a:p>
      </dgm:t>
    </dgm:pt>
    <dgm:pt modelId="{2150FE85-33A4-4CA5-B81D-4D7A613CC075}" type="sibTrans" cxnId="{CC639FF8-5D5D-41EA-BEE7-0F03F4F524D9}">
      <dgm:prSet/>
      <dgm:spPr/>
      <dgm:t>
        <a:bodyPr/>
        <a:lstStyle/>
        <a:p>
          <a:endParaRPr lang="es-ES"/>
        </a:p>
      </dgm:t>
    </dgm:pt>
    <dgm:pt modelId="{641C884B-140B-44C0-BA98-0B5625073699}">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Muestras de afecto.</a:t>
          </a:r>
        </a:p>
      </dgm:t>
    </dgm:pt>
    <dgm:pt modelId="{E52C36ED-39D7-47C5-B386-79AE779849FB}" type="parTrans" cxnId="{400130C5-AC70-43B3-B1C4-9DD90FE95737}">
      <dgm:prSet/>
      <dgm:spPr/>
      <dgm:t>
        <a:bodyPr/>
        <a:lstStyle/>
        <a:p>
          <a:endParaRPr lang="es-ES"/>
        </a:p>
      </dgm:t>
    </dgm:pt>
    <dgm:pt modelId="{30F37540-B535-4AE1-9DB8-4B4B28BE0A64}" type="sibTrans" cxnId="{400130C5-AC70-43B3-B1C4-9DD90FE95737}">
      <dgm:prSet/>
      <dgm:spPr/>
      <dgm:t>
        <a:bodyPr/>
        <a:lstStyle/>
        <a:p>
          <a:endParaRPr lang="es-ES"/>
        </a:p>
      </dgm:t>
    </dgm:pt>
    <dgm:pt modelId="{378AFFEF-F80A-473B-9B89-570C2EFA73AC}">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Establecimiento de límites.</a:t>
          </a:r>
        </a:p>
      </dgm:t>
    </dgm:pt>
    <dgm:pt modelId="{E79C10BD-E1BB-4780-B621-DB826A6EB384}" type="parTrans" cxnId="{1E444F25-15EA-4E46-8F5D-3E1EA0C84FA4}">
      <dgm:prSet/>
      <dgm:spPr/>
      <dgm:t>
        <a:bodyPr/>
        <a:lstStyle/>
        <a:p>
          <a:endParaRPr lang="es-ES"/>
        </a:p>
      </dgm:t>
    </dgm:pt>
    <dgm:pt modelId="{2F9E00C0-F264-4BB3-91C1-C7E2379FB265}" type="sibTrans" cxnId="{1E444F25-15EA-4E46-8F5D-3E1EA0C84FA4}">
      <dgm:prSet/>
      <dgm:spPr/>
      <dgm:t>
        <a:bodyPr/>
        <a:lstStyle/>
        <a:p>
          <a:endParaRPr lang="es-ES"/>
        </a:p>
      </dgm:t>
    </dgm:pt>
    <dgm:pt modelId="{AA1A580E-46FE-4792-8932-56E6F9EEE497}">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Atención a otras necesidades del menor.</a:t>
          </a:r>
        </a:p>
      </dgm:t>
    </dgm:pt>
    <dgm:pt modelId="{50E65440-9085-4178-83CA-CFC960329B2C}" type="parTrans" cxnId="{8DEEA7E8-7BDD-4A72-8ED3-B87B44911759}">
      <dgm:prSet/>
      <dgm:spPr/>
      <dgm:t>
        <a:bodyPr/>
        <a:lstStyle/>
        <a:p>
          <a:endParaRPr lang="es-ES"/>
        </a:p>
      </dgm:t>
    </dgm:pt>
    <dgm:pt modelId="{8AB9B181-A08E-446E-A304-4FAFC4742ED7}" type="sibTrans" cxnId="{8DEEA7E8-7BDD-4A72-8ED3-B87B44911759}">
      <dgm:prSet/>
      <dgm:spPr/>
      <dgm:t>
        <a:bodyPr/>
        <a:lstStyle/>
        <a:p>
          <a:endParaRPr lang="es-ES"/>
        </a:p>
      </dgm:t>
    </dgm:pt>
    <dgm:pt modelId="{8C1527CA-A1F4-4F3B-9DD3-BAF41ABDFF55}">
      <dgm:prSet custT="1"/>
      <dgm: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r>
            <a:rPr lang="es-ES" sz="900">
              <a:solidFill>
                <a:sysClr val="windowText" lastClr="000000">
                  <a:hueOff val="0"/>
                  <a:satOff val="0"/>
                  <a:lumOff val="0"/>
                  <a:alphaOff val="0"/>
                </a:sysClr>
              </a:solidFill>
              <a:latin typeface="Calibri" panose="020F0502020204030204"/>
              <a:ea typeface="+mn-ea"/>
              <a:cs typeface="+mn-cs"/>
            </a:rPr>
            <a:t>Aplicación e interiorización de herramientas pautadas por E.E</a:t>
          </a:r>
        </a:p>
      </dgm:t>
    </dgm:pt>
    <dgm:pt modelId="{FDA76ED5-AC34-4E50-9608-95DA74621FCC}" type="parTrans" cxnId="{1BE52296-60D9-4C87-AE49-1A3C430E7F86}">
      <dgm:prSet/>
      <dgm:spPr/>
      <dgm:t>
        <a:bodyPr/>
        <a:lstStyle/>
        <a:p>
          <a:endParaRPr lang="es-ES"/>
        </a:p>
      </dgm:t>
    </dgm:pt>
    <dgm:pt modelId="{C76FFE93-37B9-483E-B8D7-9986B09EC4CE}" type="sibTrans" cxnId="{1BE52296-60D9-4C87-AE49-1A3C430E7F86}">
      <dgm:prSet/>
      <dgm:spPr/>
      <dgm:t>
        <a:bodyPr/>
        <a:lstStyle/>
        <a:p>
          <a:endParaRPr lang="es-ES"/>
        </a:p>
      </dgm:t>
    </dgm:pt>
    <dgm:pt modelId="{FF001B1F-5A36-405F-B09D-75FC7C9DB910}">
      <dgm:prSet phldrT="[Texto]" custT="1"/>
      <dgm:spPr>
        <a:xfrm>
          <a:off x="0" y="2436386"/>
          <a:ext cx="1903095" cy="713725"/>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sz="1200" b="1">
              <a:solidFill>
                <a:sysClr val="window" lastClr="FFFFFF"/>
              </a:solidFill>
              <a:latin typeface="Calibri" panose="020F0502020204030204"/>
              <a:ea typeface="+mn-ea"/>
              <a:cs typeface="+mn-cs"/>
            </a:rPr>
            <a:t>Emancipación</a:t>
          </a:r>
        </a:p>
      </dgm:t>
    </dgm:pt>
    <dgm:pt modelId="{D865C1FA-842B-4AC1-B52A-FDCBAD3B277F}" type="sibTrans" cxnId="{9A31E3BD-BFD9-42BE-9404-F006E43843C3}">
      <dgm:prSet/>
      <dgm:spPr/>
      <dgm:t>
        <a:bodyPr/>
        <a:lstStyle/>
        <a:p>
          <a:endParaRPr lang="es-ES"/>
        </a:p>
      </dgm:t>
    </dgm:pt>
    <dgm:pt modelId="{6A246CD9-52B3-44F8-BB31-EC4D0474E5A3}" type="parTrans" cxnId="{9A31E3BD-BFD9-42BE-9404-F006E43843C3}">
      <dgm:prSet/>
      <dgm:spPr/>
      <dgm:t>
        <a:bodyPr/>
        <a:lstStyle/>
        <a:p>
          <a:endParaRPr lang="es-ES"/>
        </a:p>
      </dgm:t>
    </dgm:pt>
    <dgm:pt modelId="{C766E486-0272-4457-A208-18504AE9A915}">
      <dgm:prSet custT="1"/>
      <dgm:spPr>
        <a:xfrm rot="5400000">
          <a:off x="3263780" y="1101609"/>
          <a:ext cx="661908" cy="3383280"/>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gm:spPr>
      <dgm:t>
        <a:bodyPr/>
        <a:lstStyle/>
        <a:p>
          <a:pPr algn="just"/>
          <a:endParaRPr lang="es-ES" sz="900">
            <a:solidFill>
              <a:sysClr val="windowText" lastClr="000000">
                <a:hueOff val="0"/>
                <a:satOff val="0"/>
                <a:lumOff val="0"/>
                <a:alphaOff val="0"/>
              </a:sysClr>
            </a:solidFill>
            <a:latin typeface="Calibri" panose="020F0502020204030204"/>
            <a:ea typeface="+mn-ea"/>
            <a:cs typeface="+mn-cs"/>
          </a:endParaRPr>
        </a:p>
      </dgm:t>
    </dgm:pt>
    <dgm:pt modelId="{CCFDD457-D408-4C36-A777-8333B2281A42}" type="parTrans" cxnId="{4B5BED7F-3058-4F3A-81FB-C7C5780AD2A1}">
      <dgm:prSet/>
      <dgm:spPr/>
      <dgm:t>
        <a:bodyPr/>
        <a:lstStyle/>
        <a:p>
          <a:endParaRPr lang="es-ES"/>
        </a:p>
      </dgm:t>
    </dgm:pt>
    <dgm:pt modelId="{E8DB25A8-7AE7-4928-B7BF-D6E0024B312C}" type="sibTrans" cxnId="{4B5BED7F-3058-4F3A-81FB-C7C5780AD2A1}">
      <dgm:prSet/>
      <dgm:spPr/>
      <dgm:t>
        <a:bodyPr/>
        <a:lstStyle/>
        <a:p>
          <a:endParaRPr lang="es-ES"/>
        </a:p>
      </dgm:t>
    </dgm:pt>
    <dgm:pt modelId="{FF7E596D-3284-4ED8-9A4C-1308722109F0}" type="pres">
      <dgm:prSet presAssocID="{4EB41F6E-F7F9-48BE-AB17-2D2C75C8BE9C}" presName="Name0" presStyleCnt="0">
        <dgm:presLayoutVars>
          <dgm:dir/>
          <dgm:animLvl val="lvl"/>
          <dgm:resizeHandles val="exact"/>
        </dgm:presLayoutVars>
      </dgm:prSet>
      <dgm:spPr/>
      <dgm:t>
        <a:bodyPr/>
        <a:lstStyle/>
        <a:p>
          <a:endParaRPr lang="es-ES"/>
        </a:p>
      </dgm:t>
    </dgm:pt>
    <dgm:pt modelId="{B109DC50-EC5B-4DC3-AC91-8861261326D9}" type="pres">
      <dgm:prSet presAssocID="{5432C91A-03EF-4A72-AE85-58AD2390484B}" presName="linNode" presStyleCnt="0"/>
      <dgm:spPr/>
    </dgm:pt>
    <dgm:pt modelId="{ACE19D94-3A67-4819-A789-3B34F3571532}" type="pres">
      <dgm:prSet presAssocID="{5432C91A-03EF-4A72-AE85-58AD2390484B}" presName="parentText" presStyleLbl="node1" presStyleIdx="0" presStyleCnt="3">
        <dgm:presLayoutVars>
          <dgm:chMax val="1"/>
          <dgm:bulletEnabled val="1"/>
        </dgm:presLayoutVars>
      </dgm:prSet>
      <dgm:spPr/>
      <dgm:t>
        <a:bodyPr/>
        <a:lstStyle/>
        <a:p>
          <a:endParaRPr lang="es-ES"/>
        </a:p>
      </dgm:t>
    </dgm:pt>
    <dgm:pt modelId="{D7C4DD83-8835-40F8-A9C3-135F6BC87DA0}" type="pres">
      <dgm:prSet presAssocID="{5432C91A-03EF-4A72-AE85-58AD2390484B}" presName="descendantText" presStyleLbl="alignAccFollowNode1" presStyleIdx="0" presStyleCnt="3" custScaleY="190068">
        <dgm:presLayoutVars>
          <dgm:bulletEnabled val="1"/>
        </dgm:presLayoutVars>
      </dgm:prSet>
      <dgm:spPr/>
      <dgm:t>
        <a:bodyPr/>
        <a:lstStyle/>
        <a:p>
          <a:endParaRPr lang="es-ES"/>
        </a:p>
      </dgm:t>
    </dgm:pt>
    <dgm:pt modelId="{3F6B0AA0-5871-4F71-93B0-EF3E466708C1}" type="pres">
      <dgm:prSet presAssocID="{697012FC-221F-40FE-A44C-8337AB561767}" presName="sp" presStyleCnt="0"/>
      <dgm:spPr/>
    </dgm:pt>
    <dgm:pt modelId="{E6321F48-724B-4B15-8A78-534A48B26C79}" type="pres">
      <dgm:prSet presAssocID="{F2F74370-A7B2-4508-B346-98FD8DBF273A}" presName="linNode" presStyleCnt="0"/>
      <dgm:spPr/>
    </dgm:pt>
    <dgm:pt modelId="{00414739-BAA5-4516-9045-2B4730D2F40D}" type="pres">
      <dgm:prSet presAssocID="{F2F74370-A7B2-4508-B346-98FD8DBF273A}" presName="parentText" presStyleLbl="node1" presStyleIdx="1" presStyleCnt="3">
        <dgm:presLayoutVars>
          <dgm:chMax val="1"/>
          <dgm:bulletEnabled val="1"/>
        </dgm:presLayoutVars>
      </dgm:prSet>
      <dgm:spPr/>
      <dgm:t>
        <a:bodyPr/>
        <a:lstStyle/>
        <a:p>
          <a:endParaRPr lang="es-ES"/>
        </a:p>
      </dgm:t>
    </dgm:pt>
    <dgm:pt modelId="{32C39BDF-E436-48A9-97A4-2B8B40AA9834}" type="pres">
      <dgm:prSet presAssocID="{F2F74370-A7B2-4508-B346-98FD8DBF273A}" presName="descendantText" presStyleLbl="alignAccFollowNode1" presStyleIdx="1" presStyleCnt="3" custScaleY="224113">
        <dgm:presLayoutVars>
          <dgm:bulletEnabled val="1"/>
        </dgm:presLayoutVars>
      </dgm:prSet>
      <dgm:spPr/>
      <dgm:t>
        <a:bodyPr/>
        <a:lstStyle/>
        <a:p>
          <a:endParaRPr lang="es-ES"/>
        </a:p>
      </dgm:t>
    </dgm:pt>
    <dgm:pt modelId="{C9521BC8-396E-46D6-B898-39F7A70F92EC}" type="pres">
      <dgm:prSet presAssocID="{535C43E3-BE98-4A44-9FA8-5220B09C7F80}" presName="sp" presStyleCnt="0"/>
      <dgm:spPr/>
    </dgm:pt>
    <dgm:pt modelId="{511D5C2E-A252-4395-9F68-727142CBC224}" type="pres">
      <dgm:prSet presAssocID="{FF001B1F-5A36-405F-B09D-75FC7C9DB910}" presName="linNode" presStyleCnt="0"/>
      <dgm:spPr/>
    </dgm:pt>
    <dgm:pt modelId="{33691890-5ECC-4D25-AE8B-C94DFA464766}" type="pres">
      <dgm:prSet presAssocID="{FF001B1F-5A36-405F-B09D-75FC7C9DB910}" presName="parentText" presStyleLbl="node1" presStyleIdx="2" presStyleCnt="3">
        <dgm:presLayoutVars>
          <dgm:chMax val="1"/>
          <dgm:bulletEnabled val="1"/>
        </dgm:presLayoutVars>
      </dgm:prSet>
      <dgm:spPr/>
      <dgm:t>
        <a:bodyPr/>
        <a:lstStyle/>
        <a:p>
          <a:endParaRPr lang="es-ES"/>
        </a:p>
      </dgm:t>
    </dgm:pt>
    <dgm:pt modelId="{D9DB713D-D342-4C0A-B0B8-4DB5033EC040}" type="pres">
      <dgm:prSet presAssocID="{FF001B1F-5A36-405F-B09D-75FC7C9DB910}" presName="descendantText" presStyleLbl="alignAccFollowNode1" presStyleIdx="2" presStyleCnt="3" custScaleY="115925">
        <dgm:presLayoutVars>
          <dgm:bulletEnabled val="1"/>
        </dgm:presLayoutVars>
      </dgm:prSet>
      <dgm:spPr/>
      <dgm:t>
        <a:bodyPr/>
        <a:lstStyle/>
        <a:p>
          <a:endParaRPr lang="es-ES"/>
        </a:p>
      </dgm:t>
    </dgm:pt>
  </dgm:ptLst>
  <dgm:cxnLst>
    <dgm:cxn modelId="{6CFCBA69-07A3-4275-B552-165319768E86}" type="presOf" srcId="{5432C91A-03EF-4A72-AE85-58AD2390484B}" destId="{ACE19D94-3A67-4819-A789-3B34F3571532}" srcOrd="0" destOrd="0" presId="urn:microsoft.com/office/officeart/2005/8/layout/vList5"/>
    <dgm:cxn modelId="{64E53FB0-FABA-4828-9D7A-F0E644ED8ADA}" srcId="{F2F74370-A7B2-4508-B346-98FD8DBF273A}" destId="{70F3D16F-A72A-48DC-A256-19949B365954}" srcOrd="0" destOrd="0" parTransId="{B7E21FA3-325F-4413-82C1-E270945EEBB2}" sibTransId="{67E9976E-7C9B-400B-AFC2-6FD99A01BB6A}"/>
    <dgm:cxn modelId="{9A31E3BD-BFD9-42BE-9404-F006E43843C3}" srcId="{4EB41F6E-F7F9-48BE-AB17-2D2C75C8BE9C}" destId="{FF001B1F-5A36-405F-B09D-75FC7C9DB910}" srcOrd="2" destOrd="0" parTransId="{6A246CD9-52B3-44F8-BB31-EC4D0474E5A3}" sibTransId="{D865C1FA-842B-4AC1-B52A-FDCBAD3B277F}"/>
    <dgm:cxn modelId="{B4494933-103B-4402-94B4-407A5E4B61CE}" type="presOf" srcId="{4EB41F6E-F7F9-48BE-AB17-2D2C75C8BE9C}" destId="{FF7E596D-3284-4ED8-9A4C-1308722109F0}" srcOrd="0" destOrd="0" presId="urn:microsoft.com/office/officeart/2005/8/layout/vList5"/>
    <dgm:cxn modelId="{110145A9-140A-4028-818E-3FE9FDFDC12B}" type="presOf" srcId="{C66BF3E4-A78E-42E5-90EA-DA66A03743F9}" destId="{D7C4DD83-8835-40F8-A9C3-135F6BC87DA0}" srcOrd="0" destOrd="2" presId="urn:microsoft.com/office/officeart/2005/8/layout/vList5"/>
    <dgm:cxn modelId="{4474F8F9-5CD0-4E44-A036-C1A661F5DF29}" srcId="{4EB41F6E-F7F9-48BE-AB17-2D2C75C8BE9C}" destId="{F2F74370-A7B2-4508-B346-98FD8DBF273A}" srcOrd="1" destOrd="0" parTransId="{468741C7-FB15-4868-8851-F329B914BBCF}" sibTransId="{535C43E3-BE98-4A44-9FA8-5220B09C7F80}"/>
    <dgm:cxn modelId="{400130C5-AC70-43B3-B1C4-9DD90FE95737}" srcId="{F2F74370-A7B2-4508-B346-98FD8DBF273A}" destId="{641C884B-140B-44C0-BA98-0B5625073699}" srcOrd="4" destOrd="0" parTransId="{E52C36ED-39D7-47C5-B386-79AE779849FB}" sibTransId="{30F37540-B535-4AE1-9DB8-4B4B28BE0A64}"/>
    <dgm:cxn modelId="{06195EEA-C50F-4C5C-A664-49B1673E025E}" srcId="{F2F74370-A7B2-4508-B346-98FD8DBF273A}" destId="{C33F9E7C-1CA5-4B2A-B9E2-CA7FB6F5E101}" srcOrd="2" destOrd="0" parTransId="{E072E32D-B072-4A52-8B57-1E1B757F441C}" sibTransId="{57E83846-5432-49F5-BF81-1C6E7C7C4E91}"/>
    <dgm:cxn modelId="{00607A17-8C91-40CD-964C-0BFCED730FE5}" srcId="{5432C91A-03EF-4A72-AE85-58AD2390484B}" destId="{C66BF3E4-A78E-42E5-90EA-DA66A03743F9}" srcOrd="2" destOrd="0" parTransId="{50C6D1C3-DF47-4FCC-AE50-D09AA4F56375}" sibTransId="{82FCD157-9679-4699-A2F0-6FBFE653B11F}"/>
    <dgm:cxn modelId="{F18A892B-0D5A-48ED-93A4-56FDAD2FE44A}" type="presOf" srcId="{FF001B1F-5A36-405F-B09D-75FC7C9DB910}" destId="{33691890-5ECC-4D25-AE8B-C94DFA464766}" srcOrd="0" destOrd="0" presId="urn:microsoft.com/office/officeart/2005/8/layout/vList5"/>
    <dgm:cxn modelId="{69CD9C63-B192-4B6B-8AD5-776A093B419E}" type="presOf" srcId="{7008AAB0-A609-437C-BE04-BE0809105F84}" destId="{D9DB713D-D342-4C0A-B0B8-4DB5033EC040}" srcOrd="0" destOrd="0" presId="urn:microsoft.com/office/officeart/2005/8/layout/vList5"/>
    <dgm:cxn modelId="{09654D93-65D2-43F5-924D-C7ACBE571855}" type="presOf" srcId="{8C1527CA-A1F4-4F3B-9DD3-BAF41ABDFF55}" destId="{32C39BDF-E436-48A9-97A4-2B8B40AA9834}" srcOrd="0" destOrd="7" presId="urn:microsoft.com/office/officeart/2005/8/layout/vList5"/>
    <dgm:cxn modelId="{6263D9C0-F6DD-4DFB-8285-E51EE9BD6EF0}" type="presOf" srcId="{C766E486-0272-4457-A208-18504AE9A915}" destId="{D9DB713D-D342-4C0A-B0B8-4DB5033EC040}" srcOrd="0" destOrd="1" presId="urn:microsoft.com/office/officeart/2005/8/layout/vList5"/>
    <dgm:cxn modelId="{1BE52296-60D9-4C87-AE49-1A3C430E7F86}" srcId="{F2F74370-A7B2-4508-B346-98FD8DBF273A}" destId="{8C1527CA-A1F4-4F3B-9DD3-BAF41ABDFF55}" srcOrd="7" destOrd="0" parTransId="{FDA76ED5-AC34-4E50-9608-95DA74621FCC}" sibTransId="{C76FFE93-37B9-483E-B8D7-9986B09EC4CE}"/>
    <dgm:cxn modelId="{4B5BED7F-3058-4F3A-81FB-C7C5780AD2A1}" srcId="{FF001B1F-5A36-405F-B09D-75FC7C9DB910}" destId="{C766E486-0272-4457-A208-18504AE9A915}" srcOrd="1" destOrd="0" parTransId="{CCFDD457-D408-4C36-A777-8333B2281A42}" sibTransId="{E8DB25A8-7AE7-4928-B7BF-D6E0024B312C}"/>
    <dgm:cxn modelId="{57ADED2E-8B60-4BA0-B326-16E4F4462379}" srcId="{5432C91A-03EF-4A72-AE85-58AD2390484B}" destId="{79E7B1C3-1B2C-4CCF-B73F-4DC78CA23156}" srcOrd="1" destOrd="0" parTransId="{48204FB8-CA9F-4822-BBA0-1DFA075E7F15}" sibTransId="{CB185D90-7C5B-43ED-BBCB-1F8812DF61AD}"/>
    <dgm:cxn modelId="{CC639FF8-5D5D-41EA-BEE7-0F03F4F524D9}" srcId="{F2F74370-A7B2-4508-B346-98FD8DBF273A}" destId="{8FA9FDB3-E21E-4461-8981-5375EAF55C6C}" srcOrd="3" destOrd="0" parTransId="{24B60724-76CB-46CB-A07D-04C432B27B23}" sibTransId="{2150FE85-33A4-4CA5-B81D-4D7A613CC075}"/>
    <dgm:cxn modelId="{AA7BEEAD-47BF-40AE-9FA3-9E4EFC8CA4CF}" type="presOf" srcId="{378AFFEF-F80A-473B-9B89-570C2EFA73AC}" destId="{32C39BDF-E436-48A9-97A4-2B8B40AA9834}" srcOrd="0" destOrd="5" presId="urn:microsoft.com/office/officeart/2005/8/layout/vList5"/>
    <dgm:cxn modelId="{8DEEA7E8-7BDD-4A72-8ED3-B87B44911759}" srcId="{F2F74370-A7B2-4508-B346-98FD8DBF273A}" destId="{AA1A580E-46FE-4792-8932-56E6F9EEE497}" srcOrd="6" destOrd="0" parTransId="{50E65440-9085-4178-83CA-CFC960329B2C}" sibTransId="{8AB9B181-A08E-446E-A304-4FAFC4742ED7}"/>
    <dgm:cxn modelId="{39EBC15B-5C20-46F4-A1B7-8EA03ED179DD}" srcId="{FF001B1F-5A36-405F-B09D-75FC7C9DB910}" destId="{7008AAB0-A609-437C-BE04-BE0809105F84}" srcOrd="0" destOrd="0" parTransId="{E41450AB-DD63-43C0-B929-F5CBFE14D460}" sibTransId="{F1B03412-763D-472A-A62A-4F55C7CB298B}"/>
    <dgm:cxn modelId="{46C88406-8038-4E75-94F7-83E468B134D9}" type="presOf" srcId="{8FA9FDB3-E21E-4461-8981-5375EAF55C6C}" destId="{32C39BDF-E436-48A9-97A4-2B8B40AA9834}" srcOrd="0" destOrd="3" presId="urn:microsoft.com/office/officeart/2005/8/layout/vList5"/>
    <dgm:cxn modelId="{80E5E2FD-89AB-4BCB-8B94-8C5BCF0A0BF5}" type="presOf" srcId="{AA1A580E-46FE-4792-8932-56E6F9EEE497}" destId="{32C39BDF-E436-48A9-97A4-2B8B40AA9834}" srcOrd="0" destOrd="6" presId="urn:microsoft.com/office/officeart/2005/8/layout/vList5"/>
    <dgm:cxn modelId="{E4FCD271-4B4C-4AD4-9ADA-4FF075ED25F5}" srcId="{4EB41F6E-F7F9-48BE-AB17-2D2C75C8BE9C}" destId="{5432C91A-03EF-4A72-AE85-58AD2390484B}" srcOrd="0" destOrd="0" parTransId="{B54A14DC-99A6-4FB5-9393-1203F27C12A8}" sibTransId="{697012FC-221F-40FE-A44C-8337AB561767}"/>
    <dgm:cxn modelId="{8D638C6E-7548-4F94-B92E-60217DFB65CE}" type="presOf" srcId="{F2F74370-A7B2-4508-B346-98FD8DBF273A}" destId="{00414739-BAA5-4516-9045-2B4730D2F40D}" srcOrd="0" destOrd="0" presId="urn:microsoft.com/office/officeart/2005/8/layout/vList5"/>
    <dgm:cxn modelId="{1E444F25-15EA-4E46-8F5D-3E1EA0C84FA4}" srcId="{F2F74370-A7B2-4508-B346-98FD8DBF273A}" destId="{378AFFEF-F80A-473B-9B89-570C2EFA73AC}" srcOrd="5" destOrd="0" parTransId="{E79C10BD-E1BB-4780-B621-DB826A6EB384}" sibTransId="{2F9E00C0-F264-4BB3-91C1-C7E2379FB265}"/>
    <dgm:cxn modelId="{488A41C7-0B76-49E7-AB0E-6C6C5DE2F4EF}" type="presOf" srcId="{641C884B-140B-44C0-BA98-0B5625073699}" destId="{32C39BDF-E436-48A9-97A4-2B8B40AA9834}" srcOrd="0" destOrd="4" presId="urn:microsoft.com/office/officeart/2005/8/layout/vList5"/>
    <dgm:cxn modelId="{5DA50D49-08C1-409A-A26B-7B78A49FF0ED}" type="presOf" srcId="{0D7DED7C-4862-431E-9AD8-BD1A68BD4AAE}" destId="{32C39BDF-E436-48A9-97A4-2B8B40AA9834}" srcOrd="0" destOrd="1" presId="urn:microsoft.com/office/officeart/2005/8/layout/vList5"/>
    <dgm:cxn modelId="{62090872-7AC5-4972-AB76-2A056DA9DD32}" srcId="{F2F74370-A7B2-4508-B346-98FD8DBF273A}" destId="{0D7DED7C-4862-431E-9AD8-BD1A68BD4AAE}" srcOrd="1" destOrd="0" parTransId="{00F355A1-2357-4CBC-B56D-19504144C2F1}" sibTransId="{BAD208FE-E7A2-4657-9F29-9400A1AA8975}"/>
    <dgm:cxn modelId="{A4E5AC4D-B081-4F01-9EC7-700C912B5B7B}" type="presOf" srcId="{79E7B1C3-1B2C-4CCF-B73F-4DC78CA23156}" destId="{D7C4DD83-8835-40F8-A9C3-135F6BC87DA0}" srcOrd="0" destOrd="1" presId="urn:microsoft.com/office/officeart/2005/8/layout/vList5"/>
    <dgm:cxn modelId="{B0727AF4-2BD7-4E12-9D10-D930CBFE4CFB}" type="presOf" srcId="{70F3D16F-A72A-48DC-A256-19949B365954}" destId="{32C39BDF-E436-48A9-97A4-2B8B40AA9834}" srcOrd="0" destOrd="0" presId="urn:microsoft.com/office/officeart/2005/8/layout/vList5"/>
    <dgm:cxn modelId="{81C1DFA7-6F94-40C3-A8E1-EF36CA4B1EAA}" type="presOf" srcId="{1BA14B0F-2892-4EDF-8947-2847F731001C}" destId="{D7C4DD83-8835-40F8-A9C3-135F6BC87DA0}" srcOrd="0" destOrd="0" presId="urn:microsoft.com/office/officeart/2005/8/layout/vList5"/>
    <dgm:cxn modelId="{B7D9DC4B-B6CC-4CAD-B539-CF5428D4C022}" type="presOf" srcId="{C33F9E7C-1CA5-4B2A-B9E2-CA7FB6F5E101}" destId="{32C39BDF-E436-48A9-97A4-2B8B40AA9834}" srcOrd="0" destOrd="2" presId="urn:microsoft.com/office/officeart/2005/8/layout/vList5"/>
    <dgm:cxn modelId="{0468FEF8-7023-4181-BD0D-BE2217C00781}" srcId="{5432C91A-03EF-4A72-AE85-58AD2390484B}" destId="{1BA14B0F-2892-4EDF-8947-2847F731001C}" srcOrd="0" destOrd="0" parTransId="{3E837E5D-029F-49C8-9F54-4492CD5F55D1}" sibTransId="{332BF984-2DE5-4450-9BC0-1EFE6E5C4241}"/>
    <dgm:cxn modelId="{4D63F083-F5D8-497D-9AB4-9139F0AC37BF}" type="presParOf" srcId="{FF7E596D-3284-4ED8-9A4C-1308722109F0}" destId="{B109DC50-EC5B-4DC3-AC91-8861261326D9}" srcOrd="0" destOrd="0" presId="urn:microsoft.com/office/officeart/2005/8/layout/vList5"/>
    <dgm:cxn modelId="{F6D92097-603F-4C81-AC38-47B0E65BF08D}" type="presParOf" srcId="{B109DC50-EC5B-4DC3-AC91-8861261326D9}" destId="{ACE19D94-3A67-4819-A789-3B34F3571532}" srcOrd="0" destOrd="0" presId="urn:microsoft.com/office/officeart/2005/8/layout/vList5"/>
    <dgm:cxn modelId="{F9DFB9C3-53ED-476F-996F-0BB99FAA8AA3}" type="presParOf" srcId="{B109DC50-EC5B-4DC3-AC91-8861261326D9}" destId="{D7C4DD83-8835-40F8-A9C3-135F6BC87DA0}" srcOrd="1" destOrd="0" presId="urn:microsoft.com/office/officeart/2005/8/layout/vList5"/>
    <dgm:cxn modelId="{13E3D040-2069-41C9-8104-5E7AAA26BC6F}" type="presParOf" srcId="{FF7E596D-3284-4ED8-9A4C-1308722109F0}" destId="{3F6B0AA0-5871-4F71-93B0-EF3E466708C1}" srcOrd="1" destOrd="0" presId="urn:microsoft.com/office/officeart/2005/8/layout/vList5"/>
    <dgm:cxn modelId="{58E79886-8C94-4C11-AE57-507B98084537}" type="presParOf" srcId="{FF7E596D-3284-4ED8-9A4C-1308722109F0}" destId="{E6321F48-724B-4B15-8A78-534A48B26C79}" srcOrd="2" destOrd="0" presId="urn:microsoft.com/office/officeart/2005/8/layout/vList5"/>
    <dgm:cxn modelId="{4F7918E3-2334-4900-BA44-A0EA86055B69}" type="presParOf" srcId="{E6321F48-724B-4B15-8A78-534A48B26C79}" destId="{00414739-BAA5-4516-9045-2B4730D2F40D}" srcOrd="0" destOrd="0" presId="urn:microsoft.com/office/officeart/2005/8/layout/vList5"/>
    <dgm:cxn modelId="{07C7684D-0B8B-49BC-A3D3-655F4A31FCF6}" type="presParOf" srcId="{E6321F48-724B-4B15-8A78-534A48B26C79}" destId="{32C39BDF-E436-48A9-97A4-2B8B40AA9834}" srcOrd="1" destOrd="0" presId="urn:microsoft.com/office/officeart/2005/8/layout/vList5"/>
    <dgm:cxn modelId="{49E7C1FE-696A-49A0-B544-12D8509BA90E}" type="presParOf" srcId="{FF7E596D-3284-4ED8-9A4C-1308722109F0}" destId="{C9521BC8-396E-46D6-B898-39F7A70F92EC}" srcOrd="3" destOrd="0" presId="urn:microsoft.com/office/officeart/2005/8/layout/vList5"/>
    <dgm:cxn modelId="{0289373A-0B7B-47B7-9F17-84221E048E39}" type="presParOf" srcId="{FF7E596D-3284-4ED8-9A4C-1308722109F0}" destId="{511D5C2E-A252-4395-9F68-727142CBC224}" srcOrd="4" destOrd="0" presId="urn:microsoft.com/office/officeart/2005/8/layout/vList5"/>
    <dgm:cxn modelId="{72EB7888-0143-401B-A643-4D6B158A7694}" type="presParOf" srcId="{511D5C2E-A252-4395-9F68-727142CBC224}" destId="{33691890-5ECC-4D25-AE8B-C94DFA464766}" srcOrd="0" destOrd="0" presId="urn:microsoft.com/office/officeart/2005/8/layout/vList5"/>
    <dgm:cxn modelId="{BDE6F191-1F30-48E3-BE64-83F9A87A6363}" type="presParOf" srcId="{511D5C2E-A252-4395-9F68-727142CBC224}" destId="{D9DB713D-D342-4C0A-B0B8-4DB5033EC040}" srcOrd="1" destOrd="0" presId="urn:microsoft.com/office/officeart/2005/8/layout/vList5"/>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924911-2C0D-4949-A8A9-E1914CE70643}">
      <dsp:nvSpPr>
        <dsp:cNvPr id="0" name=""/>
        <dsp:cNvSpPr/>
      </dsp:nvSpPr>
      <dsp:spPr>
        <a:xfrm>
          <a:off x="2327073" y="1938"/>
          <a:ext cx="3753889" cy="1566854"/>
        </a:xfrm>
        <a:prstGeom prst="rightArrow">
          <a:avLst>
            <a:gd name="adj1" fmla="val 75000"/>
            <a:gd name="adj2" fmla="val 50000"/>
          </a:avLst>
        </a:prstGeom>
        <a:solidFill>
          <a:srgbClr val="C0504D">
            <a:tint val="40000"/>
            <a:alpha val="90000"/>
            <a:hueOff val="0"/>
            <a:satOff val="0"/>
            <a:lumOff val="0"/>
            <a:alphaOff val="0"/>
          </a:srgbClr>
        </a:solidFill>
        <a:ln w="25400" cap="flat" cmpd="sng" algn="ctr">
          <a:solidFill>
            <a:srgbClr val="C0504D">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just" defTabSz="488950">
            <a:lnSpc>
              <a:spcPct val="90000"/>
            </a:lnSpc>
            <a:spcBef>
              <a:spcPct val="0"/>
            </a:spcBef>
            <a:spcAft>
              <a:spcPct val="15000"/>
            </a:spcAft>
            <a:buChar char="••"/>
          </a:pPr>
          <a:r>
            <a:rPr lang="es-ES" sz="11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Cada profesional, desde su área, hace un análisis del caso que posteriormente pone en común con el resto del equipo. Se acuerda en equipo una propuesta de intervención que se traslada a la mujer, acordando con ésta el PTIC, marcando y priorizando objetivos consensuados entre la mujer y las profesionales.</a:t>
          </a:r>
          <a:endParaRPr lang="es-ES" sz="1100" b="1"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327073" y="197795"/>
        <a:ext cx="3166319" cy="1175140"/>
      </dsp:txXfrm>
    </dsp:sp>
    <dsp:sp modelId="{6E4F78F4-0E40-458B-BA89-1705CB44BA6E}">
      <dsp:nvSpPr>
        <dsp:cNvPr id="0" name=""/>
        <dsp:cNvSpPr/>
      </dsp:nvSpPr>
      <dsp:spPr>
        <a:xfrm>
          <a:off x="187757" y="141136"/>
          <a:ext cx="2139316" cy="1288457"/>
        </a:xfrm>
        <a:prstGeom prst="round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es-ES" sz="900" b="1" i="1" kern="1200" dirty="0">
              <a:solidFill>
                <a:sysClr val="window" lastClr="FFFFFF"/>
              </a:solidFill>
              <a:latin typeface="Arial" panose="020B0604020202020204" pitchFamily="34" charset="0"/>
              <a:ea typeface="+mn-ea"/>
              <a:cs typeface="Arial" panose="020B0604020202020204" pitchFamily="34" charset="0"/>
            </a:rPr>
            <a:t>EVALUACIÓN INICIAL</a:t>
          </a:r>
          <a:endParaRPr lang="es-ES" sz="900" b="1" kern="1200" dirty="0">
            <a:solidFill>
              <a:sysClr val="window" lastClr="FFFFFF"/>
            </a:solidFill>
            <a:latin typeface="Arial" panose="020B0604020202020204" pitchFamily="34" charset="0"/>
            <a:ea typeface="+mn-ea"/>
            <a:cs typeface="Arial" panose="020B0604020202020204" pitchFamily="34" charset="0"/>
          </a:endParaRPr>
        </a:p>
      </dsp:txBody>
      <dsp:txXfrm>
        <a:off x="250654" y="204033"/>
        <a:ext cx="2013522" cy="1162663"/>
      </dsp:txXfrm>
    </dsp:sp>
    <dsp:sp modelId="{C1683CB7-02AD-485F-BDAE-FAD80F1A57DF}">
      <dsp:nvSpPr>
        <dsp:cNvPr id="0" name=""/>
        <dsp:cNvSpPr/>
      </dsp:nvSpPr>
      <dsp:spPr>
        <a:xfrm>
          <a:off x="2426596" y="1673260"/>
          <a:ext cx="3761232" cy="1288457"/>
        </a:xfrm>
        <a:prstGeom prst="rightArrow">
          <a:avLst>
            <a:gd name="adj1" fmla="val 75000"/>
            <a:gd name="adj2" fmla="val 50000"/>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266700">
            <a:lnSpc>
              <a:spcPct val="90000"/>
            </a:lnSpc>
            <a:spcBef>
              <a:spcPct val="0"/>
            </a:spcBef>
            <a:spcAft>
              <a:spcPct val="15000"/>
            </a:spcAft>
            <a:buChar char="••"/>
          </a:pPr>
          <a:endParaRPr lang="es-ES" sz="600" b="1" kern="1200" dirty="0">
            <a:solidFill>
              <a:sysClr val="windowText" lastClr="000000">
                <a:hueOff val="0"/>
                <a:satOff val="0"/>
                <a:lumOff val="0"/>
                <a:alphaOff val="0"/>
              </a:sysClr>
            </a:solidFill>
            <a:latin typeface="Calibri"/>
            <a:ea typeface="+mn-ea"/>
            <a:cs typeface="+mn-cs"/>
          </a:endParaRPr>
        </a:p>
        <a:p>
          <a:pPr marL="57150" lvl="1" indent="-57150" algn="just" defTabSz="488950">
            <a:lnSpc>
              <a:spcPct val="90000"/>
            </a:lnSpc>
            <a:spcBef>
              <a:spcPct val="0"/>
            </a:spcBef>
            <a:spcAft>
              <a:spcPct val="15000"/>
            </a:spcAft>
            <a:buChar char="••"/>
          </a:pPr>
          <a:r>
            <a:rPr lang="es-ES" sz="1100" kern="1200" dirty="0">
              <a:solidFill>
                <a:sysClr val="windowText" lastClr="000000">
                  <a:hueOff val="0"/>
                  <a:satOff val="0"/>
                  <a:lumOff val="0"/>
                  <a:alphaOff val="0"/>
                </a:sysClr>
              </a:solidFill>
              <a:latin typeface="Calibri"/>
              <a:ea typeface="+mn-ea"/>
              <a:cs typeface="+mn-cs"/>
            </a:rPr>
            <a:t>A lo largo del proceso, se analiza la consecución de objetivos, las dificultades y las modificaciones de los mismos, apoyadas por el resto de las profesionales. El proceso se revisa periódicamente en reunión de equipo. Al final de esta fase, se propone una fecha de salida  y acuerdos consensuados. </a:t>
          </a:r>
        </a:p>
      </dsp:txBody>
      <dsp:txXfrm>
        <a:off x="2426596" y="1834317"/>
        <a:ext cx="3278061" cy="966343"/>
      </dsp:txXfrm>
    </dsp:sp>
    <dsp:sp modelId="{E1532C5B-D9CC-4333-8621-7A30A56DDC50}">
      <dsp:nvSpPr>
        <dsp:cNvPr id="0" name=""/>
        <dsp:cNvSpPr/>
      </dsp:nvSpPr>
      <dsp:spPr>
        <a:xfrm>
          <a:off x="181993" y="1697638"/>
          <a:ext cx="2143501" cy="1288457"/>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es-ES" sz="900" b="1" i="1" kern="1200" dirty="0">
              <a:solidFill>
                <a:sysClr val="window" lastClr="FFFFFF"/>
              </a:solidFill>
              <a:latin typeface="Arial" panose="020B0604020202020204" pitchFamily="34" charset="0"/>
              <a:ea typeface="+mn-ea"/>
              <a:cs typeface="Arial" panose="020B0604020202020204" pitchFamily="34" charset="0"/>
            </a:rPr>
            <a:t>INTERVENCIÓN/SEGUIMIENTO</a:t>
          </a:r>
          <a:endParaRPr lang="es-ES" sz="900" b="1" kern="1200" dirty="0">
            <a:solidFill>
              <a:sysClr val="window" lastClr="FFFFFF"/>
            </a:solidFill>
            <a:latin typeface="Arial" panose="020B0604020202020204" pitchFamily="34" charset="0"/>
            <a:ea typeface="+mn-ea"/>
            <a:cs typeface="Arial" panose="020B0604020202020204" pitchFamily="34" charset="0"/>
          </a:endParaRPr>
        </a:p>
      </dsp:txBody>
      <dsp:txXfrm>
        <a:off x="244890" y="1760535"/>
        <a:ext cx="2017707" cy="1162663"/>
      </dsp:txXfrm>
    </dsp:sp>
    <dsp:sp modelId="{C144E69E-81CE-4F58-A207-F538D590959D}">
      <dsp:nvSpPr>
        <dsp:cNvPr id="0" name=""/>
        <dsp:cNvSpPr/>
      </dsp:nvSpPr>
      <dsp:spPr>
        <a:xfrm>
          <a:off x="2272939" y="3114941"/>
          <a:ext cx="3757558" cy="1553493"/>
        </a:xfrm>
        <a:prstGeom prst="rightArrow">
          <a:avLst>
            <a:gd name="adj1" fmla="val 75000"/>
            <a:gd name="adj2" fmla="val 50000"/>
          </a:avLst>
        </a:prstGeom>
        <a:solidFill>
          <a:srgbClr val="8064A2">
            <a:tint val="40000"/>
            <a:alpha val="90000"/>
            <a:hueOff val="0"/>
            <a:satOff val="0"/>
            <a:lumOff val="0"/>
            <a:alphaOff val="0"/>
          </a:srgbClr>
        </a:solidFill>
        <a:ln w="25400" cap="flat" cmpd="sng" algn="ctr">
          <a:solidFill>
            <a:srgbClr val="8064A2">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just" defTabSz="488950">
            <a:lnSpc>
              <a:spcPct val="90000"/>
            </a:lnSpc>
            <a:spcBef>
              <a:spcPct val="0"/>
            </a:spcBef>
            <a:spcAft>
              <a:spcPct val="15000"/>
            </a:spcAft>
            <a:buChar char="••"/>
          </a:pPr>
          <a:r>
            <a:rPr lang="es-ES" sz="11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Antes de la salida de la casa, se evalúa con la mujer los objetivos conseguidos y pendientes, intentando prever posibles dificultades. La trabajadora social acompaña a la mujer en los contactos con los servicios sociales de zona en la que va a residir, con el objetivo de que le sigan apoyando en los casos en que sea necesario.</a:t>
          </a:r>
          <a:endParaRPr lang="es-ES" sz="1100" b="1"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272939" y="3309128"/>
        <a:ext cx="3174998" cy="1165119"/>
      </dsp:txXfrm>
    </dsp:sp>
    <dsp:sp modelId="{38684BEF-EB73-44D2-8493-FEFC7460AEF2}">
      <dsp:nvSpPr>
        <dsp:cNvPr id="0" name=""/>
        <dsp:cNvSpPr/>
      </dsp:nvSpPr>
      <dsp:spPr>
        <a:xfrm>
          <a:off x="104076" y="3261381"/>
          <a:ext cx="2101001" cy="1274529"/>
        </a:xfrm>
        <a:prstGeom prst="roundRect">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s-ES" sz="1000" b="1" i="1" kern="1200" dirty="0">
              <a:solidFill>
                <a:sysClr val="window" lastClr="FFFFFF"/>
              </a:solidFill>
              <a:latin typeface="Arial" panose="020B0604020202020204" pitchFamily="34" charset="0"/>
              <a:ea typeface="+mn-ea"/>
              <a:cs typeface="Arial" panose="020B0604020202020204" pitchFamily="34" charset="0"/>
            </a:rPr>
            <a:t>SALIDA</a:t>
          </a:r>
          <a:endParaRPr lang="es-ES" sz="1000" b="1" kern="1200" dirty="0">
            <a:solidFill>
              <a:sysClr val="window" lastClr="FFFFFF"/>
            </a:solidFill>
            <a:latin typeface="Arial" panose="020B0604020202020204" pitchFamily="34" charset="0"/>
            <a:ea typeface="+mn-ea"/>
            <a:cs typeface="Arial" panose="020B0604020202020204" pitchFamily="34" charset="0"/>
          </a:endParaRPr>
        </a:p>
      </dsp:txBody>
      <dsp:txXfrm>
        <a:off x="166293" y="3323598"/>
        <a:ext cx="1976567" cy="11500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F2E523-0B20-4C58-A7D3-C147DA0F7BA2}">
      <dsp:nvSpPr>
        <dsp:cNvPr id="0" name=""/>
        <dsp:cNvSpPr/>
      </dsp:nvSpPr>
      <dsp:spPr>
        <a:xfrm>
          <a:off x="2862" y="63904"/>
          <a:ext cx="1097200" cy="438880"/>
        </a:xfrm>
        <a:prstGeom prst="rect">
          <a:avLst/>
        </a:prstGeom>
        <a:solidFill>
          <a:srgbClr val="C0504D">
            <a:hueOff val="0"/>
            <a:satOff val="0"/>
            <a:lumOff val="0"/>
            <a:alphaOff val="0"/>
          </a:srgbClr>
        </a:solidFill>
        <a:ln w="25400" cap="flat" cmpd="sng" algn="ctr">
          <a:solidFill>
            <a:srgbClr val="C0504D">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Diario de campo</a:t>
          </a:r>
          <a:r>
            <a:rPr lang="es-ES" sz="1000" kern="1200">
              <a:solidFill>
                <a:sysClr val="window" lastClr="FFFFFF"/>
              </a:solidFill>
              <a:latin typeface="Calibri"/>
              <a:ea typeface="+mn-ea"/>
              <a:cs typeface="+mn-cs"/>
            </a:rPr>
            <a:t>: </a:t>
          </a:r>
        </a:p>
      </dsp:txBody>
      <dsp:txXfrm>
        <a:off x="2862" y="63904"/>
        <a:ext cx="1097200" cy="438880"/>
      </dsp:txXfrm>
    </dsp:sp>
    <dsp:sp modelId="{B6D02A97-BEAF-4E34-A2B8-92AE332301B7}">
      <dsp:nvSpPr>
        <dsp:cNvPr id="0" name=""/>
        <dsp:cNvSpPr/>
      </dsp:nvSpPr>
      <dsp:spPr>
        <a:xfrm>
          <a:off x="2862" y="502785"/>
          <a:ext cx="1097200" cy="3074400"/>
        </a:xfrm>
        <a:prstGeom prst="rect">
          <a:avLst/>
        </a:prstGeom>
        <a:solidFill>
          <a:srgbClr val="C0504D">
            <a:tint val="40000"/>
            <a:alpha val="90000"/>
            <a:hueOff val="0"/>
            <a:satOff val="0"/>
            <a:lumOff val="0"/>
            <a:alphaOff val="0"/>
          </a:srgbClr>
        </a:solidFill>
        <a:ln w="25400" cap="flat" cmpd="sng" algn="ctr">
          <a:solidFill>
            <a:srgbClr val="C0504D">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ctr"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El equipo educativo recoge información relevante acontecida en el recurso alojativo.  Así mismo, es una herramienta de consulta para dirección-coordinación, que facilita la supervisión de la convivencia. </a:t>
          </a:r>
        </a:p>
      </dsp:txBody>
      <dsp:txXfrm>
        <a:off x="2862" y="502785"/>
        <a:ext cx="1097200" cy="3074400"/>
      </dsp:txXfrm>
    </dsp:sp>
    <dsp:sp modelId="{838DDB65-C536-4BD7-8610-DBD631B89AD9}">
      <dsp:nvSpPr>
        <dsp:cNvPr id="0" name=""/>
        <dsp:cNvSpPr/>
      </dsp:nvSpPr>
      <dsp:spPr>
        <a:xfrm>
          <a:off x="1253670" y="63904"/>
          <a:ext cx="1097200" cy="438880"/>
        </a:xfrm>
        <a:prstGeom prst="rect">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Seguimientos semanales</a:t>
          </a:r>
          <a:r>
            <a:rPr lang="es-ES" sz="1000" kern="1200">
              <a:solidFill>
                <a:sysClr val="window" lastClr="FFFFFF"/>
              </a:solidFill>
              <a:latin typeface="Calibri"/>
              <a:ea typeface="+mn-ea"/>
              <a:cs typeface="+mn-cs"/>
            </a:rPr>
            <a:t>: </a:t>
          </a:r>
        </a:p>
      </dsp:txBody>
      <dsp:txXfrm>
        <a:off x="1253670" y="63904"/>
        <a:ext cx="1097200" cy="438880"/>
      </dsp:txXfrm>
    </dsp:sp>
    <dsp:sp modelId="{4333C695-2C9D-461E-A10F-B3BB049E3E5F}">
      <dsp:nvSpPr>
        <dsp:cNvPr id="0" name=""/>
        <dsp:cNvSpPr/>
      </dsp:nvSpPr>
      <dsp:spPr>
        <a:xfrm>
          <a:off x="1253670" y="502785"/>
          <a:ext cx="1097200" cy="3074400"/>
        </a:xfrm>
        <a:prstGeom prst="rect">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ctr"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Semanalmente, en las reuniones de equipo se recoge información relevante sobre las mujeres y sus procesos individuales con la finalidad de revisar los objetivos planteados por las diferentes áreas y la interrelación de las mismas en su consecución. </a:t>
          </a:r>
        </a:p>
      </dsp:txBody>
      <dsp:txXfrm>
        <a:off x="1253670" y="502785"/>
        <a:ext cx="1097200" cy="3074400"/>
      </dsp:txXfrm>
    </dsp:sp>
    <dsp:sp modelId="{E3AED90F-AA80-43DD-AA9A-C9FE2CB68C58}">
      <dsp:nvSpPr>
        <dsp:cNvPr id="0" name=""/>
        <dsp:cNvSpPr/>
      </dsp:nvSpPr>
      <dsp:spPr>
        <a:xfrm>
          <a:off x="2504479" y="63904"/>
          <a:ext cx="1097200" cy="438880"/>
        </a:xfrm>
        <a:prstGeom prst="rect">
          <a:avLst/>
        </a:prstGeom>
        <a:solidFill>
          <a:srgbClr val="8064A2">
            <a:hueOff val="0"/>
            <a:satOff val="0"/>
            <a:lumOff val="0"/>
            <a:alphaOff val="0"/>
          </a:srgbClr>
        </a:solidFill>
        <a:ln w="25400" cap="flat" cmpd="sng" algn="ctr">
          <a:solidFill>
            <a:srgbClr val="8064A2">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Expediente individual</a:t>
          </a:r>
          <a:r>
            <a:rPr lang="es-ES" sz="1000" kern="1200">
              <a:solidFill>
                <a:sysClr val="window" lastClr="FFFFFF"/>
              </a:solidFill>
              <a:latin typeface="Calibri"/>
              <a:ea typeface="+mn-ea"/>
              <a:cs typeface="+mn-cs"/>
            </a:rPr>
            <a:t>: </a:t>
          </a:r>
        </a:p>
      </dsp:txBody>
      <dsp:txXfrm>
        <a:off x="2504479" y="63904"/>
        <a:ext cx="1097200" cy="438880"/>
      </dsp:txXfrm>
    </dsp:sp>
    <dsp:sp modelId="{83474A76-B1E2-4060-8073-8ACAFEB88A3D}">
      <dsp:nvSpPr>
        <dsp:cNvPr id="0" name=""/>
        <dsp:cNvSpPr/>
      </dsp:nvSpPr>
      <dsp:spPr>
        <a:xfrm>
          <a:off x="2504479" y="502785"/>
          <a:ext cx="1097200" cy="3074400"/>
        </a:xfrm>
        <a:prstGeom prst="rect">
          <a:avLst/>
        </a:prstGeom>
        <a:solidFill>
          <a:srgbClr val="8064A2">
            <a:tint val="40000"/>
            <a:alpha val="90000"/>
            <a:hueOff val="0"/>
            <a:satOff val="0"/>
            <a:lumOff val="0"/>
            <a:alphaOff val="0"/>
          </a:srgbClr>
        </a:solidFill>
        <a:ln w="25400" cap="flat" cmpd="sng" algn="ctr">
          <a:solidFill>
            <a:srgbClr val="8064A2">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ctr"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Documento técnico, en el cuál se vuelca información sobre las intervenciones realizadas. Se trata de una herramienta de intercambio de información entre todo el equipo interdisciplinar que acompaña a la mujer. </a:t>
          </a:r>
        </a:p>
      </dsp:txBody>
      <dsp:txXfrm>
        <a:off x="2504479" y="502785"/>
        <a:ext cx="1097200" cy="3074400"/>
      </dsp:txXfrm>
    </dsp:sp>
    <dsp:sp modelId="{AE7CAE2C-5CF5-451B-BCF8-8E713360D119}">
      <dsp:nvSpPr>
        <dsp:cNvPr id="0" name=""/>
        <dsp:cNvSpPr/>
      </dsp:nvSpPr>
      <dsp:spPr>
        <a:xfrm>
          <a:off x="3755288" y="63904"/>
          <a:ext cx="1097200" cy="438880"/>
        </a:xfrm>
        <a:prstGeom prst="rect">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Email y Teléfono 24 horas</a:t>
          </a:r>
        </a:p>
      </dsp:txBody>
      <dsp:txXfrm>
        <a:off x="3755288" y="63904"/>
        <a:ext cx="1097200" cy="438880"/>
      </dsp:txXfrm>
    </dsp:sp>
    <dsp:sp modelId="{57DC32A7-C340-4484-AFC0-F882273DF4D6}">
      <dsp:nvSpPr>
        <dsp:cNvPr id="0" name=""/>
        <dsp:cNvSpPr/>
      </dsp:nvSpPr>
      <dsp:spPr>
        <a:xfrm>
          <a:off x="3755288" y="502785"/>
          <a:ext cx="1097200" cy="3074400"/>
        </a:xfrm>
        <a:prstGeom prst="rect">
          <a:avLst/>
        </a:prstGeom>
        <a:solidFill>
          <a:srgbClr val="4BACC6">
            <a:tint val="40000"/>
            <a:alpha val="90000"/>
            <a:hueOff val="0"/>
            <a:satOff val="0"/>
            <a:lumOff val="0"/>
            <a:alphaOff val="0"/>
          </a:srgbClr>
        </a:solidFill>
        <a:ln w="25400" cap="flat" cmpd="sng" algn="ctr">
          <a:solidFill>
            <a:srgbClr val="4BACC6">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ctr"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Estas herramientas se utilizan normalmente entre el área de coordinación/dirección y equipo educativo y su finalidad es la de hacer llegar información sobre citación de las mujeres, toma de decisiones relevantes, informar de incidencias o urgencias, etc. </a:t>
          </a:r>
        </a:p>
      </dsp:txBody>
      <dsp:txXfrm>
        <a:off x="3755288" y="502785"/>
        <a:ext cx="1097200" cy="3074400"/>
      </dsp:txXfrm>
    </dsp:sp>
    <dsp:sp modelId="{5FCC2AD1-ABB9-4856-A04D-CFA3B5EE3D9B}">
      <dsp:nvSpPr>
        <dsp:cNvPr id="0" name=""/>
        <dsp:cNvSpPr/>
      </dsp:nvSpPr>
      <dsp:spPr>
        <a:xfrm>
          <a:off x="5006097" y="63904"/>
          <a:ext cx="1097200" cy="438880"/>
        </a:xfrm>
        <a:prstGeom prst="rect">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Hojas de valoración semanales</a:t>
          </a:r>
        </a:p>
      </dsp:txBody>
      <dsp:txXfrm>
        <a:off x="5006097" y="63904"/>
        <a:ext cx="1097200" cy="438880"/>
      </dsp:txXfrm>
    </dsp:sp>
    <dsp:sp modelId="{AB33FA8D-CC91-486B-A6A0-7845FD7D35E7}">
      <dsp:nvSpPr>
        <dsp:cNvPr id="0" name=""/>
        <dsp:cNvSpPr/>
      </dsp:nvSpPr>
      <dsp:spPr>
        <a:xfrm>
          <a:off x="5006097" y="502785"/>
          <a:ext cx="1097200" cy="3074400"/>
        </a:xfrm>
        <a:prstGeom prst="rect">
          <a:avLst/>
        </a:prstGeom>
        <a:solidFill>
          <a:srgbClr val="F79646">
            <a:tint val="40000"/>
            <a:alpha val="90000"/>
            <a:hueOff val="0"/>
            <a:satOff val="0"/>
            <a:lumOff val="0"/>
            <a:alphaOff val="0"/>
          </a:srgbClr>
        </a:solidFill>
        <a:ln w="25400" cap="flat" cmpd="sng" algn="ctr">
          <a:solidFill>
            <a:srgbClr val="F79646">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ctr"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En ellas se evalúa con puntuación del 1 al 5,  las dimensiones educativas en relación al proceso de cada mujer. 1 equivale a una valoración muy negativa y 5 equivale a muy positiva. Las puntuaciones 1 y 2 deben ir acompañadas de una propuesta de intervención educativa. También se recoge, las potencialidades</a:t>
          </a:r>
        </a:p>
      </dsp:txBody>
      <dsp:txXfrm>
        <a:off x="5006097" y="502785"/>
        <a:ext cx="1097200" cy="30744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F17B26-67DE-4241-85CE-F12DCE08FB07}">
      <dsp:nvSpPr>
        <dsp:cNvPr id="0" name=""/>
        <dsp:cNvSpPr/>
      </dsp:nvSpPr>
      <dsp:spPr>
        <a:xfrm>
          <a:off x="0" y="49564"/>
          <a:ext cx="1843933" cy="563656"/>
        </a:xfrm>
        <a:prstGeom prst="rect">
          <a:avLst/>
        </a:prstGeom>
        <a:solidFill>
          <a:srgbClr val="C0504D">
            <a:hueOff val="0"/>
            <a:satOff val="0"/>
            <a:lumOff val="0"/>
            <a:alphaOff val="0"/>
          </a:srgbClr>
        </a:solidFill>
        <a:ln w="25400" cap="flat" cmpd="sng" algn="ctr">
          <a:solidFill>
            <a:srgbClr val="C0504D">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VALORACIÓN DIAGNÓSTICA</a:t>
          </a:r>
        </a:p>
      </dsp:txBody>
      <dsp:txXfrm>
        <a:off x="0" y="49564"/>
        <a:ext cx="1843933" cy="563656"/>
      </dsp:txXfrm>
    </dsp:sp>
    <dsp:sp modelId="{E328CDAE-8599-4768-B10C-09B861B747FB}">
      <dsp:nvSpPr>
        <dsp:cNvPr id="0" name=""/>
        <dsp:cNvSpPr/>
      </dsp:nvSpPr>
      <dsp:spPr>
        <a:xfrm>
          <a:off x="37108" y="573508"/>
          <a:ext cx="1771422" cy="2813624"/>
        </a:xfrm>
        <a:prstGeom prst="rect">
          <a:avLst/>
        </a:prstGeom>
        <a:solidFill>
          <a:srgbClr val="C0504D">
            <a:tint val="40000"/>
            <a:alpha val="90000"/>
            <a:hueOff val="0"/>
            <a:satOff val="0"/>
            <a:lumOff val="0"/>
            <a:alphaOff val="0"/>
          </a:srgbClr>
        </a:solidFill>
        <a:ln w="25400" cap="flat" cmpd="sng" algn="ctr">
          <a:solidFill>
            <a:srgbClr val="C0504D">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just"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Es un documento que se realiza al mes de ingreso de cada mujer identificando la problemática principal, sus necesidades, así como sus potencialidades y las líneas de actuación en la intervención. </a:t>
          </a:r>
        </a:p>
      </dsp:txBody>
      <dsp:txXfrm>
        <a:off x="37108" y="573508"/>
        <a:ext cx="1771422" cy="2813624"/>
      </dsp:txXfrm>
    </dsp:sp>
    <dsp:sp modelId="{8496CCDB-B6E0-4A1A-B7BD-91C7297FB22A}">
      <dsp:nvSpPr>
        <dsp:cNvPr id="0" name=""/>
        <dsp:cNvSpPr/>
      </dsp:nvSpPr>
      <dsp:spPr>
        <a:xfrm>
          <a:off x="2094700" y="6766"/>
          <a:ext cx="1785096" cy="576000"/>
        </a:xfrm>
        <a:prstGeom prst="rect">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PLAN DE TRABAJO INDIVIDUALIZADO-COMPARTIDO (PTIC)</a:t>
          </a:r>
          <a:endParaRPr lang="es-ES" sz="1000" kern="1200">
            <a:solidFill>
              <a:sysClr val="window" lastClr="FFFFFF"/>
            </a:solidFill>
            <a:latin typeface="Calibri"/>
            <a:ea typeface="+mn-ea"/>
            <a:cs typeface="+mn-cs"/>
          </a:endParaRPr>
        </a:p>
      </dsp:txBody>
      <dsp:txXfrm>
        <a:off x="2094700" y="6766"/>
        <a:ext cx="1785096" cy="576000"/>
      </dsp:txXfrm>
    </dsp:sp>
    <dsp:sp modelId="{680B717C-BE99-4D7A-B1D0-EF7242BB8072}">
      <dsp:nvSpPr>
        <dsp:cNvPr id="0" name=""/>
        <dsp:cNvSpPr/>
      </dsp:nvSpPr>
      <dsp:spPr>
        <a:xfrm>
          <a:off x="2094700" y="582766"/>
          <a:ext cx="1785096" cy="2813624"/>
        </a:xfrm>
        <a:prstGeom prst="rect">
          <a:avLst/>
        </a:prstGeom>
        <a:solidFill>
          <a:srgbClr val="9BBB59">
            <a:tint val="40000"/>
            <a:alpha val="90000"/>
            <a:hueOff val="0"/>
            <a:satOff val="0"/>
            <a:lumOff val="0"/>
            <a:alphaOff val="0"/>
          </a:srgbClr>
        </a:solidFill>
        <a:ln w="25400" cap="flat" cmpd="sng" algn="ctr">
          <a:solidFill>
            <a:srgbClr val="9BBB59">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just"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Es el documento de trabajo en el que se refleja la intervención que se va llevar a cabo desde las diferentes áreas del equipo. Es un documento que hace partícipe a la mujer, plasmando los objetivos que quiere conseguir durante el tiempo de estancia en el recurso de acogida. </a:t>
          </a:r>
        </a:p>
        <a:p>
          <a:pPr marL="57150" lvl="1" indent="-57150" algn="just"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Este documento conlleva una revisión conjunta trimestral con la mujer, así como con el resto del equipo interdisciplinar, para valorar la consecución de los objetivos, avances-retrocesos, planteamiento de nuevas líneas de intervención, etc.</a:t>
          </a:r>
        </a:p>
      </dsp:txBody>
      <dsp:txXfrm>
        <a:off x="2094700" y="582766"/>
        <a:ext cx="1785096" cy="2813624"/>
      </dsp:txXfrm>
    </dsp:sp>
    <dsp:sp modelId="{DEC50B67-BE77-4ADC-BF8E-85D955D36082}">
      <dsp:nvSpPr>
        <dsp:cNvPr id="0" name=""/>
        <dsp:cNvSpPr/>
      </dsp:nvSpPr>
      <dsp:spPr>
        <a:xfrm>
          <a:off x="4129710" y="6766"/>
          <a:ext cx="1785096" cy="576000"/>
        </a:xfrm>
        <a:prstGeom prst="rect">
          <a:avLst/>
        </a:prstGeom>
        <a:solidFill>
          <a:srgbClr val="8064A2">
            <a:hueOff val="0"/>
            <a:satOff val="0"/>
            <a:lumOff val="0"/>
            <a:alphaOff val="0"/>
          </a:srgbClr>
        </a:solidFill>
        <a:ln w="25400" cap="flat" cmpd="sng" algn="ctr">
          <a:solidFill>
            <a:srgbClr val="8064A2">
              <a:hueOff val="0"/>
              <a:satOff val="0"/>
              <a:lumOff val="0"/>
              <a:alphaOff val="0"/>
            </a:srgb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s-ES" sz="1000" b="1" kern="1200">
              <a:solidFill>
                <a:sysClr val="window" lastClr="FFFFFF"/>
              </a:solidFill>
              <a:latin typeface="Calibri"/>
              <a:ea typeface="+mn-ea"/>
              <a:cs typeface="+mn-cs"/>
            </a:rPr>
            <a:t>PLAN DE CIERRE DE CASO</a:t>
          </a:r>
          <a:endParaRPr lang="es-ES" sz="1000" kern="1200">
            <a:solidFill>
              <a:sysClr val="window" lastClr="FFFFFF"/>
            </a:solidFill>
            <a:latin typeface="Calibri"/>
            <a:ea typeface="+mn-ea"/>
            <a:cs typeface="+mn-cs"/>
          </a:endParaRPr>
        </a:p>
      </dsp:txBody>
      <dsp:txXfrm>
        <a:off x="4129710" y="6766"/>
        <a:ext cx="1785096" cy="576000"/>
      </dsp:txXfrm>
    </dsp:sp>
    <dsp:sp modelId="{A29ECE7C-4E82-4AB3-A61E-85E8755CD073}">
      <dsp:nvSpPr>
        <dsp:cNvPr id="0" name=""/>
        <dsp:cNvSpPr/>
      </dsp:nvSpPr>
      <dsp:spPr>
        <a:xfrm>
          <a:off x="4129710" y="582766"/>
          <a:ext cx="1785096" cy="2813624"/>
        </a:xfrm>
        <a:prstGeom prst="rect">
          <a:avLst/>
        </a:prstGeom>
        <a:solidFill>
          <a:srgbClr val="8064A2">
            <a:tint val="40000"/>
            <a:alpha val="90000"/>
            <a:hueOff val="0"/>
            <a:satOff val="0"/>
            <a:lumOff val="0"/>
            <a:alphaOff val="0"/>
          </a:srgbClr>
        </a:solidFill>
        <a:ln w="25400" cap="flat" cmpd="sng" algn="ctr">
          <a:solidFill>
            <a:srgbClr val="8064A2">
              <a:tint val="40000"/>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just" defTabSz="444500">
            <a:lnSpc>
              <a:spcPct val="90000"/>
            </a:lnSpc>
            <a:spcBef>
              <a:spcPct val="0"/>
            </a:spcBef>
            <a:spcAft>
              <a:spcPct val="15000"/>
            </a:spcAft>
            <a:buChar char="••"/>
          </a:pPr>
          <a:r>
            <a:rPr lang="es-ES" sz="1000" kern="1200">
              <a:solidFill>
                <a:sysClr val="windowText" lastClr="000000">
                  <a:hueOff val="0"/>
                  <a:satOff val="0"/>
                  <a:lumOff val="0"/>
                  <a:alphaOff val="0"/>
                </a:sysClr>
              </a:solidFill>
              <a:latin typeface="Calibri"/>
              <a:ea typeface="+mn-ea"/>
              <a:cs typeface="+mn-cs"/>
            </a:rPr>
            <a:t>Se realiza cuando la mujer ha causado baja en el recurso de acogida para hacer una evaluación y cierre de su proceso de estancia, recogiendo aspectos tales como: contexto individual; valoración de objetivos desde las diferentes áreas; estrategias que funcionaron y estrategias a mejorar desde el programa-equipo; potencialidades identificadas, acciones inconclusas y valoración del proceso.</a:t>
          </a:r>
        </a:p>
      </dsp:txBody>
      <dsp:txXfrm>
        <a:off x="4129710" y="582766"/>
        <a:ext cx="1785096" cy="281362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24B13C-7E2D-4126-A933-1136FA7EC262}">
      <dsp:nvSpPr>
        <dsp:cNvPr id="0" name=""/>
        <dsp:cNvSpPr/>
      </dsp:nvSpPr>
      <dsp:spPr>
        <a:xfrm>
          <a:off x="8878" y="0"/>
          <a:ext cx="1361051" cy="648753"/>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60960" numCol="1" spcCol="1270" anchor="t" anchorCtr="0">
          <a:noAutofit/>
        </a:bodyPr>
        <a:lstStyle/>
        <a:p>
          <a:pPr lvl="0" algn="ctr" defTabSz="711200">
            <a:lnSpc>
              <a:spcPct val="90000"/>
            </a:lnSpc>
            <a:spcBef>
              <a:spcPct val="0"/>
            </a:spcBef>
            <a:spcAft>
              <a:spcPct val="35000"/>
            </a:spcAft>
          </a:pPr>
          <a:r>
            <a:rPr lang="es-ES" sz="1600" b="1" kern="1200">
              <a:solidFill>
                <a:srgbClr val="F79646"/>
              </a:solidFill>
              <a:latin typeface="Calibri"/>
              <a:ea typeface="+mn-ea"/>
              <a:cs typeface="+mn-cs"/>
            </a:rPr>
            <a:t>1ª ETAPA</a:t>
          </a:r>
        </a:p>
      </dsp:txBody>
      <dsp:txXfrm>
        <a:off x="21546" y="12668"/>
        <a:ext cx="1335715" cy="407166"/>
      </dsp:txXfrm>
    </dsp:sp>
    <dsp:sp modelId="{D84D6014-EC73-4CDD-AF36-BCE04CD98DE6}">
      <dsp:nvSpPr>
        <dsp:cNvPr id="0" name=""/>
        <dsp:cNvSpPr/>
      </dsp:nvSpPr>
      <dsp:spPr>
        <a:xfrm>
          <a:off x="287375" y="432502"/>
          <a:ext cx="1361051" cy="786697"/>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66725">
            <a:lnSpc>
              <a:spcPct val="90000"/>
            </a:lnSpc>
            <a:spcBef>
              <a:spcPct val="0"/>
            </a:spcBef>
            <a:spcAft>
              <a:spcPct val="15000"/>
            </a:spcAft>
            <a:buChar char="••"/>
          </a:pPr>
          <a:r>
            <a:rPr lang="es-ES" sz="1050" b="1" kern="1200">
              <a:solidFill>
                <a:sysClr val="windowText" lastClr="000000">
                  <a:hueOff val="0"/>
                  <a:satOff val="0"/>
                  <a:lumOff val="0"/>
                  <a:alphaOff val="0"/>
                </a:sysClr>
              </a:solidFill>
              <a:latin typeface="Calibri"/>
              <a:ea typeface="+mn-ea"/>
              <a:cs typeface="+mn-cs"/>
            </a:rPr>
            <a:t>FASE I</a:t>
          </a:r>
          <a:r>
            <a:rPr lang="es-ES" sz="1050" kern="1200">
              <a:solidFill>
                <a:sysClr val="windowText" lastClr="000000">
                  <a:hueOff val="0"/>
                  <a:satOff val="0"/>
                  <a:lumOff val="0"/>
                  <a:alphaOff val="0"/>
                </a:sysClr>
              </a:solidFill>
              <a:latin typeface="Calibri"/>
              <a:ea typeface="+mn-ea"/>
              <a:cs typeface="+mn-cs"/>
            </a:rPr>
            <a:t>: Acogida</a:t>
          </a:r>
        </a:p>
        <a:p>
          <a:pPr marL="57150" lvl="1" indent="-57150" algn="l" defTabSz="466725">
            <a:lnSpc>
              <a:spcPct val="90000"/>
            </a:lnSpc>
            <a:spcBef>
              <a:spcPct val="0"/>
            </a:spcBef>
            <a:spcAft>
              <a:spcPct val="15000"/>
            </a:spcAft>
            <a:buChar char="••"/>
          </a:pPr>
          <a:r>
            <a:rPr lang="es-ES" sz="1050" b="1" kern="1200">
              <a:solidFill>
                <a:sysClr val="windowText" lastClr="000000">
                  <a:hueOff val="0"/>
                  <a:satOff val="0"/>
                  <a:lumOff val="0"/>
                  <a:alphaOff val="0"/>
                </a:sysClr>
              </a:solidFill>
              <a:latin typeface="Calibri"/>
              <a:ea typeface="+mn-ea"/>
              <a:cs typeface="+mn-cs"/>
            </a:rPr>
            <a:t>FASE II</a:t>
          </a:r>
          <a:r>
            <a:rPr lang="es-ES" sz="1050" kern="1200">
              <a:solidFill>
                <a:sysClr val="windowText" lastClr="000000">
                  <a:hueOff val="0"/>
                  <a:satOff val="0"/>
                  <a:lumOff val="0"/>
                  <a:alphaOff val="0"/>
                </a:sysClr>
              </a:solidFill>
              <a:latin typeface="Calibri"/>
              <a:ea typeface="+mn-ea"/>
              <a:cs typeface="+mn-cs"/>
            </a:rPr>
            <a:t>: Adaptación</a:t>
          </a:r>
        </a:p>
      </dsp:txBody>
      <dsp:txXfrm>
        <a:off x="310417" y="455544"/>
        <a:ext cx="1314967" cy="740613"/>
      </dsp:txXfrm>
    </dsp:sp>
    <dsp:sp modelId="{5CEF3DA6-30DB-41A6-848B-80590136322F}">
      <dsp:nvSpPr>
        <dsp:cNvPr id="0" name=""/>
        <dsp:cNvSpPr/>
      </dsp:nvSpPr>
      <dsp:spPr>
        <a:xfrm>
          <a:off x="1576169" y="46848"/>
          <a:ext cx="437228" cy="338806"/>
        </a:xfrm>
        <a:prstGeom prst="rightArrow">
          <a:avLst>
            <a:gd name="adj1" fmla="val 60000"/>
            <a:gd name="adj2" fmla="val 50000"/>
          </a:avLst>
        </a:prstGeom>
        <a:gradFill rotWithShape="0">
          <a:gsLst>
            <a:gs pos="0">
              <a:srgbClr val="8064A2">
                <a:tint val="60000"/>
                <a:hueOff val="0"/>
                <a:satOff val="0"/>
                <a:lumOff val="0"/>
                <a:alphaOff val="0"/>
                <a:shade val="51000"/>
                <a:satMod val="130000"/>
              </a:srgbClr>
            </a:gs>
            <a:gs pos="80000">
              <a:srgbClr val="8064A2">
                <a:tint val="60000"/>
                <a:hueOff val="0"/>
                <a:satOff val="0"/>
                <a:lumOff val="0"/>
                <a:alphaOff val="0"/>
                <a:shade val="93000"/>
                <a:satMod val="130000"/>
              </a:srgbClr>
            </a:gs>
            <a:gs pos="100000">
              <a:srgbClr val="8064A2">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S" sz="800" kern="1200">
            <a:solidFill>
              <a:sysClr val="window" lastClr="FFFFFF"/>
            </a:solidFill>
            <a:latin typeface="Calibri"/>
            <a:ea typeface="+mn-ea"/>
            <a:cs typeface="+mn-cs"/>
          </a:endParaRPr>
        </a:p>
      </dsp:txBody>
      <dsp:txXfrm>
        <a:off x="1576169" y="114609"/>
        <a:ext cx="335586" cy="203284"/>
      </dsp:txXfrm>
    </dsp:sp>
    <dsp:sp modelId="{57D07357-0945-4D95-A3E7-6AD42BA0EEFD}">
      <dsp:nvSpPr>
        <dsp:cNvPr id="0" name=""/>
        <dsp:cNvSpPr/>
      </dsp:nvSpPr>
      <dsp:spPr>
        <a:xfrm>
          <a:off x="2194888" y="0"/>
          <a:ext cx="1361051" cy="648753"/>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s-ES" sz="1600" b="1" kern="1200">
              <a:solidFill>
                <a:srgbClr val="F79646"/>
              </a:solidFill>
              <a:latin typeface="Calibri"/>
              <a:ea typeface="+mn-ea"/>
              <a:cs typeface="+mn-cs"/>
            </a:rPr>
            <a:t>2ª ETAPA</a:t>
          </a:r>
        </a:p>
      </dsp:txBody>
      <dsp:txXfrm>
        <a:off x="2207556" y="12668"/>
        <a:ext cx="1335715" cy="407166"/>
      </dsp:txXfrm>
    </dsp:sp>
    <dsp:sp modelId="{74E622E2-DAA5-47F4-866A-AC5B656D60BB}">
      <dsp:nvSpPr>
        <dsp:cNvPr id="0" name=""/>
        <dsp:cNvSpPr/>
      </dsp:nvSpPr>
      <dsp:spPr>
        <a:xfrm>
          <a:off x="2473385" y="432502"/>
          <a:ext cx="1361051" cy="786697"/>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s-ES" sz="1000" b="1" kern="1200">
              <a:solidFill>
                <a:sysClr val="windowText" lastClr="000000">
                  <a:hueOff val="0"/>
                  <a:satOff val="0"/>
                  <a:lumOff val="0"/>
                  <a:alphaOff val="0"/>
                </a:sysClr>
              </a:solidFill>
              <a:latin typeface="Calibri"/>
              <a:ea typeface="+mn-ea"/>
              <a:cs typeface="+mn-cs"/>
            </a:rPr>
            <a:t>FASE III: </a:t>
          </a:r>
          <a:r>
            <a:rPr lang="es-ES" sz="1000" kern="1200">
              <a:solidFill>
                <a:sysClr val="windowText" lastClr="000000">
                  <a:hueOff val="0"/>
                  <a:satOff val="0"/>
                  <a:lumOff val="0"/>
                  <a:alphaOff val="0"/>
                </a:sysClr>
              </a:solidFill>
              <a:latin typeface="Calibri"/>
              <a:ea typeface="+mn-ea"/>
              <a:cs typeface="+mn-cs"/>
            </a:rPr>
            <a:t>Establecimiento o convivencia.</a:t>
          </a:r>
        </a:p>
        <a:p>
          <a:pPr marL="57150" lvl="1" indent="-57150" algn="l" defTabSz="444500">
            <a:lnSpc>
              <a:spcPct val="90000"/>
            </a:lnSpc>
            <a:spcBef>
              <a:spcPct val="0"/>
            </a:spcBef>
            <a:spcAft>
              <a:spcPct val="15000"/>
            </a:spcAft>
            <a:buChar char="••"/>
          </a:pPr>
          <a:r>
            <a:rPr lang="es-ES" sz="1000" b="1" kern="1200">
              <a:solidFill>
                <a:sysClr val="windowText" lastClr="000000">
                  <a:hueOff val="0"/>
                  <a:satOff val="0"/>
                  <a:lumOff val="0"/>
                  <a:alphaOff val="0"/>
                </a:sysClr>
              </a:solidFill>
              <a:latin typeface="Calibri"/>
              <a:ea typeface="+mn-ea"/>
              <a:cs typeface="+mn-cs"/>
            </a:rPr>
            <a:t>FASE IV: </a:t>
          </a:r>
          <a:r>
            <a:rPr lang="es-ES" sz="1000" kern="1200">
              <a:solidFill>
                <a:sysClr val="windowText" lastClr="000000">
                  <a:hueOff val="0"/>
                  <a:satOff val="0"/>
                  <a:lumOff val="0"/>
                  <a:alphaOff val="0"/>
                </a:sysClr>
              </a:solidFill>
              <a:latin typeface="Calibri"/>
              <a:ea typeface="+mn-ea"/>
              <a:cs typeface="+mn-cs"/>
            </a:rPr>
            <a:t>Desarrollo</a:t>
          </a:r>
        </a:p>
      </dsp:txBody>
      <dsp:txXfrm>
        <a:off x="2496427" y="455544"/>
        <a:ext cx="1314967" cy="740613"/>
      </dsp:txXfrm>
    </dsp:sp>
    <dsp:sp modelId="{7155E44B-907E-4489-B236-06C82EE5FD09}">
      <dsp:nvSpPr>
        <dsp:cNvPr id="0" name=""/>
        <dsp:cNvSpPr/>
      </dsp:nvSpPr>
      <dsp:spPr>
        <a:xfrm>
          <a:off x="3762179" y="46848"/>
          <a:ext cx="437228" cy="338806"/>
        </a:xfrm>
        <a:prstGeom prst="rightArrow">
          <a:avLst>
            <a:gd name="adj1" fmla="val 60000"/>
            <a:gd name="adj2" fmla="val 50000"/>
          </a:avLst>
        </a:prstGeom>
        <a:gradFill rotWithShape="0">
          <a:gsLst>
            <a:gs pos="0">
              <a:srgbClr val="8064A2">
                <a:tint val="60000"/>
                <a:hueOff val="0"/>
                <a:satOff val="0"/>
                <a:lumOff val="0"/>
                <a:alphaOff val="0"/>
                <a:shade val="51000"/>
                <a:satMod val="130000"/>
              </a:srgbClr>
            </a:gs>
            <a:gs pos="80000">
              <a:srgbClr val="8064A2">
                <a:tint val="60000"/>
                <a:hueOff val="0"/>
                <a:satOff val="0"/>
                <a:lumOff val="0"/>
                <a:alphaOff val="0"/>
                <a:shade val="93000"/>
                <a:satMod val="130000"/>
              </a:srgbClr>
            </a:gs>
            <a:gs pos="100000">
              <a:srgbClr val="8064A2">
                <a:tint val="60000"/>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S" sz="800" kern="1200">
            <a:solidFill>
              <a:sysClr val="window" lastClr="FFFFFF"/>
            </a:solidFill>
            <a:latin typeface="Calibri"/>
            <a:ea typeface="+mn-ea"/>
            <a:cs typeface="+mn-cs"/>
          </a:endParaRPr>
        </a:p>
      </dsp:txBody>
      <dsp:txXfrm>
        <a:off x="3762179" y="114609"/>
        <a:ext cx="335586" cy="203284"/>
      </dsp:txXfrm>
    </dsp:sp>
    <dsp:sp modelId="{F3954E3D-B257-41A7-8F8A-3EA25422BE10}">
      <dsp:nvSpPr>
        <dsp:cNvPr id="0" name=""/>
        <dsp:cNvSpPr/>
      </dsp:nvSpPr>
      <dsp:spPr>
        <a:xfrm>
          <a:off x="4380898" y="0"/>
          <a:ext cx="1361051" cy="648753"/>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es-ES" sz="1600" b="1" kern="1200">
              <a:solidFill>
                <a:srgbClr val="F79646"/>
              </a:solidFill>
              <a:latin typeface="Calibri"/>
              <a:ea typeface="+mn-ea"/>
              <a:cs typeface="+mn-cs"/>
            </a:rPr>
            <a:t>3ª ETAPA</a:t>
          </a:r>
        </a:p>
      </dsp:txBody>
      <dsp:txXfrm>
        <a:off x="4393566" y="12668"/>
        <a:ext cx="1335715" cy="407166"/>
      </dsp:txXfrm>
    </dsp:sp>
    <dsp:sp modelId="{038EB2EB-8E1A-4FD7-A87E-395AAF86DBE3}">
      <dsp:nvSpPr>
        <dsp:cNvPr id="0" name=""/>
        <dsp:cNvSpPr/>
      </dsp:nvSpPr>
      <dsp:spPr>
        <a:xfrm>
          <a:off x="4659395" y="432502"/>
          <a:ext cx="1361051" cy="786697"/>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l" defTabSz="444500">
            <a:lnSpc>
              <a:spcPct val="90000"/>
            </a:lnSpc>
            <a:spcBef>
              <a:spcPct val="0"/>
            </a:spcBef>
            <a:spcAft>
              <a:spcPct val="15000"/>
            </a:spcAft>
            <a:buChar char="••"/>
          </a:pPr>
          <a:r>
            <a:rPr lang="es-ES" sz="1000" b="1" kern="1200">
              <a:solidFill>
                <a:sysClr val="windowText" lastClr="000000">
                  <a:hueOff val="0"/>
                  <a:satOff val="0"/>
                  <a:lumOff val="0"/>
                  <a:alphaOff val="0"/>
                </a:sysClr>
              </a:solidFill>
              <a:latin typeface="Calibri"/>
              <a:ea typeface="+mn-ea"/>
              <a:cs typeface="+mn-cs"/>
            </a:rPr>
            <a:t>FASE V: </a:t>
          </a:r>
          <a:r>
            <a:rPr lang="es-ES" sz="1000" kern="1200">
              <a:solidFill>
                <a:sysClr val="windowText" lastClr="000000">
                  <a:hueOff val="0"/>
                  <a:satOff val="0"/>
                  <a:lumOff val="0"/>
                  <a:alphaOff val="0"/>
                </a:sysClr>
              </a:solidFill>
              <a:latin typeface="Calibri"/>
              <a:ea typeface="+mn-ea"/>
              <a:cs typeface="+mn-cs"/>
            </a:rPr>
            <a:t>Finalización/emancipación</a:t>
          </a:r>
        </a:p>
        <a:p>
          <a:pPr marL="57150" lvl="1" indent="-57150" algn="l" defTabSz="444500">
            <a:lnSpc>
              <a:spcPct val="90000"/>
            </a:lnSpc>
            <a:spcBef>
              <a:spcPct val="0"/>
            </a:spcBef>
            <a:spcAft>
              <a:spcPct val="15000"/>
            </a:spcAft>
            <a:buChar char="••"/>
          </a:pPr>
          <a:r>
            <a:rPr lang="es-ES" sz="1000" b="1" kern="1200">
              <a:solidFill>
                <a:sysClr val="windowText" lastClr="000000">
                  <a:hueOff val="0"/>
                  <a:satOff val="0"/>
                  <a:lumOff val="0"/>
                  <a:alphaOff val="0"/>
                </a:sysClr>
              </a:solidFill>
              <a:latin typeface="Calibri"/>
              <a:ea typeface="+mn-ea"/>
              <a:cs typeface="+mn-cs"/>
            </a:rPr>
            <a:t>FASE VI: </a:t>
          </a:r>
          <a:r>
            <a:rPr lang="es-ES" sz="1000" kern="1200">
              <a:solidFill>
                <a:sysClr val="windowText" lastClr="000000">
                  <a:hueOff val="0"/>
                  <a:satOff val="0"/>
                  <a:lumOff val="0"/>
                  <a:alphaOff val="0"/>
                </a:sysClr>
              </a:solidFill>
              <a:latin typeface="Calibri"/>
              <a:ea typeface="+mn-ea"/>
              <a:cs typeface="+mn-cs"/>
            </a:rPr>
            <a:t>Seguimiento externo.</a:t>
          </a:r>
        </a:p>
      </dsp:txBody>
      <dsp:txXfrm>
        <a:off x="4682437" y="455544"/>
        <a:ext cx="1314967" cy="74061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5E05DE-C99A-4310-804B-30286470F9D9}">
      <dsp:nvSpPr>
        <dsp:cNvPr id="0" name=""/>
        <dsp:cNvSpPr/>
      </dsp:nvSpPr>
      <dsp:spPr>
        <a:xfrm>
          <a:off x="0" y="292237"/>
          <a:ext cx="5650229" cy="1795500"/>
        </a:xfrm>
        <a:prstGeom prst="rect">
          <a:avLst/>
        </a:prstGeom>
        <a:solidFill>
          <a:srgbClr val="F79646">
            <a:lumMod val="40000"/>
            <a:lumOff val="60000"/>
            <a:alpha val="90000"/>
          </a:srgb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8521" tIns="395732" rIns="438521" bIns="64008" numCol="1" spcCol="1270" anchor="t"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a:ea typeface="+mn-ea"/>
              <a:cs typeface="+mn-cs"/>
            </a:rPr>
            <a:t>-</a:t>
          </a:r>
          <a:r>
            <a:rPr lang="es-ES" sz="1100" kern="1200">
              <a:solidFill>
                <a:sysClr val="windowText" lastClr="000000">
                  <a:hueOff val="0"/>
                  <a:satOff val="0"/>
                  <a:lumOff val="0"/>
                  <a:alphaOff val="0"/>
                </a:sysClr>
              </a:solidFill>
              <a:latin typeface="Calibri"/>
              <a:ea typeface="+mn-ea"/>
              <a:cs typeface="+mn-cs"/>
            </a:rPr>
            <a:t>Valoración y propuestas para la organización y funcionamiento de la casa de acogida.</a:t>
          </a:r>
        </a:p>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Resolución y propuestas de intervención educativa ante los conflictos que se dan en la misma.</a:t>
          </a:r>
        </a:p>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-Valoración solicitudes de ingreso y solicitudes de pernocta.</a:t>
          </a:r>
        </a:p>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Elaboración conjunta de documentación técnica (Valoración Diagnóstica, Plan de Trabajo </a:t>
          </a:r>
        </a:p>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Individualizado Compartido, seguimientos semanales, etc.).</a:t>
          </a:r>
        </a:p>
      </dsp:txBody>
      <dsp:txXfrm>
        <a:off x="0" y="292237"/>
        <a:ext cx="5650229" cy="1795500"/>
      </dsp:txXfrm>
    </dsp:sp>
    <dsp:sp modelId="{36C9C171-EB80-40A9-851C-7A1407D34F9F}">
      <dsp:nvSpPr>
        <dsp:cNvPr id="0" name=""/>
        <dsp:cNvSpPr/>
      </dsp:nvSpPr>
      <dsp:spPr>
        <a:xfrm>
          <a:off x="282511" y="11797"/>
          <a:ext cx="2037896" cy="560880"/>
        </a:xfrm>
        <a:prstGeom prst="roundRect">
          <a:avLst/>
        </a:prstGeom>
        <a:solidFill>
          <a:srgbClr val="7030A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9496" tIns="0" rIns="149496" bIns="0" numCol="1" spcCol="1270" anchor="ctr" anchorCtr="0">
          <a:noAutofit/>
        </a:bodyPr>
        <a:lstStyle/>
        <a:p>
          <a:pPr lvl="0" algn="ctr" defTabSz="622300">
            <a:lnSpc>
              <a:spcPct val="90000"/>
            </a:lnSpc>
            <a:spcBef>
              <a:spcPct val="0"/>
            </a:spcBef>
            <a:spcAft>
              <a:spcPct val="35000"/>
            </a:spcAft>
          </a:pPr>
          <a:r>
            <a:rPr lang="es-ES" sz="1400" b="1" kern="1200">
              <a:solidFill>
                <a:sysClr val="window" lastClr="FFFFFF"/>
              </a:solidFill>
              <a:latin typeface="Calibri"/>
              <a:ea typeface="+mn-ea"/>
              <a:cs typeface="+mn-cs"/>
            </a:rPr>
            <a:t>EQUIPO EDUCATIVO</a:t>
          </a:r>
        </a:p>
      </dsp:txBody>
      <dsp:txXfrm>
        <a:off x="309891" y="39177"/>
        <a:ext cx="1983136" cy="506120"/>
      </dsp:txXfrm>
    </dsp:sp>
    <dsp:sp modelId="{DD9B0EEF-3281-4C22-B15E-1E8827C5395F}">
      <dsp:nvSpPr>
        <dsp:cNvPr id="0" name=""/>
        <dsp:cNvSpPr/>
      </dsp:nvSpPr>
      <dsp:spPr>
        <a:xfrm>
          <a:off x="0" y="2482574"/>
          <a:ext cx="5650229" cy="1765575"/>
        </a:xfrm>
        <a:prstGeom prst="rect">
          <a:avLst/>
        </a:prstGeom>
        <a:solidFill>
          <a:srgbClr val="F79646">
            <a:lumMod val="40000"/>
            <a:lumOff val="60000"/>
            <a:alpha val="90000"/>
          </a:srgbClr>
        </a:solidFill>
        <a:ln w="25400" cap="flat" cmpd="sng" algn="ctr">
          <a:solidFill>
            <a:srgbClr val="8064A2">
              <a:lumMod val="75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8521" tIns="395732" rIns="438521" bIns="78232" numCol="1" spcCol="1270" anchor="t" anchorCtr="0">
          <a:noAutofit/>
        </a:bodyPr>
        <a:lstStyle/>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-Valoración y exposición multidisciplinar sobre los procesos de las mujeres: Puesta en común de los diferentes documentos técnicos.</a:t>
          </a:r>
        </a:p>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-Valoración solicitudes de nuevos ingresos y valoración de pernoctas desde cada área (aprobación o denegación en documento reglamentario por parte de dirección).</a:t>
          </a:r>
        </a:p>
        <a:p>
          <a:pPr marL="57150" lvl="1" indent="-57150" algn="just" defTabSz="488950">
            <a:lnSpc>
              <a:spcPct val="90000"/>
            </a:lnSpc>
            <a:spcBef>
              <a:spcPct val="0"/>
            </a:spcBef>
            <a:spcAft>
              <a:spcPct val="15000"/>
            </a:spcAft>
            <a:buChar char="••"/>
          </a:pPr>
          <a:r>
            <a:rPr lang="es-ES" sz="1100" kern="1200">
              <a:solidFill>
                <a:sysClr val="windowText" lastClr="000000">
                  <a:hueOff val="0"/>
                  <a:satOff val="0"/>
                  <a:lumOff val="0"/>
                  <a:alphaOff val="0"/>
                </a:sysClr>
              </a:solidFill>
              <a:latin typeface="Calibri"/>
              <a:ea typeface="+mn-ea"/>
              <a:cs typeface="+mn-cs"/>
            </a:rPr>
            <a:t>-Otros puntos recogidos en la orden del día, que pueden versar sobre planificaciones, calendarización de acciones a realizar, información sobre formaciones o jornadas, etc.</a:t>
          </a:r>
        </a:p>
      </dsp:txBody>
      <dsp:txXfrm>
        <a:off x="0" y="2482574"/>
        <a:ext cx="5650229" cy="1765575"/>
      </dsp:txXfrm>
    </dsp:sp>
    <dsp:sp modelId="{41A22ECE-F4DE-431B-A69A-9A8487C809C5}">
      <dsp:nvSpPr>
        <dsp:cNvPr id="0" name=""/>
        <dsp:cNvSpPr/>
      </dsp:nvSpPr>
      <dsp:spPr>
        <a:xfrm>
          <a:off x="282511" y="2190337"/>
          <a:ext cx="1976037" cy="560880"/>
        </a:xfrm>
        <a:prstGeom prst="roundRect">
          <a:avLst/>
        </a:prstGeom>
        <a:solidFill>
          <a:srgbClr val="7030A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9496" tIns="0" rIns="149496" bIns="0" numCol="1" spcCol="1270" anchor="ctr" anchorCtr="0">
          <a:noAutofit/>
        </a:bodyPr>
        <a:lstStyle/>
        <a:p>
          <a:pPr lvl="0" algn="ctr" defTabSz="622300">
            <a:lnSpc>
              <a:spcPct val="90000"/>
            </a:lnSpc>
            <a:spcBef>
              <a:spcPct val="0"/>
            </a:spcBef>
            <a:spcAft>
              <a:spcPct val="35000"/>
            </a:spcAft>
          </a:pPr>
          <a:r>
            <a:rPr lang="es-ES" sz="1400" b="1" kern="1200">
              <a:solidFill>
                <a:sysClr val="window" lastClr="FFFFFF"/>
              </a:solidFill>
              <a:latin typeface="Calibri"/>
              <a:ea typeface="+mn-ea"/>
              <a:cs typeface="+mn-cs"/>
            </a:rPr>
            <a:t>EQUIPO INTERDISCIPLINAR</a:t>
          </a:r>
        </a:p>
      </dsp:txBody>
      <dsp:txXfrm>
        <a:off x="309891" y="2217717"/>
        <a:ext cx="1921277" cy="50612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9A4A95-C16C-4A26-9B19-0E4936D5607E}">
      <dsp:nvSpPr>
        <dsp:cNvPr id="0" name=""/>
        <dsp:cNvSpPr/>
      </dsp:nvSpPr>
      <dsp:spPr>
        <a:xfrm rot="5400000">
          <a:off x="2791176" y="-899617"/>
          <a:ext cx="1541174" cy="3343334"/>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Integración en el grupo de residentes e interacción positiva con las compañeras.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compañeras con las que mantiene buena relación.</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conflictos en los que ha estado involucrada, de índole físico o verbal.</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Asistencia a las asambleas/talleres con participación activa y actitud positiva.</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 Cumplimiento con las tareas del  hogar y otras responsabilidades</a:t>
          </a:r>
          <a:endParaRPr lang="es-ES" sz="600" kern="1200">
            <a:solidFill>
              <a:sysClr val="windowText" lastClr="000000">
                <a:hueOff val="0"/>
                <a:satOff val="0"/>
                <a:lumOff val="0"/>
                <a:alphaOff val="0"/>
              </a:sysClr>
            </a:solidFill>
            <a:latin typeface="Calibri" panose="020F0502020204030204"/>
            <a:ea typeface="+mn-ea"/>
            <a:cs typeface="+mn-cs"/>
          </a:endParaRPr>
        </a:p>
      </dsp:txBody>
      <dsp:txXfrm rot="-5400000">
        <a:off x="1890096" y="76697"/>
        <a:ext cx="3268100" cy="1390706"/>
      </dsp:txXfrm>
    </dsp:sp>
    <dsp:sp modelId="{38CE0231-978A-48B5-8374-8202FED02437}">
      <dsp:nvSpPr>
        <dsp:cNvPr id="0" name=""/>
        <dsp:cNvSpPr/>
      </dsp:nvSpPr>
      <dsp:spPr>
        <a:xfrm>
          <a:off x="0" y="498707"/>
          <a:ext cx="1887533" cy="563626"/>
        </a:xfrm>
        <a:prstGeom prst="round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Convivencia</a:t>
          </a:r>
        </a:p>
      </dsp:txBody>
      <dsp:txXfrm>
        <a:off x="27514" y="526221"/>
        <a:ext cx="1832505" cy="508598"/>
      </dsp:txXfrm>
    </dsp:sp>
    <dsp:sp modelId="{96BA161E-E37E-4680-89E3-ABD507B913CF}">
      <dsp:nvSpPr>
        <dsp:cNvPr id="0" name=""/>
        <dsp:cNvSpPr/>
      </dsp:nvSpPr>
      <dsp:spPr>
        <a:xfrm rot="5400000">
          <a:off x="2747084" y="713830"/>
          <a:ext cx="1641639"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personas externas a la casa con las que mantiene contacto.</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acude a encuentros o actividades  externas.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Influencia de las personas/ambiente en el que se desarrollan las relaciones sociales.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Habilidad para desarrollar nuevas amistades o contactos.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Frecuencia de llamadas telefónicas</a:t>
          </a:r>
        </a:p>
        <a:p>
          <a:pPr marL="57150" lvl="1" indent="-57150" algn="just" defTabSz="400050">
            <a:lnSpc>
              <a:spcPct val="90000"/>
            </a:lnSpc>
            <a:spcBef>
              <a:spcPct val="0"/>
            </a:spcBef>
            <a:spcAft>
              <a:spcPct val="15000"/>
            </a:spcAft>
            <a:buChar char="••"/>
          </a:pPr>
          <a:endParaRPr lang="es-ES" sz="900" kern="1200">
            <a:solidFill>
              <a:sysClr val="windowText" lastClr="000000">
                <a:hueOff val="0"/>
                <a:satOff val="0"/>
                <a:lumOff val="0"/>
                <a:alphaOff val="0"/>
              </a:sysClr>
            </a:solidFill>
            <a:latin typeface="Calibri" panose="020F0502020204030204"/>
            <a:ea typeface="+mn-ea"/>
            <a:cs typeface="+mn-cs"/>
          </a:endParaRPr>
        </a:p>
      </dsp:txBody>
      <dsp:txXfrm rot="-5400000">
        <a:off x="1890096" y="1650956"/>
        <a:ext cx="3275477" cy="1481363"/>
      </dsp:txXfrm>
    </dsp:sp>
    <dsp:sp modelId="{C0210D2E-C701-460D-B37E-41DF6A57A3AC}">
      <dsp:nvSpPr>
        <dsp:cNvPr id="0" name=""/>
        <dsp:cNvSpPr/>
      </dsp:nvSpPr>
      <dsp:spPr>
        <a:xfrm>
          <a:off x="2562" y="2109824"/>
          <a:ext cx="1887533" cy="563626"/>
        </a:xfrm>
        <a:prstGeom prst="roundRect">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Relaciones sociales externas</a:t>
          </a:r>
        </a:p>
      </dsp:txBody>
      <dsp:txXfrm>
        <a:off x="30076" y="2137338"/>
        <a:ext cx="1832505" cy="508598"/>
      </dsp:txXfrm>
    </dsp:sp>
    <dsp:sp modelId="{3A277E26-318A-4CAE-A707-57679F36307C}">
      <dsp:nvSpPr>
        <dsp:cNvPr id="0" name=""/>
        <dsp:cNvSpPr/>
      </dsp:nvSpPr>
      <dsp:spPr>
        <a:xfrm rot="5400000">
          <a:off x="2770900" y="2353067"/>
          <a:ext cx="1577548"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duchas diarias.</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se cepilla los dientes.</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se lava las manos antes de las comidas o preparación de la misma.</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Nivel de independencia en su higiene.</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Limpieza de su ropa o enseres de cama.</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Atención al aspecto de sus manos y pies.</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Idoneidad del maquillaje, cabello y vestimenta.</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Importancia otorgada a la imagen personal.</a:t>
          </a:r>
        </a:p>
      </dsp:txBody>
      <dsp:txXfrm rot="-5400000">
        <a:off x="1881867" y="3319110"/>
        <a:ext cx="3278605" cy="1423528"/>
      </dsp:txXfrm>
    </dsp:sp>
    <dsp:sp modelId="{CD708B2F-0177-4324-BC30-F951BAFF0D8C}">
      <dsp:nvSpPr>
        <dsp:cNvPr id="0" name=""/>
        <dsp:cNvSpPr/>
      </dsp:nvSpPr>
      <dsp:spPr>
        <a:xfrm>
          <a:off x="2562" y="3747600"/>
          <a:ext cx="1887533" cy="563626"/>
        </a:xfrm>
        <a:prstGeom prst="round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Higiene y cuidado personal</a:t>
          </a:r>
        </a:p>
      </dsp:txBody>
      <dsp:txXfrm>
        <a:off x="30076" y="3775114"/>
        <a:ext cx="1832505" cy="508598"/>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AB1F29-6BB0-456B-81CE-F3BD6CE94D7D}">
      <dsp:nvSpPr>
        <dsp:cNvPr id="0" name=""/>
        <dsp:cNvSpPr/>
      </dsp:nvSpPr>
      <dsp:spPr>
        <a:xfrm rot="5400000">
          <a:off x="2995850" y="-1102714"/>
          <a:ext cx="1149234" cy="3355615"/>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en la semana que realiza su tarea de manera responsable.</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realiza su tarea de forma eficiente.</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Nociones sobre economía doméstica.</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Cuidado de las instalaciones y los recursos del hogar.</a:t>
          </a:r>
        </a:p>
        <a:p>
          <a:pPr marL="57150" lvl="1" indent="-57150" algn="l"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Limpieza y orden en su habitación.</a:t>
          </a:r>
        </a:p>
      </dsp:txBody>
      <dsp:txXfrm rot="-5400000">
        <a:off x="1892660" y="56577"/>
        <a:ext cx="3299514" cy="1037032"/>
      </dsp:txXfrm>
    </dsp:sp>
    <dsp:sp modelId="{8BEDABDC-2664-4908-8856-B5653ABA242E}">
      <dsp:nvSpPr>
        <dsp:cNvPr id="0" name=""/>
        <dsp:cNvSpPr/>
      </dsp:nvSpPr>
      <dsp:spPr>
        <a:xfrm>
          <a:off x="2562" y="304362"/>
          <a:ext cx="1887533" cy="543297"/>
        </a:xfrm>
        <a:prstGeom prst="round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Atención del hogar</a:t>
          </a:r>
        </a:p>
      </dsp:txBody>
      <dsp:txXfrm>
        <a:off x="29084" y="330884"/>
        <a:ext cx="1834489" cy="490253"/>
      </dsp:txXfrm>
    </dsp:sp>
    <dsp:sp modelId="{C8373ABC-FB0F-40BC-8E35-19A020F9F82A}">
      <dsp:nvSpPr>
        <dsp:cNvPr id="0" name=""/>
        <dsp:cNvSpPr/>
      </dsp:nvSpPr>
      <dsp:spPr>
        <a:xfrm rot="5400000">
          <a:off x="2961946" y="91207"/>
          <a:ext cx="1217041" cy="3355615"/>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olvida tomar su medicación.</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acude al médico cuando es necesario</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cumple/incumple con las tomas pautadas en tratamiento médico (adherencia al tratamiento médico).</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compromete su salud por ingesta de tóxicos.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realiza ejercicio</a:t>
          </a:r>
        </a:p>
      </dsp:txBody>
      <dsp:txXfrm rot="-5400000">
        <a:off x="1892660" y="1219905"/>
        <a:ext cx="3296204" cy="1098219"/>
      </dsp:txXfrm>
    </dsp:sp>
    <dsp:sp modelId="{2E4D0394-52E5-43B2-9CDB-A443B7ECBF85}">
      <dsp:nvSpPr>
        <dsp:cNvPr id="0" name=""/>
        <dsp:cNvSpPr/>
      </dsp:nvSpPr>
      <dsp:spPr>
        <a:xfrm>
          <a:off x="2562" y="1514665"/>
          <a:ext cx="1887533" cy="543297"/>
        </a:xfrm>
        <a:prstGeom prst="roundRect">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Atención al cuidado de la salud</a:t>
          </a:r>
        </a:p>
      </dsp:txBody>
      <dsp:txXfrm>
        <a:off x="29084" y="1541187"/>
        <a:ext cx="1834489" cy="490253"/>
      </dsp:txXfrm>
    </dsp:sp>
    <dsp:sp modelId="{62B6CB1C-1869-4627-A4C8-9AE5C244020B}">
      <dsp:nvSpPr>
        <dsp:cNvPr id="0" name=""/>
        <dsp:cNvSpPr/>
      </dsp:nvSpPr>
      <dsp:spPr>
        <a:xfrm rot="5400000">
          <a:off x="2912701" y="1399394"/>
          <a:ext cx="1310406" cy="3355615"/>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actividades de disfrute personal que realiza por iniciativa propia.</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acude a la realización de actividades de ocio propuestas por el equipo.</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Habilidades Sociales presentes para iniciar/mantener relaciones sociales y desenvolverse en contextos de interacción social.</a:t>
          </a:r>
        </a:p>
        <a:p>
          <a:pPr marL="57150" lvl="1" indent="-57150" algn="l" defTabSz="400050">
            <a:lnSpc>
              <a:spcPct val="90000"/>
            </a:lnSpc>
            <a:spcBef>
              <a:spcPct val="0"/>
            </a:spcBef>
            <a:spcAft>
              <a:spcPct val="15000"/>
            </a:spcAft>
            <a:buChar char="••"/>
          </a:pPr>
          <a:endParaRPr lang="es-ES" sz="900" kern="1200">
            <a:solidFill>
              <a:sysClr val="windowText" lastClr="000000">
                <a:hueOff val="0"/>
                <a:satOff val="0"/>
                <a:lumOff val="0"/>
                <a:alphaOff val="0"/>
              </a:sysClr>
            </a:solidFill>
            <a:latin typeface="Calibri" panose="020F0502020204030204"/>
            <a:ea typeface="+mn-ea"/>
            <a:cs typeface="+mn-cs"/>
          </a:endParaRPr>
        </a:p>
      </dsp:txBody>
      <dsp:txXfrm rot="-5400000">
        <a:off x="1890097" y="2485968"/>
        <a:ext cx="3291646" cy="1182468"/>
      </dsp:txXfrm>
    </dsp:sp>
    <dsp:sp modelId="{6FC372E4-0224-4514-8C8D-09E07CDC2229}">
      <dsp:nvSpPr>
        <dsp:cNvPr id="0" name=""/>
        <dsp:cNvSpPr/>
      </dsp:nvSpPr>
      <dsp:spPr>
        <a:xfrm>
          <a:off x="2562" y="2805554"/>
          <a:ext cx="1887533" cy="543297"/>
        </a:xfrm>
        <a:prstGeom prst="round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Ocio y tiempo libre</a:t>
          </a:r>
        </a:p>
      </dsp:txBody>
      <dsp:txXfrm>
        <a:off x="29084" y="2832076"/>
        <a:ext cx="1834489" cy="49025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DFB513-16DE-46DB-B3BA-CF771C6D8B6F}">
      <dsp:nvSpPr>
        <dsp:cNvPr id="0" name=""/>
        <dsp:cNvSpPr/>
      </dsp:nvSpPr>
      <dsp:spPr>
        <a:xfrm rot="5400000">
          <a:off x="3098674" y="-1186758"/>
          <a:ext cx="1016164" cy="3392156"/>
        </a:xfrm>
        <a:prstGeom prst="round2SameRect">
          <a:avLst/>
        </a:prstGeom>
        <a:solidFill>
          <a:srgbClr val="C0504D">
            <a:tint val="40000"/>
            <a:alpha val="90000"/>
            <a:hueOff val="0"/>
            <a:satOff val="0"/>
            <a:lumOff val="0"/>
            <a:alphaOff val="0"/>
          </a:srgbClr>
        </a:solidFill>
        <a:ln w="9525" cap="flat" cmpd="sng" algn="ctr">
          <a:solidFill>
            <a:srgbClr val="C0504D">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comidas que realiza al día.</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Variedad de alimentos que ingesta.</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Horarios saludables.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Cantidad.</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Conciencia sobre la importancia de la dieta sana y equilibrada</a:t>
          </a:r>
        </a:p>
      </dsp:txBody>
      <dsp:txXfrm rot="-5400000">
        <a:off x="1910679" y="50842"/>
        <a:ext cx="3342551" cy="916954"/>
      </dsp:txXfrm>
    </dsp:sp>
    <dsp:sp modelId="{C932E462-8227-4DE2-A6B2-B8972D970E46}">
      <dsp:nvSpPr>
        <dsp:cNvPr id="0" name=""/>
        <dsp:cNvSpPr/>
      </dsp:nvSpPr>
      <dsp:spPr>
        <a:xfrm>
          <a:off x="2590" y="228065"/>
          <a:ext cx="1908087" cy="562507"/>
        </a:xfrm>
        <a:prstGeom prst="round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Hábitos alimenticios</a:t>
          </a:r>
        </a:p>
      </dsp:txBody>
      <dsp:txXfrm>
        <a:off x="30049" y="255524"/>
        <a:ext cx="1853169" cy="507589"/>
      </dsp:txXfrm>
    </dsp:sp>
    <dsp:sp modelId="{E6A4EB83-9A61-4425-876F-BF72896CAB98}">
      <dsp:nvSpPr>
        <dsp:cNvPr id="0" name=""/>
        <dsp:cNvSpPr/>
      </dsp:nvSpPr>
      <dsp:spPr>
        <a:xfrm rot="5400000">
          <a:off x="3036431" y="-58973"/>
          <a:ext cx="1140650" cy="3392156"/>
        </a:xfrm>
        <a:prstGeom prst="round2SameRect">
          <a:avLst/>
        </a:prstGeom>
        <a:solidFill>
          <a:srgbClr val="9BBB59">
            <a:tint val="40000"/>
            <a:alpha val="90000"/>
            <a:hueOff val="0"/>
            <a:satOff val="0"/>
            <a:lumOff val="0"/>
            <a:alphaOff val="0"/>
          </a:srgbClr>
        </a:solidFill>
        <a:ln w="9525" cap="flat" cmpd="sng" algn="ctr">
          <a:solidFill>
            <a:srgbClr val="9BBB59">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Expresión de emociones, gestión de las mismas y autocontrol . </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Nª de actividades/ejercicios que realiza en beneficio/perjuicio de su bienestar, (Ejemplo: realizar deporte, pasear, etc.)</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cumple/incumple con sus citas para atención psicológica individual.</a:t>
          </a:r>
        </a:p>
      </dsp:txBody>
      <dsp:txXfrm rot="-5400000">
        <a:off x="1910678" y="1122462"/>
        <a:ext cx="3336474" cy="1029286"/>
      </dsp:txXfrm>
    </dsp:sp>
    <dsp:sp modelId="{97C5DA8F-3AC9-48F4-BF17-FF6B97EFD64A}">
      <dsp:nvSpPr>
        <dsp:cNvPr id="0" name=""/>
        <dsp:cNvSpPr/>
      </dsp:nvSpPr>
      <dsp:spPr>
        <a:xfrm>
          <a:off x="2590" y="1400176"/>
          <a:ext cx="1908087" cy="473855"/>
        </a:xfrm>
        <a:prstGeom prst="roundRect">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Estado emocional</a:t>
          </a:r>
        </a:p>
      </dsp:txBody>
      <dsp:txXfrm>
        <a:off x="25722" y="1423308"/>
        <a:ext cx="1861823" cy="427591"/>
      </dsp:txXfrm>
    </dsp:sp>
    <dsp:sp modelId="{044B0A23-80AB-423E-ADCF-06F6ABDB3FEB}">
      <dsp:nvSpPr>
        <dsp:cNvPr id="0" name=""/>
        <dsp:cNvSpPr/>
      </dsp:nvSpPr>
      <dsp:spPr>
        <a:xfrm rot="5400000">
          <a:off x="2983178" y="1184306"/>
          <a:ext cx="1247155" cy="3392156"/>
        </a:xfrm>
        <a:prstGeom prst="round2SameRect">
          <a:avLst/>
        </a:prstGeom>
        <a:solidFill>
          <a:srgbClr val="8064A2">
            <a:tint val="40000"/>
            <a:alpha val="90000"/>
            <a:hueOff val="0"/>
            <a:satOff val="0"/>
            <a:lumOff val="0"/>
            <a:alphaOff val="0"/>
          </a:srgbClr>
        </a:solidFill>
        <a:ln w="9525" cap="flat" cmpd="sng" algn="ctr">
          <a:solidFill>
            <a:srgbClr val="8064A2">
              <a:tint val="40000"/>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manifiesta interés por mejorar su capacitación o formación.</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Nº de veces que realiza búsquedas de información sobre empleo o estudios.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Constancia en el desempeño laboral o en la actividad formativa.</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Participación activa en el desarrollo de los talleres educativos.</a:t>
          </a:r>
        </a:p>
        <a:p>
          <a:pPr marL="57150" lvl="1" indent="-57150" algn="l" defTabSz="400050">
            <a:lnSpc>
              <a:spcPct val="90000"/>
            </a:lnSpc>
            <a:spcBef>
              <a:spcPct val="0"/>
            </a:spcBef>
            <a:spcAft>
              <a:spcPct val="15000"/>
            </a:spcAft>
            <a:buChar char="••"/>
          </a:pPr>
          <a:endParaRPr lang="es-ES" sz="900" kern="1200">
            <a:solidFill>
              <a:sysClr val="windowText" lastClr="000000">
                <a:hueOff val="0"/>
                <a:satOff val="0"/>
                <a:lumOff val="0"/>
                <a:alphaOff val="0"/>
              </a:sysClr>
            </a:solidFill>
            <a:latin typeface="Calibri" panose="020F0502020204030204"/>
            <a:ea typeface="+mn-ea"/>
            <a:cs typeface="+mn-cs"/>
          </a:endParaRPr>
        </a:p>
      </dsp:txBody>
      <dsp:txXfrm rot="-5400000">
        <a:off x="1910678" y="2317688"/>
        <a:ext cx="3331275" cy="1125393"/>
      </dsp:txXfrm>
    </dsp:sp>
    <dsp:sp modelId="{8D06011D-B68A-42BF-92DC-D7E96ABC2407}">
      <dsp:nvSpPr>
        <dsp:cNvPr id="0" name=""/>
        <dsp:cNvSpPr/>
      </dsp:nvSpPr>
      <dsp:spPr>
        <a:xfrm>
          <a:off x="2590" y="2524126"/>
          <a:ext cx="1908087" cy="712516"/>
        </a:xfrm>
        <a:prstGeom prst="round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Motivación académica /laboral</a:t>
          </a:r>
        </a:p>
      </dsp:txBody>
      <dsp:txXfrm>
        <a:off x="37372" y="2558908"/>
        <a:ext cx="1838523" cy="64295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C4DD83-8835-40F8-A9C3-135F6BC87DA0}">
      <dsp:nvSpPr>
        <dsp:cNvPr id="0" name=""/>
        <dsp:cNvSpPr/>
      </dsp:nvSpPr>
      <dsp:spPr>
        <a:xfrm rot="5400000">
          <a:off x="3048599" y="-1147239"/>
          <a:ext cx="108525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Previsión de ingresos, gastos y establecimiento Plan de ahorro mensual. </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Finalidad en la que invierte los ingresos (Ej.: gastos útiles/necesarios o no). </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Importancia que otorga la mujer a la necesidad de tener ahorros en pro de su futura emancipación. </a:t>
          </a:r>
        </a:p>
      </dsp:txBody>
      <dsp:txXfrm rot="-5400000">
        <a:off x="1901236" y="53102"/>
        <a:ext cx="3326998" cy="979294"/>
      </dsp:txXfrm>
    </dsp:sp>
    <dsp:sp modelId="{ACE19D94-3A67-4819-A789-3B34F3571532}">
      <dsp:nvSpPr>
        <dsp:cNvPr id="0" name=""/>
        <dsp:cNvSpPr/>
      </dsp:nvSpPr>
      <dsp:spPr>
        <a:xfrm>
          <a:off x="0" y="185885"/>
          <a:ext cx="1901236" cy="713725"/>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Gestión económica</a:t>
          </a:r>
        </a:p>
      </dsp:txBody>
      <dsp:txXfrm>
        <a:off x="34841" y="220726"/>
        <a:ext cx="1831554" cy="644043"/>
      </dsp:txXfrm>
    </dsp:sp>
    <dsp:sp modelId="{32C39BDF-E436-48A9-97A4-2B8B40AA9834}">
      <dsp:nvSpPr>
        <dsp:cNvPr id="0" name=""/>
        <dsp:cNvSpPr/>
      </dsp:nvSpPr>
      <dsp:spPr>
        <a:xfrm rot="5400000">
          <a:off x="2951404" y="70892"/>
          <a:ext cx="1279640" cy="3379976"/>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Estilo educativo y transmisión de valores.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Cuidados de higiene.</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Cuidado de la salud.</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Realización de comidas principales del menor.</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Muestras de afecto.</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Establecimiento de límites.</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Atención a otras necesidades del menor.</a:t>
          </a:r>
        </a:p>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Aplicación e interiorización de herramientas pautadas por E.E</a:t>
          </a:r>
        </a:p>
      </dsp:txBody>
      <dsp:txXfrm rot="-5400000">
        <a:off x="1901237" y="1183527"/>
        <a:ext cx="3317509" cy="1154706"/>
      </dsp:txXfrm>
    </dsp:sp>
    <dsp:sp modelId="{00414739-BAA5-4516-9045-2B4730D2F40D}">
      <dsp:nvSpPr>
        <dsp:cNvPr id="0" name=""/>
        <dsp:cNvSpPr/>
      </dsp:nvSpPr>
      <dsp:spPr>
        <a:xfrm>
          <a:off x="0" y="1404017"/>
          <a:ext cx="1901236" cy="713725"/>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Relación Materno-filial</a:t>
          </a:r>
        </a:p>
      </dsp:txBody>
      <dsp:txXfrm>
        <a:off x="34841" y="1438858"/>
        <a:ext cx="1831554" cy="644043"/>
      </dsp:txXfrm>
    </dsp:sp>
    <dsp:sp modelId="{D9DB713D-D342-4C0A-B0B8-4DB5033EC040}">
      <dsp:nvSpPr>
        <dsp:cNvPr id="0" name=""/>
        <dsp:cNvSpPr/>
      </dsp:nvSpPr>
      <dsp:spPr>
        <a:xfrm rot="5400000">
          <a:off x="3263780" y="1101609"/>
          <a:ext cx="661908" cy="3383280"/>
        </a:xfrm>
        <a:prstGeom prst="round2SameRect">
          <a:avLst/>
        </a:prstGeom>
        <a:solidFill>
          <a:srgbClr val="5B9BD5">
            <a:alpha val="90000"/>
            <a:tint val="40000"/>
            <a:hueOff val="0"/>
            <a:satOff val="0"/>
            <a:lumOff val="0"/>
            <a:alphaOff val="0"/>
          </a:srgbClr>
        </a:solidFill>
        <a:ln w="6350" cap="flat" cmpd="sng" algn="ctr">
          <a:solidFill>
            <a:srgbClr val="5B9BD5">
              <a:alpha val="90000"/>
              <a:tint val="40000"/>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es-ES" sz="900" kern="1200">
              <a:solidFill>
                <a:sysClr val="windowText" lastClr="000000">
                  <a:hueOff val="0"/>
                  <a:satOff val="0"/>
                  <a:lumOff val="0"/>
                  <a:alphaOff val="0"/>
                </a:sysClr>
              </a:solidFill>
              <a:latin typeface="Calibri" panose="020F0502020204030204"/>
              <a:ea typeface="+mn-ea"/>
              <a:cs typeface="+mn-cs"/>
            </a:rPr>
            <a:t>Grado de consecución de autonomía en relación a las dimensiones educativas sobre las que se ha trabajado a lo largo de su estancia-proceso en la casa</a:t>
          </a:r>
        </a:p>
        <a:p>
          <a:pPr marL="57150" lvl="1" indent="-57150" algn="just" defTabSz="400050">
            <a:lnSpc>
              <a:spcPct val="90000"/>
            </a:lnSpc>
            <a:spcBef>
              <a:spcPct val="0"/>
            </a:spcBef>
            <a:spcAft>
              <a:spcPct val="15000"/>
            </a:spcAft>
            <a:buChar char="••"/>
          </a:pPr>
          <a:endParaRPr lang="es-ES" sz="900" kern="1200">
            <a:solidFill>
              <a:sysClr val="windowText" lastClr="000000">
                <a:hueOff val="0"/>
                <a:satOff val="0"/>
                <a:lumOff val="0"/>
                <a:alphaOff val="0"/>
              </a:sysClr>
            </a:solidFill>
            <a:latin typeface="Calibri" panose="020F0502020204030204"/>
            <a:ea typeface="+mn-ea"/>
            <a:cs typeface="+mn-cs"/>
          </a:endParaRPr>
        </a:p>
      </dsp:txBody>
      <dsp:txXfrm rot="-5400000">
        <a:off x="1903094" y="2494607"/>
        <a:ext cx="3350968" cy="597284"/>
      </dsp:txXfrm>
    </dsp:sp>
    <dsp:sp modelId="{33691890-5ECC-4D25-AE8B-C94DFA464766}">
      <dsp:nvSpPr>
        <dsp:cNvPr id="0" name=""/>
        <dsp:cNvSpPr/>
      </dsp:nvSpPr>
      <dsp:spPr>
        <a:xfrm>
          <a:off x="0" y="2436386"/>
          <a:ext cx="1903095" cy="713725"/>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s-ES" sz="1200" b="1" kern="1200">
              <a:solidFill>
                <a:sysClr val="window" lastClr="FFFFFF"/>
              </a:solidFill>
              <a:latin typeface="Calibri" panose="020F0502020204030204"/>
              <a:ea typeface="+mn-ea"/>
              <a:cs typeface="+mn-cs"/>
            </a:rPr>
            <a:t>Emancipación</a:t>
          </a:r>
        </a:p>
      </dsp:txBody>
      <dsp:txXfrm>
        <a:off x="34841" y="2471227"/>
        <a:ext cx="1833413" cy="644043"/>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F6DC1-749E-4208-9318-2E28F8ACD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268</Pages>
  <Words>65493</Words>
  <Characters>360212</Characters>
  <Application>Microsoft Office Word</Application>
  <DocSecurity>0</DocSecurity>
  <Lines>3001</Lines>
  <Paragraphs>849</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424856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Usuario02</cp:lastModifiedBy>
  <cp:revision>51</cp:revision>
  <cp:lastPrinted>2026-08-04T13:35:00Z</cp:lastPrinted>
  <dcterms:created xsi:type="dcterms:W3CDTF">2026-08-13T14:24:00Z</dcterms:created>
  <dcterms:modified xsi:type="dcterms:W3CDTF">2026-10-12T13:49:00Z</dcterms:modified>
</cp:coreProperties>
</file>